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1E723">
      <w:pPr>
        <w:ind w:firstLine="720"/>
        <w:rPr>
          <w:rFonts w:ascii="仿宋_GB2312" w:hAnsi="仿宋_GB2312" w:eastAsia="仿宋_GB2312" w:cs="仿宋_GB2312"/>
          <w:color w:val="auto"/>
          <w:sz w:val="36"/>
          <w:szCs w:val="36"/>
        </w:rPr>
      </w:pPr>
      <w:bookmarkStart w:id="37" w:name="_GoBack"/>
      <w:bookmarkEnd w:id="37"/>
    </w:p>
    <w:p w14:paraId="15BB92FC">
      <w:pPr>
        <w:ind w:firstLine="720"/>
        <w:rPr>
          <w:rFonts w:ascii="仿宋_GB2312" w:hAnsi="仿宋_GB2312" w:eastAsia="仿宋_GB2312" w:cs="仿宋_GB2312"/>
          <w:color w:val="auto"/>
          <w:sz w:val="36"/>
          <w:szCs w:val="36"/>
        </w:rPr>
      </w:pPr>
    </w:p>
    <w:p w14:paraId="07E4B301">
      <w:pPr>
        <w:ind w:firstLine="720"/>
        <w:rPr>
          <w:rFonts w:ascii="仿宋_GB2312" w:hAnsi="仿宋_GB2312" w:eastAsia="仿宋_GB2312" w:cs="仿宋_GB2312"/>
          <w:color w:val="auto"/>
          <w:sz w:val="36"/>
          <w:szCs w:val="36"/>
        </w:rPr>
      </w:pPr>
    </w:p>
    <w:p w14:paraId="65B6C755">
      <w:pPr>
        <w:ind w:firstLine="720"/>
        <w:rPr>
          <w:rFonts w:hint="eastAsia" w:ascii="仿宋_GB2312" w:hAnsi="仿宋_GB2312" w:eastAsia="仿宋_GB2312" w:cs="仿宋_GB2312"/>
          <w:color w:val="auto"/>
          <w:sz w:val="36"/>
          <w:szCs w:val="36"/>
        </w:rPr>
      </w:pPr>
    </w:p>
    <w:p w14:paraId="5480BB05">
      <w:pPr>
        <w:adjustRightInd w:val="0"/>
        <w:snapToGrid w:val="0"/>
        <w:jc w:val="center"/>
        <w:outlineLvl w:val="0"/>
        <w:rPr>
          <w:rFonts w:hint="eastAsia" w:ascii="方正小标宋_GBK" w:eastAsia="方正小标宋_GBK"/>
          <w:bCs/>
          <w:color w:val="auto"/>
          <w:sz w:val="72"/>
          <w:szCs w:val="72"/>
        </w:rPr>
      </w:pPr>
      <w:bookmarkStart w:id="0" w:name="_Toc68109901"/>
      <w:r>
        <w:rPr>
          <w:rFonts w:hint="eastAsia" w:ascii="方正小标宋_GBK" w:eastAsia="方正小标宋_GBK"/>
          <w:bCs/>
          <w:color w:val="auto"/>
          <w:sz w:val="72"/>
          <w:szCs w:val="72"/>
        </w:rPr>
        <w:t>建设项目环境影响报告表</w:t>
      </w:r>
      <w:bookmarkEnd w:id="0"/>
    </w:p>
    <w:p w14:paraId="372CE942">
      <w:pPr>
        <w:adjustRightInd w:val="0"/>
        <w:snapToGrid w:val="0"/>
        <w:spacing w:before="192" w:beforeLines="80"/>
        <w:jc w:val="center"/>
        <w:rPr>
          <w:rFonts w:eastAsia="仿宋"/>
          <w:color w:val="auto"/>
          <w:sz w:val="52"/>
          <w:szCs w:val="52"/>
        </w:rPr>
      </w:pPr>
      <w:r>
        <w:rPr>
          <w:rFonts w:hint="eastAsia" w:ascii="楷体_GB2312" w:eastAsia="楷体_GB2312"/>
          <w:bCs/>
          <w:color w:val="auto"/>
          <w:sz w:val="48"/>
          <w:szCs w:val="48"/>
        </w:rPr>
        <w:t>（污染影响类）</w:t>
      </w:r>
    </w:p>
    <w:p w14:paraId="636577CA">
      <w:pPr>
        <w:ind w:firstLine="880"/>
        <w:rPr>
          <w:rFonts w:eastAsia="仿宋"/>
          <w:color w:val="auto"/>
          <w:sz w:val="44"/>
          <w:szCs w:val="44"/>
        </w:rPr>
      </w:pPr>
    </w:p>
    <w:p w14:paraId="497CB6F2">
      <w:pPr>
        <w:ind w:firstLine="880"/>
        <w:rPr>
          <w:rFonts w:eastAsia="仿宋"/>
          <w:color w:val="auto"/>
          <w:sz w:val="44"/>
          <w:szCs w:val="44"/>
        </w:rPr>
      </w:pPr>
    </w:p>
    <w:p w14:paraId="39772039">
      <w:pPr>
        <w:ind w:firstLine="880"/>
        <w:rPr>
          <w:rFonts w:eastAsia="仿宋"/>
          <w:color w:val="auto"/>
          <w:sz w:val="44"/>
          <w:szCs w:val="44"/>
        </w:rPr>
      </w:pPr>
    </w:p>
    <w:p w14:paraId="0802D8B7">
      <w:pPr>
        <w:ind w:firstLine="880"/>
        <w:rPr>
          <w:rFonts w:hint="eastAsia" w:eastAsia="仿宋"/>
          <w:color w:val="auto"/>
          <w:sz w:val="44"/>
          <w:szCs w:val="44"/>
        </w:rPr>
      </w:pPr>
    </w:p>
    <w:p w14:paraId="1D136D33">
      <w:pPr>
        <w:ind w:firstLine="880"/>
        <w:rPr>
          <w:rFonts w:eastAsia="仿宋"/>
          <w:color w:val="auto"/>
          <w:sz w:val="44"/>
          <w:szCs w:val="44"/>
        </w:rPr>
      </w:pPr>
    </w:p>
    <w:p w14:paraId="35A45218">
      <w:pPr>
        <w:adjustRightInd w:val="0"/>
        <w:snapToGrid w:val="0"/>
        <w:spacing w:before="120" w:beforeLines="50" w:after="120" w:afterLines="50" w:line="360" w:lineRule="auto"/>
        <w:ind w:firstLine="720"/>
        <w:rPr>
          <w:rFonts w:hint="default" w:ascii="仿宋_GB2312" w:hAnsi="Times New Roman" w:eastAsia="仿宋_GB2312" w:cs="Times New Roman"/>
          <w:color w:val="auto"/>
          <w:sz w:val="32"/>
          <w:szCs w:val="32"/>
          <w:u w:val="single"/>
          <w:lang w:val="en-US" w:eastAsia="zh-CN"/>
        </w:rPr>
      </w:pPr>
      <w:r>
        <w:rPr>
          <w:rFonts w:hint="eastAsia" w:ascii="仿宋_GB2312" w:eastAsia="仿宋_GB2312"/>
          <w:color w:val="auto"/>
          <w:sz w:val="32"/>
          <w:szCs w:val="32"/>
        </w:rPr>
        <w:t>项目名称：</w:t>
      </w:r>
      <w:r>
        <w:rPr>
          <w:rFonts w:hint="eastAsia" w:ascii="仿宋_GB2312" w:eastAsia="仿宋_GB2312"/>
          <w:color w:val="auto"/>
          <w:sz w:val="32"/>
          <w:szCs w:val="32"/>
          <w:u w:val="single"/>
          <w:lang w:val="en-US" w:eastAsia="zh-CN"/>
        </w:rPr>
        <w:t>安徽廖氏玻璃科技有限公司窑炉技改项目</w:t>
      </w:r>
      <w:r>
        <w:rPr>
          <w:rFonts w:hint="eastAsia" w:ascii="仿宋_GB2312" w:hAnsi="Times New Roman" w:eastAsia="仿宋_GB2312" w:cs="Times New Roman"/>
          <w:color w:val="auto"/>
          <w:sz w:val="32"/>
          <w:szCs w:val="32"/>
          <w:u w:val="none"/>
          <w:lang w:val="en-US" w:eastAsia="zh-CN"/>
        </w:rPr>
        <w:t xml:space="preserve"> </w:t>
      </w:r>
      <w:r>
        <w:rPr>
          <w:rFonts w:hint="eastAsia" w:ascii="仿宋_GB2312" w:hAnsi="Times New Roman" w:eastAsia="仿宋_GB2312" w:cs="Times New Roman"/>
          <w:color w:val="auto"/>
          <w:sz w:val="32"/>
          <w:szCs w:val="32"/>
          <w:u w:val="single"/>
          <w:lang w:val="en-US" w:eastAsia="zh-CN"/>
        </w:rPr>
        <w:t xml:space="preserve">  </w:t>
      </w:r>
    </w:p>
    <w:p w14:paraId="1A3339C3">
      <w:pPr>
        <w:adjustRightInd w:val="0"/>
        <w:snapToGrid w:val="0"/>
        <w:spacing w:before="120" w:beforeLines="50" w:after="120" w:afterLines="50" w:line="360" w:lineRule="auto"/>
        <w:ind w:firstLine="720"/>
        <w:rPr>
          <w:rFonts w:ascii="仿宋_GB2312" w:eastAsia="仿宋_GB2312"/>
          <w:color w:val="auto"/>
          <w:sz w:val="32"/>
          <w:szCs w:val="32"/>
          <w:u w:val="single"/>
        </w:rPr>
      </w:pPr>
      <w:r>
        <w:rPr>
          <w:rFonts w:hint="eastAsia" w:ascii="仿宋_GB2312" w:eastAsia="仿宋_GB2312"/>
          <w:color w:val="auto"/>
          <w:sz w:val="32"/>
          <w:szCs w:val="32"/>
        </w:rPr>
        <w:t>建设单位（盖章）：</w:t>
      </w:r>
      <w:r>
        <w:rPr>
          <w:rFonts w:hint="eastAsia" w:ascii="仿宋_GB2312" w:hAnsi="Times New Roman" w:eastAsia="仿宋_GB2312" w:cs="Times New Roman"/>
          <w:color w:val="auto"/>
          <w:sz w:val="32"/>
          <w:szCs w:val="32"/>
          <w:u w:val="single"/>
          <w:lang w:val="en-US" w:eastAsia="zh-CN"/>
        </w:rPr>
        <w:t xml:space="preserve">安徽廖氏玻璃科技有限公司 </w:t>
      </w:r>
    </w:p>
    <w:p w14:paraId="3FF994AE">
      <w:pPr>
        <w:adjustRightInd w:val="0"/>
        <w:snapToGrid w:val="0"/>
        <w:spacing w:before="120" w:beforeLines="50" w:after="120" w:afterLines="50" w:line="360" w:lineRule="auto"/>
        <w:ind w:firstLine="720"/>
        <w:rPr>
          <w:rFonts w:hint="eastAsia" w:ascii="仿宋_GB2312" w:eastAsia="仿宋_GB2312"/>
          <w:color w:val="auto"/>
          <w:sz w:val="32"/>
          <w:szCs w:val="32"/>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202</w:t>
      </w:r>
      <w:r>
        <w:rPr>
          <w:rFonts w:hint="eastAsia" w:ascii="仿宋_GB2312" w:eastAsia="仿宋_GB2312"/>
          <w:color w:val="auto"/>
          <w:sz w:val="32"/>
          <w:szCs w:val="32"/>
          <w:u w:val="single"/>
          <w:lang w:val="en-US" w:eastAsia="zh-CN"/>
        </w:rPr>
        <w:t>4</w:t>
      </w:r>
      <w:r>
        <w:rPr>
          <w:rFonts w:hint="eastAsia" w:ascii="仿宋_GB2312" w:eastAsia="仿宋_GB2312"/>
          <w:color w:val="auto"/>
          <w:sz w:val="32"/>
          <w:szCs w:val="32"/>
          <w:u w:val="single"/>
        </w:rPr>
        <w:t>年</w:t>
      </w:r>
      <w:r>
        <w:rPr>
          <w:rFonts w:hint="eastAsia" w:ascii="仿宋_GB2312" w:eastAsia="仿宋_GB2312"/>
          <w:color w:val="auto"/>
          <w:sz w:val="32"/>
          <w:szCs w:val="32"/>
          <w:u w:val="single"/>
          <w:lang w:val="en-US" w:eastAsia="zh-CN"/>
        </w:rPr>
        <w:t>10</w:t>
      </w:r>
      <w:r>
        <w:rPr>
          <w:rFonts w:hint="eastAsia" w:ascii="仿宋_GB2312" w:eastAsia="仿宋_GB2312"/>
          <w:color w:val="auto"/>
          <w:sz w:val="32"/>
          <w:szCs w:val="32"/>
          <w:u w:val="single"/>
        </w:rPr>
        <w:t>月</w:t>
      </w:r>
      <w:r>
        <w:rPr>
          <w:rFonts w:ascii="仿宋_GB2312" w:eastAsia="仿宋_GB2312"/>
          <w:color w:val="auto"/>
          <w:sz w:val="32"/>
          <w:szCs w:val="32"/>
          <w:u w:val="single"/>
        </w:rPr>
        <w:t xml:space="preserve">   </w:t>
      </w:r>
      <w:r>
        <w:rPr>
          <w:rFonts w:ascii="仿宋_GB2312" w:eastAsia="仿宋_GB2312"/>
          <w:b/>
          <w:bCs/>
          <w:color w:val="auto"/>
          <w:sz w:val="32"/>
          <w:szCs w:val="32"/>
          <w:u w:val="single"/>
        </w:rPr>
        <w:t xml:space="preserve">                   </w:t>
      </w:r>
    </w:p>
    <w:p w14:paraId="2BAE2644">
      <w:pPr>
        <w:adjustRightInd w:val="0"/>
        <w:snapToGrid w:val="0"/>
        <w:spacing w:line="288" w:lineRule="auto"/>
        <w:ind w:firstLine="720"/>
        <w:rPr>
          <w:rFonts w:ascii="仿宋_GB2312" w:eastAsia="仿宋_GB2312"/>
          <w:color w:val="auto"/>
          <w:sz w:val="36"/>
          <w:szCs w:val="36"/>
        </w:rPr>
      </w:pPr>
      <w:bookmarkStart w:id="1" w:name="_Hlk57884087"/>
    </w:p>
    <w:p w14:paraId="3085E1D8">
      <w:pPr>
        <w:adjustRightInd w:val="0"/>
        <w:snapToGrid w:val="0"/>
        <w:spacing w:line="288" w:lineRule="auto"/>
        <w:ind w:firstLine="720"/>
        <w:rPr>
          <w:rFonts w:ascii="仿宋_GB2312" w:eastAsia="仿宋_GB2312"/>
          <w:color w:val="auto"/>
          <w:sz w:val="36"/>
          <w:szCs w:val="36"/>
        </w:rPr>
      </w:pPr>
    </w:p>
    <w:p w14:paraId="3EF5A319">
      <w:pPr>
        <w:adjustRightInd w:val="0"/>
        <w:snapToGrid w:val="0"/>
        <w:spacing w:line="288" w:lineRule="auto"/>
        <w:ind w:firstLine="720"/>
        <w:rPr>
          <w:rFonts w:hint="eastAsia" w:ascii="仿宋_GB2312" w:eastAsia="仿宋_GB2312"/>
          <w:color w:val="auto"/>
          <w:sz w:val="36"/>
          <w:szCs w:val="36"/>
        </w:rPr>
      </w:pPr>
    </w:p>
    <w:p w14:paraId="39BF68C0">
      <w:pPr>
        <w:adjustRightInd w:val="0"/>
        <w:snapToGrid w:val="0"/>
        <w:spacing w:line="288" w:lineRule="auto"/>
        <w:ind w:firstLine="720"/>
        <w:rPr>
          <w:rFonts w:hint="eastAsia" w:ascii="仿宋_GB2312" w:eastAsia="仿宋_GB2312"/>
          <w:color w:val="auto"/>
          <w:sz w:val="36"/>
          <w:szCs w:val="36"/>
        </w:rPr>
      </w:pPr>
    </w:p>
    <w:bookmarkEnd w:id="1"/>
    <w:p w14:paraId="32FE039B">
      <w:pPr>
        <w:adjustRightInd w:val="0"/>
        <w:snapToGrid w:val="0"/>
        <w:spacing w:line="288" w:lineRule="auto"/>
        <w:ind w:firstLine="720"/>
        <w:jc w:val="center"/>
        <w:rPr>
          <w:rFonts w:ascii="仿宋_GB2312" w:eastAsia="仿宋_GB2312"/>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b/>
          <w:bCs/>
          <w:color w:val="auto"/>
          <w:sz w:val="36"/>
          <w:szCs w:val="36"/>
        </w:rPr>
        <w:t>中华人民共和国生态环境部</w:t>
      </w:r>
    </w:p>
    <w:p w14:paraId="26C82BC5">
      <w:pPr>
        <w:pStyle w:val="30"/>
        <w:ind w:firstLine="600"/>
        <w:jc w:val="center"/>
        <w:outlineLvl w:val="0"/>
        <w:rPr>
          <w:rFonts w:hint="eastAsia" w:ascii="黑体" w:hAnsi="黑体" w:eastAsia="黑体"/>
          <w:snapToGrid w:val="0"/>
          <w:color w:val="auto"/>
          <w:sz w:val="30"/>
          <w:szCs w:val="30"/>
        </w:rPr>
      </w:pPr>
      <w:bookmarkStart w:id="2" w:name="_Toc68109902"/>
      <w:r>
        <w:rPr>
          <w:rFonts w:hint="eastAsia" w:ascii="黑体" w:hAnsi="黑体" w:eastAsia="黑体"/>
          <w:snapToGrid w:val="0"/>
          <w:color w:val="auto"/>
          <w:sz w:val="30"/>
          <w:szCs w:val="30"/>
        </w:rPr>
        <w:t>一、建设项目基本情况</w:t>
      </w:r>
      <w:bookmarkEnd w:id="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31"/>
        <w:gridCol w:w="2588"/>
        <w:gridCol w:w="2212"/>
        <w:gridCol w:w="2639"/>
      </w:tblGrid>
      <w:tr w14:paraId="0F3A0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28AA746B">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7439" w:type="dxa"/>
            <w:gridSpan w:val="3"/>
            <w:noWrap w:val="0"/>
            <w:vAlign w:val="center"/>
          </w:tcPr>
          <w:p w14:paraId="1E58FB77">
            <w:pPr>
              <w:adjustRightInd w:val="0"/>
              <w:snapToGrid w:val="0"/>
              <w:jc w:val="center"/>
              <w:rPr>
                <w:color w:val="auto"/>
                <w:szCs w:val="21"/>
              </w:rPr>
            </w:pPr>
            <w:r>
              <w:rPr>
                <w:rFonts w:hint="eastAsia"/>
                <w:color w:val="auto"/>
                <w:szCs w:val="21"/>
                <w:lang w:val="en-US" w:eastAsia="zh-CN"/>
              </w:rPr>
              <w:t>安徽廖氏玻璃科技有限公司窑炉技改项目</w:t>
            </w:r>
          </w:p>
        </w:tc>
      </w:tr>
      <w:tr w14:paraId="45A4F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509A4CDC">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7439" w:type="dxa"/>
            <w:gridSpan w:val="3"/>
            <w:noWrap w:val="0"/>
            <w:vAlign w:val="center"/>
          </w:tcPr>
          <w:p w14:paraId="5DD66F88">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67F9F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07B5E783">
            <w:pPr>
              <w:adjustRightInd w:val="0"/>
              <w:snapToGrid w:val="0"/>
              <w:jc w:val="center"/>
              <w:rPr>
                <w:rFonts w:hint="eastAsia" w:ascii="宋体" w:hAnsi="宋体" w:cs="宋体"/>
                <w:color w:val="auto"/>
                <w:szCs w:val="21"/>
              </w:rPr>
            </w:pPr>
            <w:r>
              <w:rPr>
                <w:rFonts w:hint="eastAsia" w:ascii="宋体" w:hAnsi="宋体" w:cs="宋体"/>
                <w:color w:val="auto"/>
                <w:szCs w:val="21"/>
              </w:rPr>
              <w:t>建设单位联系人</w:t>
            </w:r>
          </w:p>
        </w:tc>
        <w:tc>
          <w:tcPr>
            <w:tcW w:w="2588" w:type="dxa"/>
            <w:noWrap w:val="0"/>
            <w:vAlign w:val="center"/>
          </w:tcPr>
          <w:p w14:paraId="4B2B813A">
            <w:pPr>
              <w:adjustRightInd w:val="0"/>
              <w:snapToGrid w:val="0"/>
              <w:jc w:val="center"/>
              <w:rPr>
                <w:color w:val="auto"/>
                <w:szCs w:val="21"/>
              </w:rPr>
            </w:pPr>
            <w:r>
              <w:rPr>
                <w:rFonts w:hint="eastAsia" w:ascii="Times New Roman" w:hAnsi="Times New Roman"/>
                <w:color w:val="auto"/>
                <w:lang w:val="en-US" w:eastAsia="zh-CN"/>
              </w:rPr>
              <w:t>胡友闯</w:t>
            </w:r>
          </w:p>
        </w:tc>
        <w:tc>
          <w:tcPr>
            <w:tcW w:w="2212" w:type="dxa"/>
            <w:noWrap w:val="0"/>
            <w:vAlign w:val="center"/>
          </w:tcPr>
          <w:p w14:paraId="5C93D025">
            <w:pPr>
              <w:adjustRightInd w:val="0"/>
              <w:snapToGrid w:val="0"/>
              <w:jc w:val="center"/>
              <w:rPr>
                <w:color w:val="auto"/>
                <w:szCs w:val="21"/>
              </w:rPr>
            </w:pPr>
            <w:r>
              <w:rPr>
                <w:color w:val="auto"/>
                <w:szCs w:val="21"/>
              </w:rPr>
              <w:t>联系方式</w:t>
            </w:r>
          </w:p>
        </w:tc>
        <w:tc>
          <w:tcPr>
            <w:tcW w:w="2639" w:type="dxa"/>
            <w:noWrap w:val="0"/>
            <w:vAlign w:val="center"/>
          </w:tcPr>
          <w:p w14:paraId="6C8D2CDF">
            <w:pPr>
              <w:adjustRightInd w:val="0"/>
              <w:snapToGrid w:val="0"/>
              <w:jc w:val="center"/>
              <w:rPr>
                <w:color w:val="auto"/>
                <w:szCs w:val="21"/>
              </w:rPr>
            </w:pPr>
            <w:r>
              <w:rPr>
                <w:rFonts w:hint="eastAsia" w:ascii="Times New Roman" w:hAnsi="Times New Roman"/>
                <w:color w:val="auto"/>
                <w:lang w:val="en-US" w:eastAsia="zh-CN"/>
              </w:rPr>
              <w:t>15856680000</w:t>
            </w:r>
          </w:p>
        </w:tc>
      </w:tr>
      <w:tr w14:paraId="0B297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18F3D138">
            <w:pPr>
              <w:adjustRightInd w:val="0"/>
              <w:snapToGrid w:val="0"/>
              <w:jc w:val="center"/>
              <w:rPr>
                <w:rFonts w:ascii="宋体" w:hAnsi="宋体" w:cs="宋体"/>
                <w:color w:val="auto"/>
                <w:szCs w:val="21"/>
              </w:rPr>
            </w:pPr>
            <w:r>
              <w:rPr>
                <w:rFonts w:hint="eastAsia" w:ascii="宋体" w:hAnsi="宋体" w:cs="宋体"/>
                <w:color w:val="auto"/>
                <w:szCs w:val="21"/>
              </w:rPr>
              <w:t>建设地点</w:t>
            </w:r>
          </w:p>
        </w:tc>
        <w:tc>
          <w:tcPr>
            <w:tcW w:w="7439" w:type="dxa"/>
            <w:gridSpan w:val="3"/>
            <w:noWrap w:val="0"/>
            <w:vAlign w:val="center"/>
          </w:tcPr>
          <w:p w14:paraId="3E8B9A69">
            <w:pPr>
              <w:adjustRightInd w:val="0"/>
              <w:snapToGrid w:val="0"/>
              <w:jc w:val="center"/>
              <w:rPr>
                <w:rFonts w:ascii="宋体" w:hAnsi="宋体" w:cs="宋体"/>
                <w:color w:val="auto"/>
                <w:szCs w:val="21"/>
              </w:rPr>
            </w:pPr>
            <w:r>
              <w:rPr>
                <w:rFonts w:hint="eastAsia"/>
                <w:bCs/>
                <w:color w:val="auto"/>
              </w:rPr>
              <w:t>淮南高新智造园区安徽廖氏玻璃公司内</w:t>
            </w:r>
          </w:p>
        </w:tc>
      </w:tr>
      <w:tr w14:paraId="48B6C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0799B03E">
            <w:pPr>
              <w:adjustRightInd w:val="0"/>
              <w:snapToGrid w:val="0"/>
              <w:jc w:val="center"/>
              <w:rPr>
                <w:color w:val="auto"/>
                <w:szCs w:val="21"/>
              </w:rPr>
            </w:pPr>
            <w:r>
              <w:rPr>
                <w:color w:val="auto"/>
                <w:szCs w:val="21"/>
              </w:rPr>
              <w:t>地理坐标</w:t>
            </w:r>
          </w:p>
        </w:tc>
        <w:tc>
          <w:tcPr>
            <w:tcW w:w="7439" w:type="dxa"/>
            <w:gridSpan w:val="3"/>
            <w:noWrap w:val="0"/>
            <w:vAlign w:val="center"/>
          </w:tcPr>
          <w:p w14:paraId="433C5178">
            <w:pPr>
              <w:jc w:val="center"/>
              <w:rPr>
                <w:color w:val="auto"/>
                <w:szCs w:val="21"/>
              </w:rPr>
            </w:pPr>
            <w:r>
              <w:rPr>
                <w:color w:val="auto"/>
                <w:szCs w:val="21"/>
              </w:rPr>
              <w:t>东经11</w:t>
            </w:r>
            <w:r>
              <w:rPr>
                <w:rFonts w:hint="eastAsia"/>
                <w:color w:val="auto"/>
                <w:szCs w:val="21"/>
                <w:lang w:val="en-US" w:eastAsia="zh-CN"/>
              </w:rPr>
              <w:t>6</w:t>
            </w:r>
            <w:r>
              <w:rPr>
                <w:color w:val="auto"/>
                <w:szCs w:val="21"/>
              </w:rPr>
              <w:t>°</w:t>
            </w:r>
            <w:r>
              <w:rPr>
                <w:rFonts w:hint="eastAsia"/>
                <w:color w:val="auto"/>
                <w:szCs w:val="21"/>
                <w:lang w:val="en-US" w:eastAsia="zh-CN"/>
              </w:rPr>
              <w:t>5</w:t>
            </w:r>
            <w:r>
              <w:rPr>
                <w:color w:val="auto"/>
                <w:szCs w:val="21"/>
              </w:rPr>
              <w:t>3′</w:t>
            </w:r>
            <w:r>
              <w:rPr>
                <w:rFonts w:hint="eastAsia"/>
                <w:color w:val="auto"/>
                <w:szCs w:val="21"/>
                <w:lang w:val="en-US" w:eastAsia="zh-CN"/>
              </w:rPr>
              <w:t>28.280</w:t>
            </w:r>
            <w:r>
              <w:rPr>
                <w:color w:val="auto"/>
                <w:szCs w:val="21"/>
              </w:rPr>
              <w:t>″，北纬3</w:t>
            </w:r>
            <w:r>
              <w:rPr>
                <w:rFonts w:hint="eastAsia"/>
                <w:color w:val="auto"/>
                <w:szCs w:val="21"/>
                <w:lang w:val="en-US" w:eastAsia="zh-CN"/>
              </w:rPr>
              <w:t>2</w:t>
            </w:r>
            <w:r>
              <w:rPr>
                <w:color w:val="auto"/>
                <w:szCs w:val="21"/>
              </w:rPr>
              <w:t>°</w:t>
            </w:r>
            <w:r>
              <w:rPr>
                <w:rFonts w:hint="eastAsia"/>
                <w:color w:val="auto"/>
                <w:szCs w:val="21"/>
                <w:lang w:val="en-US" w:eastAsia="zh-CN"/>
              </w:rPr>
              <w:t>34</w:t>
            </w:r>
            <w:r>
              <w:rPr>
                <w:color w:val="auto"/>
                <w:szCs w:val="21"/>
              </w:rPr>
              <w:t>′</w:t>
            </w:r>
            <w:r>
              <w:rPr>
                <w:rFonts w:hint="eastAsia"/>
                <w:color w:val="auto"/>
                <w:szCs w:val="21"/>
                <w:lang w:val="en-US" w:eastAsia="zh-CN"/>
              </w:rPr>
              <w:t>8.558</w:t>
            </w:r>
            <w:r>
              <w:rPr>
                <w:color w:val="auto"/>
                <w:szCs w:val="21"/>
              </w:rPr>
              <w:t>″</w:t>
            </w:r>
          </w:p>
        </w:tc>
      </w:tr>
      <w:tr w14:paraId="57D3D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61" w:hRule="atLeast"/>
          <w:jc w:val="center"/>
        </w:trPr>
        <w:tc>
          <w:tcPr>
            <w:tcW w:w="1431" w:type="dxa"/>
            <w:noWrap w:val="0"/>
            <w:tcMar>
              <w:top w:w="16" w:type="dxa"/>
              <w:left w:w="16" w:type="dxa"/>
              <w:right w:w="16" w:type="dxa"/>
            </w:tcMar>
            <w:vAlign w:val="center"/>
          </w:tcPr>
          <w:p w14:paraId="3D50A4C5">
            <w:pPr>
              <w:adjustRightInd w:val="0"/>
              <w:snapToGrid w:val="0"/>
              <w:jc w:val="center"/>
              <w:rPr>
                <w:color w:val="auto"/>
                <w:szCs w:val="21"/>
              </w:rPr>
            </w:pPr>
            <w:r>
              <w:rPr>
                <w:color w:val="auto"/>
                <w:szCs w:val="21"/>
              </w:rPr>
              <w:t>国民经济</w:t>
            </w:r>
          </w:p>
          <w:p w14:paraId="2336A45F">
            <w:pPr>
              <w:adjustRightInd w:val="0"/>
              <w:snapToGrid w:val="0"/>
              <w:jc w:val="center"/>
              <w:rPr>
                <w:color w:val="auto"/>
                <w:szCs w:val="21"/>
              </w:rPr>
            </w:pPr>
            <w:r>
              <w:rPr>
                <w:color w:val="auto"/>
                <w:szCs w:val="21"/>
              </w:rPr>
              <w:t>行业类别</w:t>
            </w:r>
          </w:p>
        </w:tc>
        <w:tc>
          <w:tcPr>
            <w:tcW w:w="2588" w:type="dxa"/>
            <w:noWrap w:val="0"/>
            <w:vAlign w:val="center"/>
          </w:tcPr>
          <w:p w14:paraId="1BDA49B6">
            <w:pPr>
              <w:adjustRightInd w:val="0"/>
              <w:snapToGrid w:val="0"/>
              <w:jc w:val="center"/>
              <w:rPr>
                <w:rFonts w:hint="eastAsia"/>
                <w:color w:val="auto"/>
                <w:szCs w:val="21"/>
              </w:rPr>
            </w:pPr>
            <w:r>
              <w:rPr>
                <w:rFonts w:hint="eastAsia"/>
                <w:color w:val="auto"/>
                <w:sz w:val="21"/>
                <w:szCs w:val="21"/>
              </w:rPr>
              <w:t>C</w:t>
            </w:r>
            <w:r>
              <w:rPr>
                <w:color w:val="auto"/>
                <w:sz w:val="21"/>
                <w:szCs w:val="21"/>
              </w:rPr>
              <w:t>3</w:t>
            </w:r>
            <w:r>
              <w:rPr>
                <w:rFonts w:hint="eastAsia"/>
                <w:color w:val="auto"/>
                <w:sz w:val="21"/>
                <w:szCs w:val="21"/>
                <w:lang w:val="en-US" w:eastAsia="zh-CN"/>
              </w:rPr>
              <w:t>054</w:t>
            </w:r>
            <w:r>
              <w:rPr>
                <w:rFonts w:ascii="宋体" w:hAnsi="宋体" w:eastAsia="宋体" w:cs="宋体"/>
                <w:color w:val="auto"/>
                <w:sz w:val="21"/>
                <w:szCs w:val="21"/>
              </w:rPr>
              <w:t>日用玻璃制品制造</w:t>
            </w:r>
          </w:p>
        </w:tc>
        <w:tc>
          <w:tcPr>
            <w:tcW w:w="2212" w:type="dxa"/>
            <w:noWrap w:val="0"/>
            <w:vAlign w:val="center"/>
          </w:tcPr>
          <w:p w14:paraId="5C783A04">
            <w:pPr>
              <w:adjustRightInd w:val="0"/>
              <w:snapToGrid w:val="0"/>
              <w:jc w:val="center"/>
              <w:rPr>
                <w:color w:val="auto"/>
                <w:szCs w:val="21"/>
              </w:rPr>
            </w:pPr>
            <w:bookmarkStart w:id="3" w:name="_Hlk49843745"/>
            <w:r>
              <w:rPr>
                <w:color w:val="auto"/>
                <w:szCs w:val="21"/>
              </w:rPr>
              <w:t>建设项目</w:t>
            </w:r>
          </w:p>
          <w:p w14:paraId="769F3309">
            <w:pPr>
              <w:adjustRightInd w:val="0"/>
              <w:snapToGrid w:val="0"/>
              <w:jc w:val="center"/>
              <w:rPr>
                <w:color w:val="auto"/>
                <w:szCs w:val="21"/>
              </w:rPr>
            </w:pPr>
            <w:r>
              <w:rPr>
                <w:color w:val="auto"/>
                <w:szCs w:val="21"/>
              </w:rPr>
              <w:t>行业类别</w:t>
            </w:r>
            <w:bookmarkEnd w:id="3"/>
          </w:p>
        </w:tc>
        <w:tc>
          <w:tcPr>
            <w:tcW w:w="2639" w:type="dxa"/>
            <w:noWrap w:val="0"/>
            <w:vAlign w:val="center"/>
          </w:tcPr>
          <w:p w14:paraId="0F0F640A">
            <w:pPr>
              <w:adjustRightInd w:val="0"/>
              <w:snapToGrid w:val="0"/>
              <w:rPr>
                <w:color w:val="auto"/>
                <w:szCs w:val="21"/>
              </w:rPr>
            </w:pPr>
            <w:r>
              <w:rPr>
                <w:rFonts w:hint="eastAsia"/>
                <w:bCs/>
                <w:color w:val="auto"/>
                <w:szCs w:val="21"/>
              </w:rPr>
              <w:t>玻璃制造 304</w:t>
            </w:r>
            <w:r>
              <w:rPr>
                <w:rFonts w:hint="eastAsia"/>
                <w:bCs/>
                <w:color w:val="auto"/>
                <w:szCs w:val="21"/>
                <w:lang w:val="en-US" w:eastAsia="zh-CN"/>
              </w:rPr>
              <w:t>;</w:t>
            </w:r>
            <w:r>
              <w:rPr>
                <w:rFonts w:hint="eastAsia"/>
                <w:bCs/>
                <w:color w:val="auto"/>
                <w:szCs w:val="21"/>
              </w:rPr>
              <w:t>玻璃制品制造 305——其他</w:t>
            </w:r>
          </w:p>
        </w:tc>
      </w:tr>
      <w:tr w14:paraId="58406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219" w:hRule="atLeast"/>
          <w:jc w:val="center"/>
        </w:trPr>
        <w:tc>
          <w:tcPr>
            <w:tcW w:w="1431" w:type="dxa"/>
            <w:noWrap w:val="0"/>
            <w:tcMar>
              <w:top w:w="16" w:type="dxa"/>
              <w:left w:w="16" w:type="dxa"/>
              <w:right w:w="16" w:type="dxa"/>
            </w:tcMar>
            <w:vAlign w:val="center"/>
          </w:tcPr>
          <w:p w14:paraId="6390FE32">
            <w:pPr>
              <w:adjustRightInd w:val="0"/>
              <w:snapToGrid w:val="0"/>
              <w:jc w:val="center"/>
              <w:rPr>
                <w:rFonts w:ascii="宋体" w:hAnsi="宋体"/>
                <w:color w:val="auto"/>
                <w:szCs w:val="21"/>
              </w:rPr>
            </w:pPr>
            <w:r>
              <w:rPr>
                <w:rFonts w:ascii="宋体" w:hAnsi="宋体"/>
                <w:color w:val="auto"/>
                <w:szCs w:val="21"/>
              </w:rPr>
              <w:t>建设性质</w:t>
            </w:r>
          </w:p>
        </w:tc>
        <w:tc>
          <w:tcPr>
            <w:tcW w:w="2588" w:type="dxa"/>
            <w:noWrap w:val="0"/>
            <w:vAlign w:val="center"/>
          </w:tcPr>
          <w:p w14:paraId="37FF2C1C">
            <w:pPr>
              <w:jc w:val="left"/>
              <w:rPr>
                <w:rFonts w:ascii="宋体" w:hAnsi="宋体"/>
                <w:color w:val="auto"/>
                <w:szCs w:val="21"/>
              </w:rPr>
            </w:pPr>
            <w:r>
              <w:rPr>
                <w:rFonts w:ascii="宋体" w:hAnsi="宋体"/>
                <w:color w:val="auto"/>
                <w:szCs w:val="21"/>
              </w:rPr>
              <w:t>□新建（迁建）</w:t>
            </w:r>
          </w:p>
          <w:p w14:paraId="52C42A34">
            <w:pPr>
              <w:jc w:val="left"/>
              <w:rPr>
                <w:rFonts w:ascii="宋体" w:hAnsi="宋体"/>
                <w:color w:val="auto"/>
                <w:szCs w:val="21"/>
              </w:rPr>
            </w:pPr>
            <w:r>
              <w:rPr>
                <w:rFonts w:ascii="宋体" w:hAnsi="宋体"/>
                <w:color w:val="auto"/>
                <w:szCs w:val="21"/>
              </w:rPr>
              <w:t>□改建</w:t>
            </w:r>
          </w:p>
          <w:p w14:paraId="023C52F6">
            <w:pPr>
              <w:jc w:val="left"/>
              <w:rPr>
                <w:rFonts w:ascii="宋体" w:hAnsi="宋体"/>
                <w:color w:val="auto"/>
                <w:szCs w:val="21"/>
              </w:rPr>
            </w:pPr>
            <w:r>
              <w:rPr>
                <w:rFonts w:hint="eastAsia" w:ascii="Segoe UI Emoji" w:hAnsi="Segoe UI Emoji" w:cs="Segoe UI Emoji"/>
                <w:color w:val="auto"/>
                <w:szCs w:val="21"/>
                <w:lang w:eastAsia="zh-CN"/>
              </w:rPr>
              <w:t>☑</w:t>
            </w:r>
            <w:r>
              <w:rPr>
                <w:rFonts w:ascii="宋体" w:hAnsi="宋体"/>
                <w:color w:val="auto"/>
                <w:szCs w:val="21"/>
              </w:rPr>
              <w:t>扩建</w:t>
            </w:r>
          </w:p>
          <w:p w14:paraId="7F95B04E">
            <w:pPr>
              <w:jc w:val="left"/>
              <w:rPr>
                <w:rFonts w:ascii="宋体" w:hAnsi="宋体"/>
                <w:color w:val="auto"/>
                <w:szCs w:val="21"/>
              </w:rPr>
            </w:pPr>
            <w:r>
              <w:rPr>
                <w:rFonts w:hint="eastAsia" w:ascii="Segoe UI Emoji" w:hAnsi="Segoe UI Emoji" w:cs="Segoe UI Emoji"/>
                <w:color w:val="auto"/>
                <w:szCs w:val="21"/>
                <w:lang w:eastAsia="zh-CN"/>
              </w:rPr>
              <w:t>☑</w:t>
            </w:r>
            <w:r>
              <w:rPr>
                <w:rFonts w:ascii="宋体" w:hAnsi="宋体"/>
                <w:color w:val="auto"/>
                <w:szCs w:val="21"/>
              </w:rPr>
              <w:t>技术改造</w:t>
            </w:r>
          </w:p>
        </w:tc>
        <w:tc>
          <w:tcPr>
            <w:tcW w:w="2212" w:type="dxa"/>
            <w:noWrap w:val="0"/>
            <w:vAlign w:val="center"/>
          </w:tcPr>
          <w:p w14:paraId="37E6DB60">
            <w:pPr>
              <w:adjustRightInd w:val="0"/>
              <w:snapToGrid w:val="0"/>
              <w:jc w:val="center"/>
              <w:rPr>
                <w:rFonts w:ascii="宋体" w:hAnsi="宋体"/>
                <w:color w:val="auto"/>
                <w:szCs w:val="21"/>
              </w:rPr>
            </w:pPr>
            <w:r>
              <w:rPr>
                <w:rFonts w:ascii="宋体" w:hAnsi="宋体"/>
                <w:color w:val="auto"/>
                <w:szCs w:val="21"/>
              </w:rPr>
              <w:t>建设项目</w:t>
            </w:r>
          </w:p>
          <w:p w14:paraId="15E17702">
            <w:pPr>
              <w:adjustRightInd w:val="0"/>
              <w:snapToGrid w:val="0"/>
              <w:jc w:val="center"/>
              <w:rPr>
                <w:rFonts w:ascii="宋体" w:hAnsi="宋体"/>
                <w:color w:val="auto"/>
                <w:szCs w:val="21"/>
              </w:rPr>
            </w:pPr>
            <w:r>
              <w:rPr>
                <w:rFonts w:ascii="宋体" w:hAnsi="宋体"/>
                <w:color w:val="auto"/>
                <w:szCs w:val="21"/>
              </w:rPr>
              <w:t>申报情形</w:t>
            </w:r>
          </w:p>
        </w:tc>
        <w:tc>
          <w:tcPr>
            <w:tcW w:w="2639" w:type="dxa"/>
            <w:noWrap w:val="0"/>
            <w:vAlign w:val="center"/>
          </w:tcPr>
          <w:p w14:paraId="2E4051AB">
            <w:pPr>
              <w:jc w:val="left"/>
              <w:rPr>
                <w:rFonts w:ascii="宋体" w:hAnsi="宋体"/>
                <w:color w:val="auto"/>
                <w:szCs w:val="21"/>
              </w:rPr>
            </w:pPr>
            <w:r>
              <w:rPr>
                <w:rFonts w:hint="eastAsia" w:ascii="Segoe UI Emoji" w:hAnsi="Segoe UI Emoji" w:cs="Segoe UI Emoji"/>
                <w:color w:val="auto"/>
                <w:szCs w:val="21"/>
                <w:lang w:eastAsia="zh-CN"/>
              </w:rPr>
              <w:t>☑</w:t>
            </w:r>
            <w:r>
              <w:rPr>
                <w:rFonts w:ascii="宋体" w:hAnsi="宋体"/>
                <w:color w:val="auto"/>
                <w:szCs w:val="21"/>
              </w:rPr>
              <w:t xml:space="preserve">首次申报项目             </w:t>
            </w:r>
          </w:p>
          <w:p w14:paraId="03AA540A">
            <w:pPr>
              <w:jc w:val="left"/>
              <w:rPr>
                <w:rFonts w:ascii="宋体" w:hAnsi="宋体"/>
                <w:color w:val="auto"/>
                <w:szCs w:val="21"/>
              </w:rPr>
            </w:pPr>
            <w:r>
              <w:rPr>
                <w:rFonts w:ascii="宋体" w:hAnsi="宋体"/>
                <w:color w:val="auto"/>
                <w:szCs w:val="21"/>
              </w:rPr>
              <w:t>□不予批准后再次申报项目</w:t>
            </w:r>
          </w:p>
          <w:p w14:paraId="75268128">
            <w:pPr>
              <w:jc w:val="left"/>
              <w:rPr>
                <w:rFonts w:ascii="宋体" w:hAnsi="宋体"/>
                <w:color w:val="auto"/>
                <w:szCs w:val="21"/>
              </w:rPr>
            </w:pPr>
            <w:r>
              <w:rPr>
                <w:rFonts w:ascii="宋体" w:hAnsi="宋体"/>
                <w:color w:val="auto"/>
                <w:szCs w:val="21"/>
              </w:rPr>
              <w:sym w:font="Wingdings 2" w:char="00A3"/>
            </w:r>
            <w:r>
              <w:rPr>
                <w:rFonts w:ascii="宋体" w:hAnsi="宋体"/>
                <w:color w:val="auto"/>
                <w:szCs w:val="21"/>
              </w:rPr>
              <w:t xml:space="preserve">超五年重新审核项目     </w:t>
            </w:r>
          </w:p>
          <w:p w14:paraId="21A5D35D">
            <w:pPr>
              <w:jc w:val="left"/>
              <w:rPr>
                <w:rFonts w:ascii="宋体" w:hAnsi="宋体"/>
                <w:color w:val="auto"/>
                <w:szCs w:val="21"/>
              </w:rPr>
            </w:pPr>
            <w:r>
              <w:rPr>
                <w:rFonts w:ascii="宋体" w:hAnsi="宋体"/>
                <w:color w:val="auto"/>
                <w:szCs w:val="21"/>
              </w:rPr>
              <w:t>□重大变动重新报批项目</w:t>
            </w:r>
          </w:p>
        </w:tc>
      </w:tr>
      <w:tr w14:paraId="76EAA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1" w:hRule="atLeast"/>
          <w:jc w:val="center"/>
        </w:trPr>
        <w:tc>
          <w:tcPr>
            <w:tcW w:w="1431" w:type="dxa"/>
            <w:noWrap w:val="0"/>
            <w:tcMar>
              <w:top w:w="16" w:type="dxa"/>
              <w:left w:w="16" w:type="dxa"/>
              <w:right w:w="16" w:type="dxa"/>
            </w:tcMar>
            <w:vAlign w:val="center"/>
          </w:tcPr>
          <w:p w14:paraId="401D9427">
            <w:pPr>
              <w:adjustRightInd w:val="0"/>
              <w:snapToGrid w:val="0"/>
              <w:jc w:val="center"/>
              <w:rPr>
                <w:color w:val="auto"/>
                <w:szCs w:val="21"/>
              </w:rPr>
            </w:pPr>
            <w:r>
              <w:rPr>
                <w:color w:val="auto"/>
                <w:szCs w:val="21"/>
              </w:rPr>
              <w:t>项目审批（核准/备案）部门（选填）</w:t>
            </w:r>
          </w:p>
        </w:tc>
        <w:tc>
          <w:tcPr>
            <w:tcW w:w="2588" w:type="dxa"/>
            <w:noWrap w:val="0"/>
            <w:vAlign w:val="center"/>
          </w:tcPr>
          <w:p w14:paraId="7050AEC8">
            <w:pPr>
              <w:adjustRightInd w:val="0"/>
              <w:snapToGrid w:val="0"/>
              <w:jc w:val="center"/>
              <w:rPr>
                <w:color w:val="auto"/>
                <w:szCs w:val="21"/>
              </w:rPr>
            </w:pPr>
            <w:r>
              <w:rPr>
                <w:rFonts w:hint="eastAsia"/>
                <w:bCs/>
                <w:color w:val="auto"/>
              </w:rPr>
              <w:t>谢家集区经济和信息化局</w:t>
            </w:r>
          </w:p>
        </w:tc>
        <w:tc>
          <w:tcPr>
            <w:tcW w:w="2212" w:type="dxa"/>
            <w:noWrap w:val="0"/>
            <w:vAlign w:val="center"/>
          </w:tcPr>
          <w:p w14:paraId="716EE3C6">
            <w:pPr>
              <w:adjustRightInd w:val="0"/>
              <w:snapToGrid w:val="0"/>
              <w:jc w:val="center"/>
              <w:rPr>
                <w:color w:val="auto"/>
                <w:szCs w:val="21"/>
              </w:rPr>
            </w:pPr>
            <w:r>
              <w:rPr>
                <w:color w:val="auto"/>
                <w:szCs w:val="21"/>
              </w:rPr>
              <w:t>项目审批（核准/</w:t>
            </w:r>
          </w:p>
          <w:p w14:paraId="57E9CA3E">
            <w:pPr>
              <w:adjustRightInd w:val="0"/>
              <w:snapToGrid w:val="0"/>
              <w:jc w:val="center"/>
              <w:rPr>
                <w:color w:val="auto"/>
                <w:szCs w:val="21"/>
              </w:rPr>
            </w:pPr>
            <w:r>
              <w:rPr>
                <w:color w:val="auto"/>
                <w:szCs w:val="21"/>
              </w:rPr>
              <w:t>备案）文号（选填）</w:t>
            </w:r>
          </w:p>
        </w:tc>
        <w:tc>
          <w:tcPr>
            <w:tcW w:w="2639" w:type="dxa"/>
            <w:noWrap w:val="0"/>
            <w:vAlign w:val="center"/>
          </w:tcPr>
          <w:p w14:paraId="5F37A012">
            <w:pPr>
              <w:adjustRightInd w:val="0"/>
              <w:snapToGrid w:val="0"/>
              <w:jc w:val="center"/>
              <w:rPr>
                <w:rFonts w:hint="eastAsia"/>
                <w:color w:val="auto"/>
                <w:szCs w:val="21"/>
              </w:rPr>
            </w:pPr>
            <w:r>
              <w:rPr>
                <w:rFonts w:hint="eastAsia"/>
                <w:color w:val="auto"/>
                <w:szCs w:val="21"/>
              </w:rPr>
              <w:t>谢经信〔202</w:t>
            </w:r>
            <w:r>
              <w:rPr>
                <w:rFonts w:hint="eastAsia"/>
                <w:color w:val="auto"/>
                <w:szCs w:val="21"/>
                <w:lang w:val="en-US" w:eastAsia="zh-CN"/>
              </w:rPr>
              <w:t>4</w:t>
            </w:r>
            <w:r>
              <w:rPr>
                <w:rFonts w:hint="eastAsia"/>
                <w:color w:val="auto"/>
                <w:szCs w:val="21"/>
              </w:rPr>
              <w:t>〕</w:t>
            </w:r>
            <w:r>
              <w:rPr>
                <w:rFonts w:hint="eastAsia"/>
                <w:color w:val="auto"/>
                <w:szCs w:val="21"/>
                <w:lang w:val="en-US" w:eastAsia="zh-CN"/>
              </w:rPr>
              <w:t>7</w:t>
            </w:r>
            <w:r>
              <w:rPr>
                <w:rFonts w:hint="eastAsia"/>
                <w:color w:val="auto"/>
                <w:szCs w:val="21"/>
              </w:rPr>
              <w:t>号</w:t>
            </w:r>
          </w:p>
        </w:tc>
      </w:tr>
      <w:tr w14:paraId="4B03C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73E55F82">
            <w:pPr>
              <w:adjustRightInd w:val="0"/>
              <w:snapToGrid w:val="0"/>
              <w:jc w:val="center"/>
              <w:rPr>
                <w:color w:val="auto"/>
                <w:szCs w:val="21"/>
              </w:rPr>
            </w:pPr>
            <w:r>
              <w:rPr>
                <w:color w:val="auto"/>
                <w:szCs w:val="21"/>
              </w:rPr>
              <w:t>总投资（万元）</w:t>
            </w:r>
          </w:p>
        </w:tc>
        <w:tc>
          <w:tcPr>
            <w:tcW w:w="2588" w:type="dxa"/>
            <w:noWrap w:val="0"/>
            <w:vAlign w:val="center"/>
          </w:tcPr>
          <w:p w14:paraId="7A9A972E">
            <w:pPr>
              <w:adjustRightInd w:val="0"/>
              <w:snapToGrid w:val="0"/>
              <w:jc w:val="center"/>
              <w:rPr>
                <w:rFonts w:hint="default" w:eastAsia="宋体"/>
                <w:color w:val="auto"/>
                <w:szCs w:val="21"/>
                <w:lang w:val="en-US" w:eastAsia="zh-CN"/>
              </w:rPr>
            </w:pPr>
            <w:r>
              <w:rPr>
                <w:rFonts w:hint="eastAsia"/>
                <w:color w:val="auto"/>
                <w:szCs w:val="21"/>
                <w:lang w:val="en-US" w:eastAsia="zh-CN"/>
              </w:rPr>
              <w:t>3000</w:t>
            </w:r>
          </w:p>
        </w:tc>
        <w:tc>
          <w:tcPr>
            <w:tcW w:w="2212" w:type="dxa"/>
            <w:noWrap w:val="0"/>
            <w:tcMar>
              <w:top w:w="16" w:type="dxa"/>
              <w:left w:w="16" w:type="dxa"/>
              <w:right w:w="16" w:type="dxa"/>
            </w:tcMar>
            <w:vAlign w:val="center"/>
          </w:tcPr>
          <w:p w14:paraId="3FB46EAD">
            <w:pPr>
              <w:adjustRightInd w:val="0"/>
              <w:snapToGrid w:val="0"/>
              <w:jc w:val="center"/>
              <w:rPr>
                <w:color w:val="auto"/>
                <w:szCs w:val="21"/>
              </w:rPr>
            </w:pPr>
            <w:r>
              <w:rPr>
                <w:color w:val="auto"/>
                <w:szCs w:val="21"/>
              </w:rPr>
              <w:t>环保投资（万元）</w:t>
            </w:r>
          </w:p>
        </w:tc>
        <w:tc>
          <w:tcPr>
            <w:tcW w:w="2639" w:type="dxa"/>
            <w:noWrap w:val="0"/>
            <w:vAlign w:val="center"/>
          </w:tcPr>
          <w:p w14:paraId="6598A6F9">
            <w:pPr>
              <w:adjustRightInd w:val="0"/>
              <w:snapToGrid w:val="0"/>
              <w:jc w:val="center"/>
              <w:rPr>
                <w:rFonts w:hint="default" w:eastAsia="宋体"/>
                <w:color w:val="auto"/>
                <w:szCs w:val="21"/>
                <w:lang w:val="en-US" w:eastAsia="zh-CN"/>
              </w:rPr>
            </w:pPr>
            <w:r>
              <w:rPr>
                <w:rFonts w:hint="eastAsia"/>
                <w:color w:val="auto"/>
                <w:szCs w:val="21"/>
                <w:lang w:val="en-US" w:eastAsia="zh-CN"/>
              </w:rPr>
              <w:t>300</w:t>
            </w:r>
          </w:p>
        </w:tc>
      </w:tr>
      <w:tr w14:paraId="309DA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405D4B92">
            <w:pPr>
              <w:adjustRightInd w:val="0"/>
              <w:snapToGrid w:val="0"/>
              <w:jc w:val="center"/>
              <w:rPr>
                <w:color w:val="auto"/>
                <w:szCs w:val="21"/>
              </w:rPr>
            </w:pPr>
            <w:r>
              <w:rPr>
                <w:color w:val="auto"/>
                <w:szCs w:val="21"/>
              </w:rPr>
              <w:t>环保投资占比（%）</w:t>
            </w:r>
          </w:p>
        </w:tc>
        <w:tc>
          <w:tcPr>
            <w:tcW w:w="2588" w:type="dxa"/>
            <w:noWrap w:val="0"/>
            <w:vAlign w:val="center"/>
          </w:tcPr>
          <w:p w14:paraId="484A196E">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2212" w:type="dxa"/>
            <w:noWrap w:val="0"/>
            <w:tcMar>
              <w:top w:w="16" w:type="dxa"/>
              <w:left w:w="16" w:type="dxa"/>
              <w:right w:w="16" w:type="dxa"/>
            </w:tcMar>
            <w:vAlign w:val="center"/>
          </w:tcPr>
          <w:p w14:paraId="2F5E4F29">
            <w:pPr>
              <w:adjustRightInd w:val="0"/>
              <w:snapToGrid w:val="0"/>
              <w:jc w:val="center"/>
              <w:rPr>
                <w:color w:val="auto"/>
                <w:szCs w:val="21"/>
              </w:rPr>
            </w:pPr>
            <w:r>
              <w:rPr>
                <w:color w:val="auto"/>
                <w:szCs w:val="21"/>
              </w:rPr>
              <w:t>施工工期</w:t>
            </w:r>
          </w:p>
        </w:tc>
        <w:tc>
          <w:tcPr>
            <w:tcW w:w="2639" w:type="dxa"/>
            <w:noWrap w:val="0"/>
            <w:vAlign w:val="center"/>
          </w:tcPr>
          <w:p w14:paraId="769D8916">
            <w:pPr>
              <w:adjustRightInd w:val="0"/>
              <w:snapToGrid w:val="0"/>
              <w:jc w:val="center"/>
              <w:rPr>
                <w:color w:val="auto"/>
                <w:szCs w:val="21"/>
              </w:rPr>
            </w:pPr>
            <w:r>
              <w:rPr>
                <w:color w:val="auto"/>
                <w:szCs w:val="21"/>
              </w:rPr>
              <w:t>1</w:t>
            </w:r>
            <w:r>
              <w:rPr>
                <w:rFonts w:hint="eastAsia"/>
                <w:color w:val="auto"/>
                <w:szCs w:val="21"/>
              </w:rPr>
              <w:t>个</w:t>
            </w:r>
            <w:r>
              <w:rPr>
                <w:color w:val="auto"/>
                <w:szCs w:val="21"/>
              </w:rPr>
              <w:t>月</w:t>
            </w:r>
          </w:p>
        </w:tc>
      </w:tr>
      <w:tr w14:paraId="2417D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431" w:type="dxa"/>
            <w:noWrap w:val="0"/>
            <w:tcMar>
              <w:top w:w="16" w:type="dxa"/>
              <w:left w:w="16" w:type="dxa"/>
              <w:right w:w="16" w:type="dxa"/>
            </w:tcMar>
            <w:vAlign w:val="center"/>
          </w:tcPr>
          <w:p w14:paraId="4E5543D7">
            <w:pPr>
              <w:adjustRightInd w:val="0"/>
              <w:snapToGrid w:val="0"/>
              <w:jc w:val="center"/>
              <w:rPr>
                <w:color w:val="auto"/>
                <w:szCs w:val="21"/>
              </w:rPr>
            </w:pPr>
            <w:r>
              <w:rPr>
                <w:color w:val="auto"/>
                <w:szCs w:val="21"/>
              </w:rPr>
              <w:t>是否开工建设</w:t>
            </w:r>
          </w:p>
        </w:tc>
        <w:tc>
          <w:tcPr>
            <w:tcW w:w="2588" w:type="dxa"/>
            <w:noWrap w:val="0"/>
            <w:vAlign w:val="center"/>
          </w:tcPr>
          <w:p w14:paraId="222FD504">
            <w:pPr>
              <w:adjustRightInd w:val="0"/>
              <w:snapToGrid w:val="0"/>
              <w:rPr>
                <w:color w:val="auto"/>
                <w:szCs w:val="21"/>
              </w:rPr>
            </w:pPr>
            <w:r>
              <w:rPr>
                <w:rFonts w:hint="eastAsia" w:ascii="Segoe UI Emoji" w:hAnsi="Segoe UI Emoji" w:cs="Segoe UI Emoji"/>
                <w:color w:val="auto"/>
                <w:szCs w:val="21"/>
                <w:lang w:eastAsia="zh-CN"/>
              </w:rPr>
              <w:t>☑</w:t>
            </w:r>
            <w:r>
              <w:rPr>
                <w:color w:val="auto"/>
                <w:szCs w:val="21"/>
              </w:rPr>
              <w:t>否</w:t>
            </w:r>
          </w:p>
          <w:p w14:paraId="5E728478">
            <w:pPr>
              <w:adjustRightInd w:val="0"/>
              <w:snapToGrid w:val="0"/>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2212" w:type="dxa"/>
            <w:noWrap w:val="0"/>
            <w:tcMar>
              <w:top w:w="16" w:type="dxa"/>
              <w:left w:w="16" w:type="dxa"/>
              <w:right w:w="16" w:type="dxa"/>
            </w:tcMar>
            <w:vAlign w:val="center"/>
          </w:tcPr>
          <w:p w14:paraId="05494F27">
            <w:pPr>
              <w:adjustRightInd w:val="0"/>
              <w:snapToGrid w:val="0"/>
              <w:ind w:firstLine="396"/>
              <w:jc w:val="center"/>
              <w:rPr>
                <w:color w:val="auto"/>
                <w:spacing w:val="-6"/>
                <w:szCs w:val="21"/>
              </w:rPr>
            </w:pPr>
            <w:r>
              <w:rPr>
                <w:color w:val="auto"/>
                <w:spacing w:val="-6"/>
                <w:szCs w:val="21"/>
              </w:rPr>
              <w:t>用地（用海）</w:t>
            </w:r>
          </w:p>
          <w:p w14:paraId="73134D40">
            <w:pPr>
              <w:adjustRightInd w:val="0"/>
              <w:snapToGrid w:val="0"/>
              <w:ind w:firstLine="396"/>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noWrap w:val="0"/>
            <w:vAlign w:val="center"/>
          </w:tcPr>
          <w:p w14:paraId="073AED4B">
            <w:pPr>
              <w:adjustRightInd w:val="0"/>
              <w:snapToGrid w:val="0"/>
              <w:jc w:val="center"/>
              <w:rPr>
                <w:color w:val="auto"/>
                <w:szCs w:val="21"/>
              </w:rPr>
            </w:pPr>
            <w:r>
              <w:rPr>
                <w:rFonts w:hint="eastAsia"/>
                <w:color w:val="auto"/>
                <w:szCs w:val="21"/>
              </w:rPr>
              <w:t>不新增用地</w:t>
            </w:r>
          </w:p>
        </w:tc>
      </w:tr>
      <w:tr w14:paraId="57F62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431" w:type="dxa"/>
            <w:noWrap w:val="0"/>
            <w:vAlign w:val="center"/>
          </w:tcPr>
          <w:p w14:paraId="43450089">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439" w:type="dxa"/>
            <w:gridSpan w:val="3"/>
            <w:noWrap w:val="0"/>
            <w:vAlign w:val="center"/>
          </w:tcPr>
          <w:p w14:paraId="17C3C1E6">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宋体" w:hAnsi="宋体" w:cs="宋体"/>
                <w:color w:val="auto"/>
                <w:kern w:val="0"/>
                <w:szCs w:val="21"/>
              </w:rPr>
            </w:pPr>
            <w:r>
              <w:rPr>
                <w:rFonts w:hint="eastAsia" w:ascii="Times New Roman" w:hAnsi="Times New Roman" w:eastAsia="宋体" w:cs="Times New Roman"/>
                <w:bCs/>
                <w:color w:val="auto"/>
                <w:kern w:val="2"/>
                <w:sz w:val="21"/>
                <w:szCs w:val="21"/>
                <w:lang w:val="en-US" w:eastAsia="zh-CN" w:bidi="ar-SA"/>
              </w:rPr>
              <w:t>本项目厂区内存储液化天然气50m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，主要成分为甲烷，暂存量为35.85t，临界量为10t；液化石油气(主要成分为丙烷)暂存量为1.5t，临界量为10t；管道天然气厂区内</w:t>
            </w:r>
            <w:r>
              <w:rPr>
                <w:rFonts w:hint="eastAsia" w:ascii="Times New Roman" w:hAnsi="Times New Roman" w:eastAsia="宋体" w:cs="Times New Roman"/>
                <w:bCs/>
                <w:color w:val="auto"/>
                <w:kern w:val="2"/>
                <w:sz w:val="21"/>
                <w:szCs w:val="21"/>
                <w:highlight w:val="none"/>
                <w:lang w:val="en-US" w:eastAsia="zh-CN" w:bidi="ar-SA"/>
              </w:rPr>
              <w:t>暂存量为0.0133t，柴油厂内暂存量为0.3t，临界量为2500t；液化天然气存储量超过临界量，</w:t>
            </w:r>
            <w:r>
              <w:rPr>
                <w:rFonts w:hint="eastAsia" w:ascii="Times New Roman" w:hAnsi="Times New Roman" w:eastAsia="宋体" w:cs="Times New Roman"/>
                <w:bCs/>
                <w:color w:val="auto"/>
                <w:kern w:val="2"/>
                <w:sz w:val="21"/>
                <w:szCs w:val="21"/>
                <w:lang w:val="en-US" w:eastAsia="zh-CN" w:bidi="ar-SA"/>
              </w:rPr>
              <w:t>因此属于有毒有害和易燃易爆危险物质存储量超过临界量</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的建设项目，需要编制风险专项。</w:t>
            </w:r>
          </w:p>
        </w:tc>
      </w:tr>
      <w:tr w14:paraId="125CA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431" w:type="dxa"/>
            <w:noWrap w:val="0"/>
            <w:vAlign w:val="center"/>
          </w:tcPr>
          <w:p w14:paraId="2791E441">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7439" w:type="dxa"/>
            <w:gridSpan w:val="3"/>
            <w:noWrap w:val="0"/>
            <w:vAlign w:val="center"/>
          </w:tcPr>
          <w:p w14:paraId="26BCA03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left"/>
              <w:rPr>
                <w:rFonts w:hint="eastAsia"/>
                <w:color w:val="auto"/>
                <w:sz w:val="21"/>
                <w:szCs w:val="21"/>
                <w:lang w:val="en-US"/>
              </w:rPr>
            </w:pPr>
            <w:r>
              <w:rPr>
                <w:rFonts w:hint="eastAsia"/>
                <w:color w:val="auto"/>
                <w:sz w:val="21"/>
                <w:szCs w:val="21"/>
                <w:lang w:val="en-US"/>
              </w:rPr>
              <w:t>规划名称：</w:t>
            </w:r>
            <w:r>
              <w:rPr>
                <w:rFonts w:hint="eastAsia"/>
                <w:color w:val="auto"/>
                <w:sz w:val="21"/>
                <w:szCs w:val="21"/>
                <w:lang w:val="en-US" w:eastAsia="zh-CN"/>
              </w:rPr>
              <w:t>《</w:t>
            </w:r>
            <w:r>
              <w:rPr>
                <w:rFonts w:hint="eastAsia" w:ascii="Times New Roman" w:hAnsi="Times New Roman" w:eastAsia="宋体" w:cs="Times New Roman"/>
                <w:bCs/>
                <w:color w:val="auto"/>
                <w:sz w:val="21"/>
                <w:szCs w:val="21"/>
                <w:lang w:val="en-US"/>
              </w:rPr>
              <w:t>安徽淮南工业园区总体发展规划（2013-2020年）</w:t>
            </w:r>
            <w:r>
              <w:rPr>
                <w:rFonts w:hint="eastAsia"/>
                <w:color w:val="auto"/>
                <w:sz w:val="21"/>
                <w:szCs w:val="21"/>
                <w:lang w:val="en-US" w:eastAsia="zh-CN"/>
              </w:rPr>
              <w:t>》</w:t>
            </w:r>
            <w:r>
              <w:rPr>
                <w:rFonts w:hint="eastAsia"/>
                <w:color w:val="auto"/>
                <w:sz w:val="21"/>
                <w:szCs w:val="21"/>
                <w:lang w:val="en-US"/>
              </w:rPr>
              <w:t>（现已更名为</w:t>
            </w:r>
            <w:r>
              <w:rPr>
                <w:rFonts w:hint="eastAsia" w:ascii="Times New Roman" w:hAnsi="Times New Roman" w:eastAsia="宋体" w:cs="Times New Roman"/>
                <w:bCs/>
                <w:color w:val="auto"/>
                <w:kern w:val="2"/>
                <w:sz w:val="21"/>
                <w:szCs w:val="21"/>
                <w:lang w:val="en-US" w:eastAsia="zh-CN" w:bidi="ar-SA"/>
              </w:rPr>
              <w:t>淮南高新区智造园</w:t>
            </w:r>
            <w:r>
              <w:rPr>
                <w:rFonts w:hint="eastAsia"/>
                <w:color w:val="auto"/>
                <w:sz w:val="21"/>
                <w:szCs w:val="21"/>
                <w:lang w:val="en-US"/>
              </w:rPr>
              <w:t>）</w:t>
            </w:r>
          </w:p>
          <w:p w14:paraId="3E0E6F16">
            <w:pPr>
              <w:pStyle w:val="84"/>
              <w:spacing w:line="360" w:lineRule="auto"/>
              <w:ind w:left="0" w:leftChars="0" w:firstLine="0" w:firstLineChars="0"/>
              <w:jc w:val="left"/>
              <w:rPr>
                <w:rFonts w:hint="eastAsia"/>
                <w:color w:val="auto"/>
                <w:sz w:val="21"/>
                <w:szCs w:val="21"/>
                <w:lang w:val="en-US"/>
              </w:rPr>
            </w:pPr>
            <w:r>
              <w:rPr>
                <w:rFonts w:hint="eastAsia"/>
                <w:color w:val="auto"/>
                <w:sz w:val="21"/>
                <w:szCs w:val="21"/>
                <w:lang w:val="en-US"/>
              </w:rPr>
              <w:t>审批机关：安徽省人民政府</w:t>
            </w:r>
          </w:p>
          <w:p w14:paraId="740C9584">
            <w:pPr>
              <w:pStyle w:val="84"/>
              <w:spacing w:line="360" w:lineRule="auto"/>
              <w:ind w:firstLine="0" w:firstLineChars="0"/>
              <w:jc w:val="left"/>
              <w:rPr>
                <w:color w:val="auto"/>
                <w:lang w:val="en-US" w:eastAsia="zh-CN"/>
              </w:rPr>
            </w:pPr>
            <w:r>
              <w:rPr>
                <w:rFonts w:hint="eastAsia"/>
                <w:color w:val="auto"/>
                <w:sz w:val="21"/>
                <w:szCs w:val="21"/>
                <w:lang w:val="en-US" w:eastAsia="zh-CN"/>
              </w:rPr>
              <w:t>审批文件名称及文号：/</w:t>
            </w:r>
          </w:p>
        </w:tc>
      </w:tr>
      <w:tr w14:paraId="4BF7E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431" w:type="dxa"/>
            <w:noWrap w:val="0"/>
            <w:vAlign w:val="center"/>
          </w:tcPr>
          <w:p w14:paraId="0702BE7A">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0D786E3C">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7439" w:type="dxa"/>
            <w:gridSpan w:val="3"/>
            <w:noWrap w:val="0"/>
            <w:vAlign w:val="center"/>
          </w:tcPr>
          <w:p w14:paraId="64A7BE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textAlignment w:val="auto"/>
              <w:rPr>
                <w:rFonts w:hint="eastAsia"/>
                <w:color w:val="auto"/>
                <w:sz w:val="24"/>
              </w:rPr>
            </w:pPr>
            <w:r>
              <w:rPr>
                <w:rFonts w:hint="eastAsia" w:ascii="Times New Roman" w:hAnsi="Times New Roman" w:eastAsia="宋体" w:cs="Times New Roman"/>
                <w:bCs/>
                <w:color w:val="auto"/>
                <w:lang w:val="en-US" w:eastAsia="zh-CN"/>
              </w:rPr>
              <w:t>（</w:t>
            </w:r>
            <w:r>
              <w:rPr>
                <w:rFonts w:hint="eastAsia"/>
                <w:color w:val="auto"/>
                <w:sz w:val="24"/>
              </w:rPr>
              <w:t>规划文件：《安徽淮南谢家集经济开发区总体发展规划（2023-2035年）环境影响报告书》</w:t>
            </w:r>
          </w:p>
          <w:p w14:paraId="4C6E406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0" w:firstLineChars="0"/>
              <w:jc w:val="left"/>
              <w:textAlignment w:val="auto"/>
              <w:rPr>
                <w:rFonts w:hint="default"/>
                <w:color w:val="auto"/>
                <w:sz w:val="24"/>
              </w:rPr>
            </w:pPr>
            <w:r>
              <w:rPr>
                <w:rFonts w:hint="eastAsia"/>
                <w:color w:val="auto"/>
                <w:sz w:val="24"/>
              </w:rPr>
              <w:t>审查单位：</w:t>
            </w:r>
            <w:r>
              <w:rPr>
                <w:rFonts w:hint="eastAsia"/>
                <w:color w:val="auto"/>
                <w:sz w:val="24"/>
                <w:lang w:val="en-US" w:eastAsia="zh-CN"/>
              </w:rPr>
              <w:t>安徽生态环境厅</w:t>
            </w:r>
          </w:p>
          <w:p w14:paraId="33A7C571">
            <w:pPr>
              <w:pStyle w:val="84"/>
              <w:ind w:firstLine="0" w:firstLineChars="0"/>
              <w:rPr>
                <w:rFonts w:hint="eastAsia"/>
                <w:color w:val="auto"/>
                <w:lang w:val="en-US" w:eastAsia="zh-CN"/>
              </w:rPr>
            </w:pPr>
            <w:r>
              <w:rPr>
                <w:rFonts w:hint="eastAsia"/>
                <w:color w:val="auto"/>
              </w:rPr>
              <w:t>审查文件名称及文号：</w:t>
            </w:r>
            <w:r>
              <w:rPr>
                <w:rFonts w:hint="default" w:ascii="Times New Roman" w:hAnsi="Times New Roman" w:cs="Times New Roman"/>
                <w:color w:val="auto"/>
                <w:lang w:eastAsia="zh-CN"/>
              </w:rPr>
              <w:t>《关于印送安徽淮南谢家集经济开发区总体发展规划（2023~2035年）环境影响报告书审查意见的函》</w:t>
            </w:r>
            <w:r>
              <w:rPr>
                <w:rFonts w:hint="eastAsia" w:cs="Times New Roman"/>
                <w:color w:val="auto"/>
                <w:lang w:val="en-US" w:eastAsia="zh-CN"/>
              </w:rPr>
              <w:t>皖环</w:t>
            </w:r>
            <w:r>
              <w:rPr>
                <w:rFonts w:hint="default" w:ascii="Times New Roman" w:hAnsi="Times New Roman" w:eastAsia="宋体" w:cs="Times New Roman"/>
                <w:b w:val="0"/>
                <w:bCs w:val="0"/>
                <w:color w:val="auto"/>
                <w:sz w:val="24"/>
                <w:szCs w:val="24"/>
              </w:rPr>
              <w:t>函〔</w:t>
            </w:r>
            <w:r>
              <w:rPr>
                <w:rFonts w:hint="default" w:ascii="Times New Roman" w:hAnsi="Times New Roman" w:eastAsia="TimesNewRomanPSMT" w:cs="Times New Roman"/>
                <w:b w:val="0"/>
                <w:bCs w:val="0"/>
                <w:color w:val="auto"/>
                <w:sz w:val="24"/>
                <w:szCs w:val="24"/>
              </w:rPr>
              <w:t>20</w:t>
            </w:r>
            <w:r>
              <w:rPr>
                <w:rFonts w:hint="default"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1</w:t>
            </w:r>
            <w:r>
              <w:rPr>
                <w:rFonts w:hint="eastAsia" w:cs="Times New Roman"/>
                <w:b w:val="0"/>
                <w:bCs w:val="0"/>
                <w:color w:val="auto"/>
                <w:sz w:val="24"/>
                <w:szCs w:val="24"/>
                <w:lang w:val="en-US" w:eastAsia="zh-CN"/>
              </w:rPr>
              <w:t>179</w:t>
            </w:r>
            <w:r>
              <w:rPr>
                <w:rFonts w:hint="default" w:ascii="Times New Roman" w:hAnsi="Times New Roman" w:eastAsia="宋体" w:cs="Times New Roman"/>
                <w:b w:val="0"/>
                <w:bCs w:val="0"/>
                <w:color w:val="auto"/>
                <w:sz w:val="24"/>
                <w:szCs w:val="24"/>
              </w:rPr>
              <w:t>号</w:t>
            </w:r>
          </w:p>
        </w:tc>
      </w:tr>
      <w:tr w14:paraId="7DB6F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431" w:type="dxa"/>
            <w:noWrap w:val="0"/>
            <w:vAlign w:val="center"/>
          </w:tcPr>
          <w:p w14:paraId="44514CD5">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规划及规划环境</w:t>
            </w:r>
          </w:p>
          <w:p w14:paraId="11A6FF01">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7439" w:type="dxa"/>
            <w:gridSpan w:val="3"/>
            <w:noWrap w:val="0"/>
            <w:vAlign w:val="center"/>
          </w:tcPr>
          <w:p w14:paraId="4A33D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为解决谢家集区矿产资源枯竭引起的经济发展问题，在原安徽淮南高新技术产业开发区（淮南市山南新区）智造园区辖区范围（不含国家级淮南高新技术产业开发区区块二范围），结合城市开发边界范围，安徽淮南高新技术产业开发区（淮南市山南新区）智造园区管委会拟对现有园区的四至范围和主导产业进行优化调整，在此基础上申请设立省级经济开发区—安徽淮南谢家集经济开发区。总规划面积为284.84公顷，包括三个区块，其中，区块一面积189.00公顷，四至范围为：东至范圩路，南至京港高铁北控制线，西至沿河路，北至春申大道—新河路—前郢路；区块二面积32.78公顷，四至范围为：东至B09地块东界，南至支三路，西至B07地块西界，北至102省道；区块三面积63.06公顷，四至范围为：东至孟岗路，南至102省道，西至B05地块西界，北至支五路。规划主导产业为：现代工程机械、汽车零部件、新型建材。</w:t>
            </w:r>
            <w:r>
              <w:rPr>
                <w:rFonts w:hint="default" w:ascii="Times New Roman" w:hAnsi="Times New Roman" w:eastAsia="宋体" w:cs="Times New Roman"/>
                <w:color w:val="auto"/>
                <w:sz w:val="21"/>
                <w:szCs w:val="21"/>
              </w:rPr>
              <w:t>安徽淮南谢家集经济开发区</w:t>
            </w:r>
            <w:r>
              <w:rPr>
                <w:rFonts w:hint="default" w:ascii="Times New Roman" w:hAnsi="Times New Roman" w:eastAsia="宋体" w:cs="Times New Roman"/>
                <w:color w:val="auto"/>
                <w:sz w:val="21"/>
                <w:szCs w:val="21"/>
                <w:lang w:val="en-US" w:eastAsia="zh-CN"/>
              </w:rPr>
              <w:t>发展历程如下表所示。</w:t>
            </w:r>
          </w:p>
          <w:p w14:paraId="1FB337F1">
            <w:pPr>
              <w:pStyle w:val="86"/>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 xml:space="preserve">表1-1  </w:t>
            </w:r>
            <w:r>
              <w:rPr>
                <w:rFonts w:hint="eastAsia"/>
                <w:color w:val="auto"/>
                <w:sz w:val="21"/>
                <w:szCs w:val="21"/>
              </w:rPr>
              <w:t>安徽淮南谢家集经济开发区</w:t>
            </w:r>
            <w:r>
              <w:rPr>
                <w:rFonts w:hint="eastAsia"/>
                <w:color w:val="auto"/>
                <w:sz w:val="21"/>
                <w:szCs w:val="21"/>
                <w:lang w:val="en-US" w:eastAsia="zh-CN"/>
              </w:rPr>
              <w:t>发展历程简介</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35"/>
              <w:gridCol w:w="2481"/>
              <w:gridCol w:w="1059"/>
              <w:gridCol w:w="1725"/>
              <w:gridCol w:w="1010"/>
            </w:tblGrid>
            <w:tr w14:paraId="446E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1F6F170">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时间</w:t>
                  </w:r>
                </w:p>
              </w:tc>
              <w:tc>
                <w:tcPr>
                  <w:tcW w:w="1720" w:type="pct"/>
                  <w:noWrap w:val="0"/>
                  <w:vAlign w:val="center"/>
                </w:tcPr>
                <w:p w14:paraId="080C4F2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审批内容</w:t>
                  </w:r>
                </w:p>
              </w:tc>
              <w:tc>
                <w:tcPr>
                  <w:tcW w:w="734" w:type="pct"/>
                  <w:noWrap w:val="0"/>
                  <w:vAlign w:val="center"/>
                </w:tcPr>
                <w:p w14:paraId="0F9D7BFC">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面积</w:t>
                  </w:r>
                </w:p>
              </w:tc>
              <w:tc>
                <w:tcPr>
                  <w:tcW w:w="1196" w:type="pct"/>
                  <w:noWrap w:val="0"/>
                  <w:vAlign w:val="center"/>
                </w:tcPr>
                <w:p w14:paraId="66DF205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范围</w:t>
                  </w:r>
                </w:p>
              </w:tc>
              <w:tc>
                <w:tcPr>
                  <w:tcW w:w="700" w:type="pct"/>
                  <w:noWrap w:val="0"/>
                  <w:vAlign w:val="center"/>
                </w:tcPr>
                <w:p w14:paraId="181DF6C4">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主导产业</w:t>
                  </w:r>
                </w:p>
              </w:tc>
            </w:tr>
            <w:tr w14:paraId="50D4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31193C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2006年2月23日</w:t>
                  </w:r>
                </w:p>
              </w:tc>
              <w:tc>
                <w:tcPr>
                  <w:tcW w:w="1720" w:type="pct"/>
                  <w:noWrap w:val="0"/>
                  <w:vAlign w:val="center"/>
                </w:tcPr>
                <w:p w14:paraId="0338AAEB">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安徽省人民政府以《安徽省人民政府关于设立合肥庐阳工业园区等省级开发区的批复》（皖政秘〔2006〕22号）文件，批准设立安徽淮南工业园区</w:t>
                  </w:r>
                </w:p>
              </w:tc>
              <w:tc>
                <w:tcPr>
                  <w:tcW w:w="734" w:type="pct"/>
                  <w:noWrap w:val="0"/>
                  <w:vAlign w:val="center"/>
                </w:tcPr>
                <w:p w14:paraId="1D94D4A7">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1平方公里</w:t>
                  </w:r>
                </w:p>
              </w:tc>
              <w:tc>
                <w:tcPr>
                  <w:tcW w:w="1196" w:type="pct"/>
                  <w:noWrap w:val="0"/>
                  <w:vAlign w:val="center"/>
                </w:tcPr>
                <w:p w14:paraId="6B178AE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规划用地范围东至孟岗、南至园艺场、西至新河戚东、北至新河薛洼</w:t>
                  </w:r>
                </w:p>
              </w:tc>
              <w:tc>
                <w:tcPr>
                  <w:tcW w:w="700" w:type="pct"/>
                  <w:noWrap w:val="0"/>
                  <w:vAlign w:val="center"/>
                </w:tcPr>
                <w:p w14:paraId="1156734B">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纺织、建材、食品</w:t>
                  </w:r>
                </w:p>
              </w:tc>
            </w:tr>
            <w:tr w14:paraId="2D7B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08F3D13D">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2007年10月</w:t>
                  </w:r>
                </w:p>
              </w:tc>
              <w:tc>
                <w:tcPr>
                  <w:tcW w:w="1720" w:type="pct"/>
                  <w:noWrap w:val="0"/>
                  <w:vAlign w:val="center"/>
                </w:tcPr>
                <w:p w14:paraId="3E89C15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原安徽省环保局以环评函〔2018〕311号文对该规划环评出具了《安徽淮南工业园区规划环境影响报告书》的审查意见</w:t>
                  </w:r>
                </w:p>
              </w:tc>
              <w:tc>
                <w:tcPr>
                  <w:tcW w:w="734" w:type="pct"/>
                  <w:noWrap w:val="0"/>
                  <w:vAlign w:val="center"/>
                </w:tcPr>
                <w:p w14:paraId="509FA0F6">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1平方公里</w:t>
                  </w:r>
                </w:p>
              </w:tc>
              <w:tc>
                <w:tcPr>
                  <w:tcW w:w="1196" w:type="pct"/>
                  <w:noWrap w:val="0"/>
                  <w:vAlign w:val="center"/>
                </w:tcPr>
                <w:p w14:paraId="4C74213B">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规划用地范围东至孟岗、南至园艺场、西至新河戚东、北至新河薛洼</w:t>
                  </w:r>
                </w:p>
              </w:tc>
              <w:tc>
                <w:tcPr>
                  <w:tcW w:w="700" w:type="pct"/>
                  <w:noWrap w:val="0"/>
                  <w:vAlign w:val="center"/>
                </w:tcPr>
                <w:p w14:paraId="323B30F8">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纺织、建材、食品</w:t>
                  </w:r>
                </w:p>
              </w:tc>
            </w:tr>
            <w:tr w14:paraId="03F0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F9617AE">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2013年7月17日</w:t>
                  </w:r>
                </w:p>
              </w:tc>
              <w:tc>
                <w:tcPr>
                  <w:tcW w:w="1720" w:type="pct"/>
                  <w:noWrap w:val="0"/>
                  <w:vAlign w:val="center"/>
                </w:tcPr>
                <w:p w14:paraId="51B3EA6A">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获得安徽省发展和改革委员会《关于安徽淮南工业园区扩区规划面积初步意见的函》</w:t>
                  </w:r>
                </w:p>
              </w:tc>
              <w:tc>
                <w:tcPr>
                  <w:tcW w:w="734" w:type="pct"/>
                  <w:noWrap w:val="0"/>
                  <w:vAlign w:val="center"/>
                </w:tcPr>
                <w:p w14:paraId="0933AC0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0FC01A58">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0B32B448">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3E9B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35CC3C19">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2013年8月</w:t>
                  </w:r>
                </w:p>
              </w:tc>
              <w:tc>
                <w:tcPr>
                  <w:tcW w:w="1720" w:type="pct"/>
                  <w:noWrap w:val="0"/>
                  <w:vAlign w:val="center"/>
                </w:tcPr>
                <w:p w14:paraId="0458DB5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委托合肥市规划设计研究院编制完成了《安徽淮南工业园区总体发展规划（2013-2020年）》</w:t>
                  </w:r>
                </w:p>
              </w:tc>
              <w:tc>
                <w:tcPr>
                  <w:tcW w:w="734" w:type="pct"/>
                  <w:noWrap w:val="0"/>
                  <w:vAlign w:val="center"/>
                </w:tcPr>
                <w:p w14:paraId="1593873A">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614BF8AC">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2A834C34">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2266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A8E7F9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2013年9月9日</w:t>
                  </w:r>
                </w:p>
              </w:tc>
              <w:tc>
                <w:tcPr>
                  <w:tcW w:w="1720" w:type="pct"/>
                  <w:noWrap w:val="0"/>
                  <w:vAlign w:val="center"/>
                </w:tcPr>
                <w:p w14:paraId="48F8719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委托安徽省科学技术咨询中心开展安徽淮南工业园区总体发展规划的环境影响评价工作</w:t>
                  </w:r>
                </w:p>
              </w:tc>
              <w:tc>
                <w:tcPr>
                  <w:tcW w:w="734" w:type="pct"/>
                  <w:noWrap w:val="0"/>
                  <w:vAlign w:val="center"/>
                </w:tcPr>
                <w:p w14:paraId="0371C29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2B96B9FC">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25AE79A2">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26C2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2005E00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2014年5月6日</w:t>
                  </w:r>
                </w:p>
              </w:tc>
              <w:tc>
                <w:tcPr>
                  <w:tcW w:w="1720" w:type="pct"/>
                  <w:noWrap w:val="0"/>
                  <w:vAlign w:val="center"/>
                </w:tcPr>
                <w:p w14:paraId="3EC47E6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安徽省环境保护厅对《安徽淮南工业园区总体发展规划环境影响报告书》进行了批复，批复文号为皖环函〔2014〕618号</w:t>
                  </w:r>
                </w:p>
              </w:tc>
              <w:tc>
                <w:tcPr>
                  <w:tcW w:w="734" w:type="pct"/>
                  <w:noWrap w:val="0"/>
                  <w:vAlign w:val="center"/>
                </w:tcPr>
                <w:p w14:paraId="24109F22">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42C06E4E">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4FD39C2B">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22DA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576CD05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2014年9月</w:t>
                  </w:r>
                </w:p>
              </w:tc>
              <w:tc>
                <w:tcPr>
                  <w:tcW w:w="1720" w:type="pct"/>
                  <w:noWrap w:val="0"/>
                  <w:vAlign w:val="center"/>
                </w:tcPr>
                <w:p w14:paraId="5FB4246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省政府将安徽淮南工业园区和安徽淮南高新技术产业开发区（筹）整合为安徽淮南高新技术产业开发区</w:t>
                  </w:r>
                </w:p>
              </w:tc>
              <w:tc>
                <w:tcPr>
                  <w:tcW w:w="734" w:type="pct"/>
                  <w:noWrap w:val="0"/>
                  <w:vAlign w:val="center"/>
                </w:tcPr>
                <w:p w14:paraId="7B17AB6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96" w:type="pct"/>
                  <w:noWrap w:val="0"/>
                  <w:vAlign w:val="center"/>
                </w:tcPr>
                <w:p w14:paraId="50DA44F7">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00" w:type="pct"/>
                  <w:noWrap w:val="0"/>
                  <w:vAlign w:val="center"/>
                </w:tcPr>
                <w:p w14:paraId="442C28D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5C3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0D6BEA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2015年9月</w:t>
                  </w:r>
                </w:p>
              </w:tc>
              <w:tc>
                <w:tcPr>
                  <w:tcW w:w="1720" w:type="pct"/>
                  <w:noWrap w:val="0"/>
                  <w:vAlign w:val="center"/>
                </w:tcPr>
                <w:p w14:paraId="5B86902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市政府按照打造“园中园”的总体思路，将原“淮南工业园区”正式更名为“淮南高新区智造园区”-淮编办〔2015〕9号</w:t>
                  </w:r>
                </w:p>
              </w:tc>
              <w:tc>
                <w:tcPr>
                  <w:tcW w:w="734" w:type="pct"/>
                  <w:noWrap w:val="0"/>
                  <w:vAlign w:val="center"/>
                </w:tcPr>
                <w:p w14:paraId="2C9170E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0945F4F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7B6300F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7479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5F5B6C3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2018年2月28日</w:t>
                  </w:r>
                </w:p>
              </w:tc>
              <w:tc>
                <w:tcPr>
                  <w:tcW w:w="1720" w:type="pct"/>
                  <w:noWrap w:val="0"/>
                  <w:vAlign w:val="center"/>
                </w:tcPr>
                <w:p w14:paraId="4629F649">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国务院正式批准淮南高新区升级国家级高新区-国函〔2018〕46号</w:t>
                  </w:r>
                </w:p>
              </w:tc>
              <w:tc>
                <w:tcPr>
                  <w:tcW w:w="734" w:type="pct"/>
                  <w:noWrap w:val="0"/>
                  <w:vAlign w:val="center"/>
                </w:tcPr>
                <w:p w14:paraId="5B1E93DA">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1769B41D">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54994B07">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693A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6565D76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2022年1月25日</w:t>
                  </w:r>
                </w:p>
              </w:tc>
              <w:tc>
                <w:tcPr>
                  <w:tcW w:w="1720" w:type="pct"/>
                  <w:noWrap w:val="0"/>
                  <w:vAlign w:val="center"/>
                </w:tcPr>
                <w:p w14:paraId="4D116574">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编制</w:t>
                  </w:r>
                  <w:r>
                    <w:rPr>
                      <w:rFonts w:hint="default" w:ascii="Times New Roman" w:hAnsi="Times New Roman" w:cs="Times New Roman"/>
                      <w:color w:val="auto"/>
                      <w:sz w:val="18"/>
                      <w:szCs w:val="18"/>
                    </w:rPr>
                    <w:t>《安徽淮南高新技术产业开发区（淮南市山南新区）智造园区总体发展规划环境影响跟踪评价报告书》</w:t>
                  </w:r>
                </w:p>
              </w:tc>
              <w:tc>
                <w:tcPr>
                  <w:tcW w:w="734" w:type="pct"/>
                  <w:noWrap w:val="0"/>
                  <w:vAlign w:val="center"/>
                </w:tcPr>
                <w:p w14:paraId="352D1B4A">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3.15平方公里</w:t>
                  </w:r>
                </w:p>
              </w:tc>
              <w:tc>
                <w:tcPr>
                  <w:tcW w:w="1196" w:type="pct"/>
                  <w:noWrap w:val="0"/>
                  <w:vAlign w:val="center"/>
                </w:tcPr>
                <w:p w14:paraId="0A66E8D6">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北起谢八路（东西部二通道）、南至102省道，东起新庄南路，西至新河泄洪沟</w:t>
                  </w:r>
                </w:p>
              </w:tc>
              <w:tc>
                <w:tcPr>
                  <w:tcW w:w="700" w:type="pct"/>
                  <w:noWrap w:val="0"/>
                  <w:vAlign w:val="center"/>
                </w:tcPr>
                <w:p w14:paraId="26EE4BB2">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机械制造、高新技术、新型材料</w:t>
                  </w:r>
                </w:p>
              </w:tc>
            </w:tr>
            <w:tr w14:paraId="1C4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3C47D2AF">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2023年7月</w:t>
                  </w:r>
                </w:p>
              </w:tc>
              <w:tc>
                <w:tcPr>
                  <w:tcW w:w="1720" w:type="pct"/>
                  <w:noWrap w:val="0"/>
                  <w:vAlign w:val="center"/>
                </w:tcPr>
                <w:p w14:paraId="61E31916">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CIDFont + F3" w:hAnsi="CIDFont + F3" w:eastAsia="CIDFont + F3" w:cs="CIDFont + F3"/>
                      <w:b w:val="0"/>
                      <w:bCs w:val="0"/>
                      <w:color w:val="auto"/>
                      <w:sz w:val="18"/>
                      <w:szCs w:val="18"/>
                    </w:rPr>
                    <w:t>安徽淮南谢家集经济开发区</w:t>
                  </w:r>
                </w:p>
              </w:tc>
              <w:tc>
                <w:tcPr>
                  <w:tcW w:w="734" w:type="pct"/>
                  <w:noWrap w:val="0"/>
                  <w:vAlign w:val="center"/>
                </w:tcPr>
                <w:p w14:paraId="66AB1BAA">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2.84</w:t>
                  </w:r>
                  <w:r>
                    <w:rPr>
                      <w:rFonts w:hint="default" w:ascii="Times New Roman" w:hAnsi="Times New Roman" w:cs="Times New Roman"/>
                      <w:color w:val="auto"/>
                      <w:sz w:val="18"/>
                      <w:szCs w:val="18"/>
                      <w:lang w:val="en-US" w:eastAsia="zh-CN"/>
                    </w:rPr>
                    <w:t>平方公里</w:t>
                  </w:r>
                </w:p>
              </w:tc>
              <w:tc>
                <w:tcPr>
                  <w:tcW w:w="1196" w:type="pct"/>
                  <w:vMerge w:val="restart"/>
                  <w:noWrap w:val="0"/>
                  <w:vAlign w:val="center"/>
                </w:tcPr>
                <w:p w14:paraId="7A336CDB">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eastAsia="CIDFont + F3" w:cs="Times New Roman"/>
                      <w:b w:val="0"/>
                      <w:bCs w:val="0"/>
                      <w:color w:val="auto"/>
                      <w:sz w:val="18"/>
                      <w:szCs w:val="18"/>
                    </w:rPr>
                    <w:t>区块一面积</w:t>
                  </w:r>
                  <w:r>
                    <w:rPr>
                      <w:rFonts w:hint="default" w:ascii="Times New Roman" w:hAnsi="Times New Roman" w:eastAsia="CIDFont + F5" w:cs="Times New Roman"/>
                      <w:b w:val="0"/>
                      <w:bCs w:val="0"/>
                      <w:color w:val="auto"/>
                      <w:sz w:val="18"/>
                      <w:szCs w:val="18"/>
                    </w:rPr>
                    <w:t>189</w:t>
                  </w:r>
                  <w:r>
                    <w:rPr>
                      <w:rFonts w:hint="default" w:ascii="Times New Roman" w:hAnsi="Times New Roman" w:eastAsia="CIDFont + F3" w:cs="Times New Roman"/>
                      <w:b w:val="0"/>
                      <w:bCs w:val="0"/>
                      <w:color w:val="auto"/>
                      <w:sz w:val="18"/>
                      <w:szCs w:val="18"/>
                    </w:rPr>
                    <w:t>公顷，四至范围为：东至范圩路，南至京港高铁北控制线，西至沿河路，北至春申大道</w:t>
                  </w:r>
                  <w:r>
                    <w:rPr>
                      <w:rFonts w:hint="default" w:ascii="Times New Roman" w:hAnsi="Times New Roman" w:eastAsia="CIDFont + F5" w:cs="Times New Roman"/>
                      <w:b w:val="0"/>
                      <w:bCs w:val="0"/>
                      <w:color w:val="auto"/>
                      <w:sz w:val="18"/>
                      <w:szCs w:val="18"/>
                    </w:rPr>
                    <w:t>—</w:t>
                  </w:r>
                  <w:r>
                    <w:rPr>
                      <w:rFonts w:hint="default" w:ascii="Times New Roman" w:hAnsi="Times New Roman" w:eastAsia="CIDFont + F3" w:cs="Times New Roman"/>
                      <w:b w:val="0"/>
                      <w:bCs w:val="0"/>
                      <w:color w:val="auto"/>
                      <w:sz w:val="18"/>
                      <w:szCs w:val="18"/>
                    </w:rPr>
                    <w:t>新河路</w:t>
                  </w:r>
                  <w:r>
                    <w:rPr>
                      <w:rFonts w:hint="default" w:ascii="Times New Roman" w:hAnsi="Times New Roman" w:eastAsia="CIDFont + F5" w:cs="Times New Roman"/>
                      <w:b w:val="0"/>
                      <w:bCs w:val="0"/>
                      <w:color w:val="auto"/>
                      <w:sz w:val="18"/>
                      <w:szCs w:val="18"/>
                    </w:rPr>
                    <w:t>—</w:t>
                  </w:r>
                  <w:r>
                    <w:rPr>
                      <w:rFonts w:hint="default" w:ascii="Times New Roman" w:hAnsi="Times New Roman" w:eastAsia="CIDFont + F3" w:cs="Times New Roman"/>
                      <w:b w:val="0"/>
                      <w:bCs w:val="0"/>
                      <w:color w:val="auto"/>
                      <w:sz w:val="18"/>
                      <w:szCs w:val="18"/>
                    </w:rPr>
                    <w:t>前郢路；区块二面积</w:t>
                  </w:r>
                  <w:r>
                    <w:rPr>
                      <w:rFonts w:hint="default" w:ascii="Times New Roman" w:hAnsi="Times New Roman" w:eastAsia="CIDFont + F5" w:cs="Times New Roman"/>
                      <w:b w:val="0"/>
                      <w:bCs w:val="0"/>
                      <w:color w:val="auto"/>
                      <w:sz w:val="18"/>
                      <w:szCs w:val="18"/>
                    </w:rPr>
                    <w:t>32.78</w:t>
                  </w:r>
                  <w:r>
                    <w:rPr>
                      <w:rFonts w:hint="default" w:ascii="Times New Roman" w:hAnsi="Times New Roman" w:eastAsia="CIDFont + F3" w:cs="Times New Roman"/>
                      <w:b w:val="0"/>
                      <w:bCs w:val="0"/>
                      <w:color w:val="auto"/>
                      <w:sz w:val="18"/>
                      <w:szCs w:val="18"/>
                    </w:rPr>
                    <w:t>公顷，四至范围为：东至</w:t>
                  </w:r>
                  <w:r>
                    <w:rPr>
                      <w:rFonts w:hint="default" w:ascii="Times New Roman" w:hAnsi="Times New Roman" w:eastAsia="CIDFont + F5" w:cs="Times New Roman"/>
                      <w:b w:val="0"/>
                      <w:bCs w:val="0"/>
                      <w:color w:val="auto"/>
                      <w:sz w:val="18"/>
                      <w:szCs w:val="18"/>
                    </w:rPr>
                    <w:t>B09</w:t>
                  </w:r>
                  <w:r>
                    <w:rPr>
                      <w:rFonts w:hint="default" w:ascii="Times New Roman" w:hAnsi="Times New Roman" w:eastAsia="CIDFont + F3" w:cs="Times New Roman"/>
                      <w:b w:val="0"/>
                      <w:bCs w:val="0"/>
                      <w:color w:val="auto"/>
                      <w:sz w:val="18"/>
                      <w:szCs w:val="18"/>
                    </w:rPr>
                    <w:t>地块东界，南至支三路，西至</w:t>
                  </w:r>
                  <w:r>
                    <w:rPr>
                      <w:rFonts w:hint="default" w:ascii="Times New Roman" w:hAnsi="Times New Roman" w:eastAsia="CIDFont + F5" w:cs="Times New Roman"/>
                      <w:b w:val="0"/>
                      <w:bCs w:val="0"/>
                      <w:color w:val="auto"/>
                      <w:sz w:val="18"/>
                      <w:szCs w:val="18"/>
                    </w:rPr>
                    <w:t>B07</w:t>
                  </w:r>
                  <w:r>
                    <w:rPr>
                      <w:rFonts w:hint="default" w:ascii="Times New Roman" w:hAnsi="Times New Roman" w:eastAsia="CIDFont + F3" w:cs="Times New Roman"/>
                      <w:b w:val="0"/>
                      <w:bCs w:val="0"/>
                      <w:color w:val="auto"/>
                      <w:sz w:val="18"/>
                      <w:szCs w:val="18"/>
                    </w:rPr>
                    <w:t>地块西界，北至</w:t>
                  </w:r>
                  <w:r>
                    <w:rPr>
                      <w:rFonts w:hint="default" w:ascii="Times New Roman" w:hAnsi="Times New Roman" w:eastAsia="CIDFont + F5" w:cs="Times New Roman"/>
                      <w:b w:val="0"/>
                      <w:bCs w:val="0"/>
                      <w:color w:val="auto"/>
                      <w:sz w:val="18"/>
                      <w:szCs w:val="18"/>
                    </w:rPr>
                    <w:t>102</w:t>
                  </w:r>
                  <w:r>
                    <w:rPr>
                      <w:rFonts w:hint="default" w:ascii="Times New Roman" w:hAnsi="Times New Roman" w:eastAsia="CIDFont + F3" w:cs="Times New Roman"/>
                      <w:b w:val="0"/>
                      <w:bCs w:val="0"/>
                      <w:color w:val="auto"/>
                      <w:sz w:val="18"/>
                      <w:szCs w:val="18"/>
                    </w:rPr>
                    <w:t>省道；区块三面积</w:t>
                  </w:r>
                  <w:r>
                    <w:rPr>
                      <w:rFonts w:hint="default" w:ascii="Times New Roman" w:hAnsi="Times New Roman" w:eastAsia="CIDFont + F5" w:cs="Times New Roman"/>
                      <w:b w:val="0"/>
                      <w:bCs w:val="0"/>
                      <w:color w:val="auto"/>
                      <w:sz w:val="18"/>
                      <w:szCs w:val="18"/>
                    </w:rPr>
                    <w:t>63.06</w:t>
                  </w:r>
                  <w:r>
                    <w:rPr>
                      <w:rFonts w:hint="default" w:ascii="Times New Roman" w:hAnsi="Times New Roman" w:eastAsia="CIDFont + F3" w:cs="Times New Roman"/>
                      <w:b w:val="0"/>
                      <w:bCs w:val="0"/>
                      <w:color w:val="auto"/>
                      <w:sz w:val="18"/>
                      <w:szCs w:val="18"/>
                    </w:rPr>
                    <w:t>公顷，四至范围为：东至孟岗路，南至</w:t>
                  </w:r>
                  <w:r>
                    <w:rPr>
                      <w:rFonts w:hint="default" w:ascii="Times New Roman" w:hAnsi="Times New Roman" w:eastAsia="CIDFont + F5" w:cs="Times New Roman"/>
                      <w:b w:val="0"/>
                      <w:bCs w:val="0"/>
                      <w:color w:val="auto"/>
                      <w:sz w:val="18"/>
                      <w:szCs w:val="18"/>
                    </w:rPr>
                    <w:t>102</w:t>
                  </w:r>
                  <w:r>
                    <w:rPr>
                      <w:rFonts w:hint="default" w:ascii="Times New Roman" w:hAnsi="Times New Roman" w:eastAsia="CIDFont + F3" w:cs="Times New Roman"/>
                      <w:b w:val="0"/>
                      <w:bCs w:val="0"/>
                      <w:color w:val="auto"/>
                      <w:sz w:val="18"/>
                      <w:szCs w:val="18"/>
                    </w:rPr>
                    <w:t>省道，西至</w:t>
                  </w:r>
                  <w:r>
                    <w:rPr>
                      <w:rFonts w:hint="default" w:ascii="Times New Roman" w:hAnsi="Times New Roman" w:eastAsia="CIDFont + F5" w:cs="Times New Roman"/>
                      <w:b w:val="0"/>
                      <w:bCs w:val="0"/>
                      <w:color w:val="auto"/>
                      <w:sz w:val="18"/>
                      <w:szCs w:val="18"/>
                    </w:rPr>
                    <w:t>B05</w:t>
                  </w:r>
                  <w:r>
                    <w:rPr>
                      <w:rFonts w:hint="default" w:ascii="Times New Roman" w:hAnsi="Times New Roman" w:eastAsia="CIDFont + F3" w:cs="Times New Roman"/>
                      <w:b w:val="0"/>
                      <w:bCs w:val="0"/>
                      <w:color w:val="auto"/>
                      <w:sz w:val="18"/>
                      <w:szCs w:val="18"/>
                    </w:rPr>
                    <w:t>地块西界，北至支五路。</w:t>
                  </w:r>
                </w:p>
              </w:tc>
              <w:tc>
                <w:tcPr>
                  <w:tcW w:w="700" w:type="pct"/>
                  <w:noWrap w:val="0"/>
                  <w:vAlign w:val="center"/>
                </w:tcPr>
                <w:p w14:paraId="0083674E">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现代工程机械、汽车零部件、新型建材</w:t>
                  </w:r>
                </w:p>
              </w:tc>
            </w:tr>
            <w:tr w14:paraId="0140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48" w:type="pct"/>
                  <w:noWrap w:val="0"/>
                  <w:vAlign w:val="center"/>
                </w:tcPr>
                <w:p w14:paraId="4B944C8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2023年11月</w:t>
                  </w:r>
                </w:p>
              </w:tc>
              <w:tc>
                <w:tcPr>
                  <w:tcW w:w="1720" w:type="pct"/>
                  <w:noWrap w:val="0"/>
                  <w:vAlign w:val="center"/>
                </w:tcPr>
                <w:p w14:paraId="7A4A54E5">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CIDFont + F3" w:hAnsi="CIDFont + F3" w:eastAsia="CIDFont + F3" w:cs="CIDFont + F3"/>
                      <w:b w:val="0"/>
                      <w:bCs w:val="0"/>
                      <w:color w:val="auto"/>
                      <w:sz w:val="18"/>
                      <w:szCs w:val="18"/>
                    </w:rPr>
                  </w:pPr>
                  <w:r>
                    <w:rPr>
                      <w:rFonts w:hint="default" w:ascii="Times New Roman" w:hAnsi="Times New Roman" w:eastAsia="CIDFont + F3" w:cs="Times New Roman"/>
                      <w:b w:val="0"/>
                      <w:bCs w:val="0"/>
                      <w:color w:val="auto"/>
                      <w:sz w:val="18"/>
                      <w:szCs w:val="18"/>
                    </w:rPr>
                    <w:t>委托编制《安徽淮南谢家集经济开发区总体发展规划（2023-2035年）</w:t>
                  </w:r>
                  <w:r>
                    <w:rPr>
                      <w:rFonts w:hint="eastAsia" w:ascii="Times New Roman" w:hAnsi="Times New Roman" w:eastAsia="宋体" w:cs="Times New Roman"/>
                      <w:b w:val="0"/>
                      <w:bCs w:val="0"/>
                      <w:color w:val="auto"/>
                      <w:sz w:val="18"/>
                      <w:szCs w:val="18"/>
                      <w:lang w:val="en-US" w:eastAsia="zh-CN"/>
                    </w:rPr>
                    <w:t>环境影响报告书</w:t>
                  </w:r>
                  <w:r>
                    <w:rPr>
                      <w:rFonts w:hint="default" w:ascii="Times New Roman" w:hAnsi="Times New Roman" w:eastAsia="CIDFont + F3" w:cs="Times New Roman"/>
                      <w:b w:val="0"/>
                      <w:bCs w:val="0"/>
                      <w:color w:val="auto"/>
                      <w:sz w:val="18"/>
                      <w:szCs w:val="18"/>
                    </w:rPr>
                    <w:t>》</w:t>
                  </w:r>
                </w:p>
              </w:tc>
              <w:tc>
                <w:tcPr>
                  <w:tcW w:w="734" w:type="pct"/>
                  <w:noWrap w:val="0"/>
                  <w:vAlign w:val="center"/>
                </w:tcPr>
                <w:p w14:paraId="0D9F27FC">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2.84</w:t>
                  </w:r>
                  <w:r>
                    <w:rPr>
                      <w:rFonts w:hint="default" w:ascii="Times New Roman" w:hAnsi="Times New Roman" w:cs="Times New Roman"/>
                      <w:color w:val="auto"/>
                      <w:sz w:val="18"/>
                      <w:szCs w:val="18"/>
                      <w:lang w:val="en-US" w:eastAsia="zh-CN"/>
                    </w:rPr>
                    <w:t>平方公里</w:t>
                  </w:r>
                </w:p>
              </w:tc>
              <w:tc>
                <w:tcPr>
                  <w:tcW w:w="1196" w:type="pct"/>
                  <w:vMerge w:val="continue"/>
                  <w:noWrap w:val="0"/>
                  <w:vAlign w:val="center"/>
                </w:tcPr>
                <w:p w14:paraId="0974A071">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p>
              </w:tc>
              <w:tc>
                <w:tcPr>
                  <w:tcW w:w="700" w:type="pct"/>
                  <w:noWrap w:val="0"/>
                  <w:vAlign w:val="center"/>
                </w:tcPr>
                <w:p w14:paraId="4D2834F3">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现代工程机械、汽车零部件、新型建材</w:t>
                  </w:r>
                </w:p>
              </w:tc>
            </w:tr>
          </w:tbl>
          <w:p w14:paraId="61A41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1、与</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安徽淮南谢家集经济开发区总体发展规划（2023-2035年）</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相符性分析</w:t>
            </w:r>
          </w:p>
          <w:p w14:paraId="19D32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范围：区块一面积189公顷，四至范围为：东至范圩路，南至京港高铁北控制线，西至沿河路，北至春申大道—新河路—前郢路；区块二面积32.78公顷，四至范围为：东至B09地块东界，南至支三路，西至B07地块西界，北至102省道；区块三面积63.06公顷，四至范围为：东至孟岗路，南至102省道，西至B05地块西界，北至支五路。</w:t>
            </w:r>
          </w:p>
          <w:p w14:paraId="24186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rPr>
              <w:t>主导产业</w:t>
            </w:r>
            <w:r>
              <w:rPr>
                <w:rFonts w:hint="default" w:ascii="Times New Roman" w:hAnsi="Times New Roman" w:eastAsia="宋体" w:cs="Times New Roman"/>
                <w:snapToGrid w:val="0"/>
                <w:color w:val="auto"/>
                <w:sz w:val="21"/>
                <w:szCs w:val="21"/>
              </w:rPr>
              <w:t>：现代工程机械、汽车零部件、新型建材。</w:t>
            </w:r>
          </w:p>
          <w:p w14:paraId="146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涉及行业类别为</w:t>
            </w:r>
            <w:r>
              <w:rPr>
                <w:rFonts w:hint="eastAsia"/>
                <w:color w:val="auto"/>
                <w:sz w:val="21"/>
                <w:szCs w:val="21"/>
              </w:rPr>
              <w:t>C</w:t>
            </w:r>
            <w:r>
              <w:rPr>
                <w:color w:val="auto"/>
                <w:sz w:val="21"/>
                <w:szCs w:val="21"/>
              </w:rPr>
              <w:t>3</w:t>
            </w:r>
            <w:r>
              <w:rPr>
                <w:rFonts w:hint="eastAsia"/>
                <w:color w:val="auto"/>
                <w:sz w:val="21"/>
                <w:szCs w:val="21"/>
                <w:lang w:val="en-US" w:eastAsia="zh-CN"/>
              </w:rPr>
              <w:t>054</w:t>
            </w:r>
            <w:r>
              <w:rPr>
                <w:rFonts w:ascii="宋体" w:hAnsi="宋体" w:eastAsia="宋体" w:cs="宋体"/>
                <w:color w:val="auto"/>
                <w:sz w:val="21"/>
                <w:szCs w:val="21"/>
              </w:rPr>
              <w:t>日用玻璃制品制造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根据对照《安徽淮南谢家集经济开发区总体发展规划（2023-2035年）》产业空间布局图（见附图4-1），开发区共计分为新型建材产业组团、汽车零部件及配件产业组团、现代工程机械产业组团、新兴产业组团，本项目位于</w:t>
            </w:r>
            <w:r>
              <w:rPr>
                <w:rFonts w:hint="eastAsia" w:ascii="Times New Roman" w:hAnsi="Times New Roman" w:eastAsia="宋体" w:cs="Times New Roman"/>
                <w:color w:val="auto"/>
                <w:sz w:val="21"/>
                <w:szCs w:val="21"/>
                <w:lang w:val="en-US" w:eastAsia="zh-CN"/>
              </w:rPr>
              <w:t>新型建材组团</w:t>
            </w:r>
            <w:r>
              <w:rPr>
                <w:rFonts w:hint="default" w:ascii="Times New Roman" w:hAnsi="Times New Roman" w:eastAsia="宋体" w:cs="Times New Roman"/>
                <w:color w:val="auto"/>
                <w:sz w:val="21"/>
                <w:szCs w:val="21"/>
                <w:lang w:val="en-US" w:eastAsia="zh-CN"/>
              </w:rPr>
              <w:t>，本项目主要进行</w:t>
            </w:r>
            <w:r>
              <w:rPr>
                <w:rFonts w:hint="eastAsia" w:ascii="Times New Roman" w:hAnsi="Times New Roman" w:eastAsia="宋体" w:cs="Times New Roman"/>
                <w:color w:val="auto"/>
                <w:sz w:val="21"/>
                <w:szCs w:val="21"/>
                <w:lang w:val="en-US" w:eastAsia="zh-CN"/>
              </w:rPr>
              <w:t>日用玻璃制品生产</w:t>
            </w:r>
            <w:r>
              <w:rPr>
                <w:rFonts w:hint="default" w:ascii="Times New Roman" w:hAnsi="Times New Roman" w:eastAsia="宋体" w:cs="Times New Roman"/>
                <w:color w:val="auto"/>
                <w:sz w:val="21"/>
                <w:szCs w:val="21"/>
                <w:lang w:val="en-US" w:eastAsia="zh-CN"/>
              </w:rPr>
              <w:t>，不属于开发区主导产业，不在园区限制、控制、禁止进入行业范围内，企业服务于开发区内各类工业生产企业，属于配套服务行业，按照“非禁即入”原则，</w:t>
            </w:r>
            <w:r>
              <w:rPr>
                <w:rFonts w:hint="default" w:ascii="Times New Roman" w:hAnsi="Times New Roman" w:eastAsia="宋体" w:cs="Times New Roman"/>
                <w:color w:val="auto"/>
                <w:sz w:val="21"/>
                <w:szCs w:val="21"/>
              </w:rPr>
              <w:t>本项目满足</w:t>
            </w:r>
            <w:r>
              <w:rPr>
                <w:rFonts w:hint="default" w:ascii="Times New Roman" w:hAnsi="Times New Roman" w:eastAsia="宋体" w:cs="Times New Roman"/>
                <w:color w:val="auto"/>
                <w:sz w:val="21"/>
                <w:szCs w:val="21"/>
                <w:lang w:val="en-US" w:eastAsia="zh-CN"/>
              </w:rPr>
              <w:t>安徽淮南谢家集经济开发区</w:t>
            </w:r>
            <w:r>
              <w:rPr>
                <w:rFonts w:hint="default" w:ascii="Times New Roman" w:hAnsi="Times New Roman" w:eastAsia="宋体" w:cs="Times New Roman"/>
                <w:color w:val="auto"/>
                <w:sz w:val="21"/>
                <w:szCs w:val="21"/>
              </w:rPr>
              <w:t>规划要求。</w:t>
            </w:r>
          </w:p>
          <w:p w14:paraId="5BB0F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lang w:val="en-US" w:eastAsia="zh-CN"/>
              </w:rPr>
              <w:t>《安徽淮南谢家集经济开发区总体发展规划（2023-2035年）》土地利用规划图</w:t>
            </w:r>
            <w:r>
              <w:rPr>
                <w:rFonts w:hint="default" w:ascii="Times New Roman" w:hAnsi="Times New Roman" w:eastAsia="宋体" w:cs="Times New Roman"/>
                <w:color w:val="auto"/>
                <w:sz w:val="21"/>
                <w:szCs w:val="21"/>
              </w:rPr>
              <w:t>（见附图4</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及企业提供土地证</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企业用地</w:t>
            </w:r>
            <w:r>
              <w:rPr>
                <w:rFonts w:hint="default" w:ascii="Times New Roman" w:hAnsi="Times New Roman" w:eastAsia="宋体" w:cs="Times New Roman"/>
                <w:color w:val="auto"/>
                <w:sz w:val="21"/>
                <w:szCs w:val="21"/>
              </w:rPr>
              <w:t>类型为二类工业用地，本项目</w:t>
            </w:r>
            <w:r>
              <w:rPr>
                <w:rFonts w:hint="eastAsia" w:ascii="Times New Roman" w:hAnsi="Times New Roman" w:eastAsia="宋体" w:cs="Times New Roman"/>
                <w:color w:val="auto"/>
                <w:sz w:val="21"/>
                <w:szCs w:val="21"/>
                <w:lang w:val="en-US" w:eastAsia="zh-CN"/>
              </w:rPr>
              <w:t>为技改项目，</w:t>
            </w:r>
            <w:r>
              <w:rPr>
                <w:rFonts w:hint="default" w:ascii="Times New Roman" w:hAnsi="Times New Roman" w:eastAsia="宋体" w:cs="Times New Roman"/>
                <w:color w:val="auto"/>
                <w:sz w:val="21"/>
                <w:szCs w:val="21"/>
              </w:rPr>
              <w:t>主要进行</w:t>
            </w:r>
            <w:r>
              <w:rPr>
                <w:rFonts w:hint="eastAsia" w:ascii="Times New Roman" w:hAnsi="Times New Roman" w:eastAsia="宋体" w:cs="Times New Roman"/>
                <w:color w:val="auto"/>
                <w:sz w:val="21"/>
                <w:szCs w:val="21"/>
                <w:lang w:val="en-US" w:eastAsia="zh-CN"/>
              </w:rPr>
              <w:t>日用玻璃制品生产</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项目用地类型符合建设内容要求，</w:t>
            </w:r>
            <w:r>
              <w:rPr>
                <w:rFonts w:hint="default" w:ascii="Times New Roman" w:hAnsi="Times New Roman" w:eastAsia="宋体" w:cs="Times New Roman"/>
                <w:color w:val="auto"/>
                <w:sz w:val="21"/>
                <w:szCs w:val="21"/>
              </w:rPr>
              <w:t>因此项目的建设符合园区规划，因此项目建设符合《</w:t>
            </w:r>
            <w:r>
              <w:rPr>
                <w:rFonts w:hint="default" w:ascii="Times New Roman" w:hAnsi="Times New Roman" w:eastAsia="宋体" w:cs="Times New Roman"/>
                <w:color w:val="auto"/>
                <w:sz w:val="21"/>
                <w:szCs w:val="21"/>
                <w:lang w:val="en-US" w:eastAsia="zh-CN"/>
              </w:rPr>
              <w:t>安徽淮南谢家集经济开发区总体发展规划（2023-2035年）</w:t>
            </w:r>
            <w:r>
              <w:rPr>
                <w:rFonts w:hint="default" w:ascii="Times New Roman" w:hAnsi="Times New Roman" w:eastAsia="宋体" w:cs="Times New Roman"/>
                <w:color w:val="auto"/>
                <w:sz w:val="21"/>
                <w:szCs w:val="21"/>
              </w:rPr>
              <w:t>》要求。</w:t>
            </w:r>
          </w:p>
          <w:p w14:paraId="69AF4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、与《安徽淮南谢家集经济开发区总体发展规划（2023-2035年）环境影响</w:t>
            </w:r>
            <w:r>
              <w:rPr>
                <w:rFonts w:hint="default" w:ascii="Times New Roman" w:hAnsi="Times New Roman" w:eastAsia="宋体" w:cs="Times New Roman"/>
                <w:b/>
                <w:bCs/>
                <w:color w:val="auto"/>
                <w:sz w:val="21"/>
                <w:szCs w:val="21"/>
                <w:lang w:eastAsia="zh-CN"/>
              </w:rPr>
              <w:t>评价报告书</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及审查意见</w:t>
            </w:r>
            <w:r>
              <w:rPr>
                <w:rFonts w:hint="default" w:ascii="Times New Roman" w:hAnsi="Times New Roman" w:eastAsia="宋体" w:cs="Times New Roman"/>
                <w:b/>
                <w:bCs/>
                <w:color w:val="auto"/>
                <w:sz w:val="21"/>
                <w:szCs w:val="21"/>
              </w:rPr>
              <w:t>相符性分析</w:t>
            </w:r>
          </w:p>
          <w:p w14:paraId="74109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根据《安徽淮南谢家集经济开发区总体发展规划（2023-2035年）环境影响</w:t>
            </w:r>
            <w:r>
              <w:rPr>
                <w:rFonts w:hint="default" w:ascii="Times New Roman" w:hAnsi="Times New Roman" w:eastAsia="宋体" w:cs="Times New Roman"/>
                <w:color w:val="auto"/>
                <w:sz w:val="21"/>
                <w:szCs w:val="21"/>
                <w:lang w:eastAsia="zh-CN"/>
              </w:rPr>
              <w:t>评价报告书</w:t>
            </w:r>
            <w:r>
              <w:rPr>
                <w:rFonts w:hint="default" w:ascii="Times New Roman" w:hAnsi="Times New Roman" w:eastAsia="宋体" w:cs="Times New Roman"/>
                <w:color w:val="auto"/>
                <w:sz w:val="21"/>
                <w:szCs w:val="21"/>
              </w:rPr>
              <w:t>》，本项目与其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表9.2-4生态环境准入清单</w:t>
            </w:r>
            <w:r>
              <w:rPr>
                <w:rFonts w:hint="default" w:ascii="Times New Roman" w:hAnsi="Times New Roman" w:eastAsia="宋体" w:cs="Times New Roman"/>
                <w:color w:val="auto"/>
                <w:sz w:val="21"/>
                <w:szCs w:val="21"/>
                <w:lang w:eastAsia="zh-CN"/>
              </w:rPr>
              <w:t>”、“表9.2-5安徽淮南谢家集经济开发区产业准入清单一览表”</w:t>
            </w:r>
            <w:r>
              <w:rPr>
                <w:rFonts w:hint="default" w:ascii="Times New Roman" w:hAnsi="Times New Roman" w:eastAsia="宋体" w:cs="Times New Roman"/>
                <w:color w:val="auto"/>
                <w:sz w:val="21"/>
                <w:szCs w:val="21"/>
              </w:rPr>
              <w:t>相符性分析见表1-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14:paraId="4AF9F3F9">
            <w:pPr>
              <w:pStyle w:val="113"/>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rPr>
              <w:t>表1-</w:t>
            </w:r>
            <w:r>
              <w:rPr>
                <w:rFonts w:hint="eastAsia"/>
                <w:color w:val="auto"/>
                <w:lang w:val="en-US" w:eastAsia="zh-CN"/>
              </w:rPr>
              <w:t>2</w:t>
            </w:r>
            <w:r>
              <w:rPr>
                <w:rFonts w:hint="eastAsia"/>
                <w:color w:val="auto"/>
              </w:rPr>
              <w:t xml:space="preserve"> </w:t>
            </w:r>
            <w:r>
              <w:rPr>
                <w:rFonts w:hint="eastAsia"/>
                <w:color w:val="auto"/>
                <w:lang w:val="en-US" w:eastAsia="zh-CN"/>
              </w:rPr>
              <w:t xml:space="preserve"> </w:t>
            </w:r>
            <w:r>
              <w:rPr>
                <w:rFonts w:hint="eastAsia"/>
                <w:color w:val="auto"/>
                <w:lang w:eastAsia="zh-CN"/>
              </w:rPr>
              <w:t>“</w:t>
            </w:r>
            <w:r>
              <w:rPr>
                <w:rFonts w:hint="eastAsia"/>
                <w:color w:val="auto"/>
              </w:rPr>
              <w:t>生态环境准入清单</w:t>
            </w:r>
            <w:r>
              <w:rPr>
                <w:rFonts w:hint="eastAsia"/>
                <w:color w:val="auto"/>
                <w:lang w:eastAsia="zh-CN"/>
              </w:rPr>
              <w:t>”</w:t>
            </w:r>
            <w:r>
              <w:rPr>
                <w:rFonts w:hint="eastAsia"/>
                <w:color w:val="auto"/>
                <w:lang w:val="en-US" w:eastAsia="zh-CN"/>
              </w:rPr>
              <w:t>控制建议表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03"/>
              <w:gridCol w:w="3928"/>
              <w:gridCol w:w="1631"/>
            </w:tblGrid>
            <w:tr w14:paraId="06A0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18" w:type="pct"/>
                  <w:noWrap w:val="0"/>
                  <w:vAlign w:val="top"/>
                </w:tcPr>
                <w:p w14:paraId="52AF7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b/>
                      <w:bCs/>
                      <w:color w:val="auto"/>
                      <w:sz w:val="18"/>
                      <w:szCs w:val="18"/>
                      <w:vertAlign w:val="baseline"/>
                      <w:lang w:val="en-US" w:eastAsia="zh-CN"/>
                    </w:rPr>
                  </w:pPr>
                  <w:r>
                    <w:rPr>
                      <w:rFonts w:hint="eastAsia"/>
                      <w:b/>
                      <w:bCs/>
                      <w:color w:val="auto"/>
                      <w:sz w:val="18"/>
                      <w:szCs w:val="18"/>
                      <w:vertAlign w:val="baseline"/>
                      <w:lang w:val="en-US" w:eastAsia="zh-CN"/>
                    </w:rPr>
                    <w:t>清单类型</w:t>
                  </w:r>
                </w:p>
              </w:tc>
              <w:tc>
                <w:tcPr>
                  <w:tcW w:w="626" w:type="pct"/>
                  <w:noWrap w:val="0"/>
                  <w:vAlign w:val="top"/>
                </w:tcPr>
                <w:p w14:paraId="0B830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b/>
                      <w:bCs/>
                      <w:color w:val="auto"/>
                      <w:sz w:val="18"/>
                      <w:szCs w:val="18"/>
                      <w:vertAlign w:val="baseline"/>
                      <w:lang w:val="en-US" w:eastAsia="zh-CN"/>
                    </w:rPr>
                  </w:pPr>
                  <w:r>
                    <w:rPr>
                      <w:rFonts w:hint="eastAsia"/>
                      <w:b/>
                      <w:bCs/>
                      <w:color w:val="auto"/>
                      <w:sz w:val="18"/>
                      <w:szCs w:val="18"/>
                      <w:vertAlign w:val="baseline"/>
                      <w:lang w:val="en-US" w:eastAsia="zh-CN"/>
                    </w:rPr>
                    <w:t>管控</w:t>
                  </w:r>
                </w:p>
                <w:p w14:paraId="4ACF6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b/>
                      <w:bCs/>
                      <w:color w:val="auto"/>
                      <w:sz w:val="18"/>
                      <w:szCs w:val="18"/>
                      <w:vertAlign w:val="baseline"/>
                      <w:lang w:val="en-US" w:eastAsia="zh-CN"/>
                    </w:rPr>
                  </w:pPr>
                  <w:r>
                    <w:rPr>
                      <w:rFonts w:hint="eastAsia"/>
                      <w:b/>
                      <w:bCs/>
                      <w:color w:val="auto"/>
                      <w:sz w:val="18"/>
                      <w:szCs w:val="18"/>
                      <w:vertAlign w:val="baseline"/>
                      <w:lang w:val="en-US" w:eastAsia="zh-CN"/>
                    </w:rPr>
                    <w:t>类别</w:t>
                  </w:r>
                </w:p>
              </w:tc>
              <w:tc>
                <w:tcPr>
                  <w:tcW w:w="2724" w:type="pct"/>
                  <w:noWrap w:val="0"/>
                  <w:vAlign w:val="center"/>
                </w:tcPr>
                <w:p w14:paraId="2FD1D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auto"/>
                    <w:rPr>
                      <w:rFonts w:hint="default"/>
                      <w:b/>
                      <w:bCs/>
                      <w:color w:val="auto"/>
                      <w:sz w:val="18"/>
                      <w:szCs w:val="18"/>
                      <w:vertAlign w:val="baseline"/>
                      <w:lang w:val="en-US" w:eastAsia="zh-CN"/>
                    </w:rPr>
                  </w:pPr>
                  <w:r>
                    <w:rPr>
                      <w:rFonts w:hint="eastAsia"/>
                      <w:b/>
                      <w:bCs/>
                      <w:color w:val="auto"/>
                      <w:sz w:val="18"/>
                      <w:szCs w:val="18"/>
                      <w:vertAlign w:val="baseline"/>
                      <w:lang w:val="en-US" w:eastAsia="zh-CN"/>
                    </w:rPr>
                    <w:t>准入内容与管控要求</w:t>
                  </w:r>
                </w:p>
              </w:tc>
              <w:tc>
                <w:tcPr>
                  <w:tcW w:w="1131" w:type="pct"/>
                  <w:noWrap w:val="0"/>
                  <w:vAlign w:val="center"/>
                </w:tcPr>
                <w:p w14:paraId="55AEC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b/>
                      <w:bCs/>
                      <w:color w:val="auto"/>
                      <w:sz w:val="18"/>
                      <w:szCs w:val="18"/>
                      <w:vertAlign w:val="baseline"/>
                      <w:lang w:val="en-US" w:eastAsia="zh-CN"/>
                    </w:rPr>
                  </w:pPr>
                  <w:r>
                    <w:rPr>
                      <w:rFonts w:hint="eastAsia"/>
                      <w:b/>
                      <w:bCs/>
                      <w:color w:val="auto"/>
                      <w:sz w:val="18"/>
                      <w:szCs w:val="18"/>
                      <w:vertAlign w:val="baseline"/>
                      <w:lang w:val="en-US" w:eastAsia="zh-CN"/>
                    </w:rPr>
                    <w:t>本项目</w:t>
                  </w:r>
                </w:p>
              </w:tc>
            </w:tr>
            <w:tr w14:paraId="7BC9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restart"/>
                  <w:noWrap w:val="0"/>
                  <w:vAlign w:val="center"/>
                </w:tcPr>
                <w:p w14:paraId="6FCED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r>
                    <w:rPr>
                      <w:rFonts w:hint="eastAsia"/>
                      <w:color w:val="auto"/>
                      <w:sz w:val="18"/>
                      <w:szCs w:val="18"/>
                      <w:vertAlign w:val="baseline"/>
                      <w:lang w:val="en-US" w:eastAsia="zh-CN"/>
                    </w:rPr>
                    <w:t>空间布局约束</w:t>
                  </w:r>
                </w:p>
              </w:tc>
              <w:tc>
                <w:tcPr>
                  <w:tcW w:w="626" w:type="pct"/>
                  <w:vMerge w:val="restart"/>
                  <w:noWrap w:val="0"/>
                  <w:vAlign w:val="center"/>
                </w:tcPr>
                <w:p w14:paraId="4D228C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r>
                    <w:rPr>
                      <w:rFonts w:hint="default" w:ascii="CIDFont + F3" w:hAnsi="CIDFont + F3" w:eastAsia="CIDFont + F3" w:cs="CIDFont + F3"/>
                      <w:b w:val="0"/>
                      <w:bCs w:val="0"/>
                      <w:color w:val="auto"/>
                      <w:sz w:val="18"/>
                      <w:szCs w:val="18"/>
                    </w:rPr>
                    <w:t>禁止开发建设活动的要求</w:t>
                  </w:r>
                </w:p>
              </w:tc>
              <w:tc>
                <w:tcPr>
                  <w:tcW w:w="2724" w:type="pct"/>
                  <w:noWrap w:val="0"/>
                  <w:vAlign w:val="top"/>
                </w:tcPr>
                <w:p w14:paraId="57DCED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r>
                    <w:rPr>
                      <w:rFonts w:hint="default" w:ascii="CIDFont + F3" w:hAnsi="CIDFont + F3" w:eastAsia="CIDFont + F3" w:cs="CIDFont + F3"/>
                      <w:b w:val="0"/>
                      <w:bCs w:val="0"/>
                      <w:color w:val="auto"/>
                      <w:sz w:val="18"/>
                      <w:szCs w:val="18"/>
                    </w:rPr>
                    <w:t>禁止新建、扩建法律法规和相关政策明令禁止的落后产能项目。禁止新建、扩建不符合国家产能置换要求的严重过剩产能行业的项目。禁止新建、扩建不符合要求的高耗能高排放项目。</w:t>
                  </w:r>
                </w:p>
              </w:tc>
              <w:tc>
                <w:tcPr>
                  <w:tcW w:w="1131" w:type="pct"/>
                  <w:vMerge w:val="restart"/>
                  <w:noWrap w:val="0"/>
                  <w:vAlign w:val="center"/>
                </w:tcPr>
                <w:p w14:paraId="550D6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技改项目进行日用玻璃制品生产，不进行平板玻璃生产加工，不属于产能过程行业。</w:t>
                  </w:r>
                </w:p>
              </w:tc>
            </w:tr>
            <w:tr w14:paraId="3E50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6C6E2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continue"/>
                  <w:noWrap w:val="0"/>
                  <w:vAlign w:val="top"/>
                </w:tcPr>
                <w:p w14:paraId="3F4AF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top"/>
                </w:tcPr>
                <w:p w14:paraId="54BAE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131" w:type="pct"/>
                  <w:vMerge w:val="continue"/>
                  <w:noWrap w:val="0"/>
                  <w:vAlign w:val="top"/>
                </w:tcPr>
                <w:p w14:paraId="657DF576">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7E7A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02A66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restart"/>
                  <w:noWrap w:val="0"/>
                  <w:vAlign w:val="center"/>
                </w:tcPr>
                <w:p w14:paraId="099447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其他空间布局约束要求</w:t>
                  </w:r>
                </w:p>
              </w:tc>
              <w:tc>
                <w:tcPr>
                  <w:tcW w:w="2724" w:type="pct"/>
                  <w:noWrap w:val="0"/>
                  <w:vAlign w:val="top"/>
                </w:tcPr>
                <w:p w14:paraId="5AD349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小型企业适宜安排在规模较小、分布零散的小地块，或若干小型企业集中布局，避免影响大型企业对用地的需求。</w:t>
                  </w:r>
                </w:p>
              </w:tc>
              <w:tc>
                <w:tcPr>
                  <w:tcW w:w="1131" w:type="pct"/>
                  <w:noWrap w:val="0"/>
                  <w:vAlign w:val="top"/>
                </w:tcPr>
                <w:p w14:paraId="69009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技改项目利用现有厂区土地及厂房，不新增占地</w:t>
                  </w:r>
                </w:p>
              </w:tc>
            </w:tr>
            <w:tr w14:paraId="689A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1D3D5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continue"/>
                  <w:noWrap w:val="0"/>
                  <w:vAlign w:val="top"/>
                </w:tcPr>
                <w:p w14:paraId="0A2BD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top"/>
                </w:tcPr>
                <w:p w14:paraId="54EC7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开发区在后续项目引进过程中，尽量按照同种行业就近布局的原则，减少不同行业之间的交叉混合，同时对于污染较重的企业尽量远离居民区。</w:t>
                  </w:r>
                </w:p>
              </w:tc>
              <w:tc>
                <w:tcPr>
                  <w:tcW w:w="1131" w:type="pct"/>
                  <w:vMerge w:val="restart"/>
                  <w:noWrap w:val="0"/>
                  <w:vAlign w:val="center"/>
                </w:tcPr>
                <w:p w14:paraId="59BD5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技改项目选址位于工业区内，周边近距离均为工业用地及工业企业。高噪声设备位于厂区中间布设，排气筒位于厂区南侧，远离敏感点布设。</w:t>
                  </w:r>
                </w:p>
              </w:tc>
            </w:tr>
            <w:tr w14:paraId="1EEE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4BD747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continue"/>
                  <w:noWrap w:val="0"/>
                  <w:vAlign w:val="top"/>
                </w:tcPr>
                <w:p w14:paraId="71BB9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top"/>
                </w:tcPr>
                <w:p w14:paraId="79E3A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邻近居住、商业用地的工业用地、工商混合用地的项目，建议在设计时将企业办公、住宿位置建在靠近现有居民、商为用地一侧，将产生噪声、或挥发性有机物较大的生产厂房远离居民区一侧建设。</w:t>
                  </w:r>
                </w:p>
              </w:tc>
              <w:tc>
                <w:tcPr>
                  <w:tcW w:w="1131" w:type="pct"/>
                  <w:vMerge w:val="continue"/>
                  <w:noWrap w:val="0"/>
                  <w:vAlign w:val="top"/>
                </w:tcPr>
                <w:p w14:paraId="03C1BE78">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1092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73DACD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continue"/>
                  <w:noWrap w:val="0"/>
                  <w:vAlign w:val="top"/>
                </w:tcPr>
                <w:p w14:paraId="78E4C0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top"/>
                </w:tcPr>
                <w:p w14:paraId="5F3A55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规划区内拟建排放大气污染物的企业，应在选址时应根据环境影响评价结论确定的防护距离的要求，避开周边居民区、学校、行政办公区以及上述性质的规划用地。同时建议拟建在居民区、学校、行政办公区以及上述性质的用地周边的企业，在邻近上述性质的规划用地一侧的功能布局以行政办公和生活为主，将可能产生大气污染物排放的厂房均布置在远离周边居民区、学校、行政办公区以及上述性质的规划用地一侧。</w:t>
                  </w:r>
                </w:p>
              </w:tc>
              <w:tc>
                <w:tcPr>
                  <w:tcW w:w="1131" w:type="pct"/>
                  <w:vMerge w:val="restart"/>
                  <w:noWrap w:val="0"/>
                  <w:vAlign w:val="center"/>
                </w:tcPr>
                <w:p w14:paraId="77BD8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现有工程设置50m卫生防护距离，根据现场踏勘，项目区域50m范围内不存在居民点。</w:t>
                  </w:r>
                </w:p>
              </w:tc>
            </w:tr>
            <w:tr w14:paraId="0476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top"/>
                </w:tcPr>
                <w:p w14:paraId="2F1C6A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vertAlign w:val="baseline"/>
                      <w:lang w:val="en-US" w:eastAsia="zh-CN"/>
                    </w:rPr>
                  </w:pPr>
                </w:p>
              </w:tc>
              <w:tc>
                <w:tcPr>
                  <w:tcW w:w="626" w:type="pct"/>
                  <w:vMerge w:val="continue"/>
                  <w:noWrap w:val="0"/>
                  <w:vAlign w:val="top"/>
                </w:tcPr>
                <w:p w14:paraId="44C8F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top"/>
                </w:tcPr>
                <w:p w14:paraId="1CF097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靠近居住区的工业用地应优先控制为一类工业用地，开发区内工业用地和城镇住宅用地之间应间隔一定距离，设置缓冲绿地，以减少工业企业排放污染物对居民的影响。在后期引进项目，应考虑引入无废气产生或废气产生较少，噪声排放低的项目入驻，并通过充分论证，确保人居环境质量不降低，以保障居住区生态环境质量，企业和居住区之间加强绿化，实现产业发展与区域生态环境保护相协调，靠近居住区的工业用地禁止引入污染物排放量较大的工业企业。</w:t>
                  </w:r>
                </w:p>
              </w:tc>
              <w:tc>
                <w:tcPr>
                  <w:tcW w:w="1131" w:type="pct"/>
                  <w:vMerge w:val="continue"/>
                  <w:noWrap w:val="0"/>
                  <w:vAlign w:val="top"/>
                </w:tcPr>
                <w:p w14:paraId="2FD7810C">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678D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restart"/>
                  <w:noWrap w:val="0"/>
                  <w:vAlign w:val="center"/>
                </w:tcPr>
                <w:p w14:paraId="19C8F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r>
                    <w:rPr>
                      <w:rFonts w:hint="default" w:ascii="CIDFont + F3" w:hAnsi="CIDFont + F3" w:eastAsia="CIDFont + F3" w:cs="CIDFont + F3"/>
                      <w:b w:val="0"/>
                      <w:bCs w:val="0"/>
                      <w:color w:val="auto"/>
                      <w:sz w:val="18"/>
                      <w:szCs w:val="18"/>
                    </w:rPr>
                    <w:t>污染物排放管控</w:t>
                  </w:r>
                </w:p>
              </w:tc>
              <w:tc>
                <w:tcPr>
                  <w:tcW w:w="626" w:type="pct"/>
                  <w:vMerge w:val="restart"/>
                  <w:noWrap w:val="0"/>
                  <w:vAlign w:val="center"/>
                </w:tcPr>
                <w:p w14:paraId="66618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允许排放量要求</w:t>
                  </w:r>
                </w:p>
              </w:tc>
              <w:tc>
                <w:tcPr>
                  <w:tcW w:w="2724" w:type="pct"/>
                  <w:noWrap w:val="0"/>
                  <w:vAlign w:val="center"/>
                </w:tcPr>
                <w:p w14:paraId="5D3B1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Times New Roman" w:hAnsi="Times New Roman" w:eastAsia="CIDFont + F3" w:cs="Times New Roman"/>
                      <w:b w:val="0"/>
                      <w:bCs w:val="0"/>
                      <w:color w:val="auto"/>
                      <w:sz w:val="18"/>
                      <w:szCs w:val="18"/>
                    </w:rPr>
                    <w:t>水污染物总量管控要求：</w:t>
                  </w:r>
                  <w:r>
                    <w:rPr>
                      <w:rFonts w:hint="default" w:ascii="Times New Roman" w:hAnsi="Times New Roman" w:eastAsia="CIDFont + F5" w:cs="Times New Roman"/>
                      <w:b w:val="0"/>
                      <w:bCs w:val="0"/>
                      <w:color w:val="auto"/>
                      <w:sz w:val="18"/>
                      <w:szCs w:val="18"/>
                    </w:rPr>
                    <w:t>COD</w:t>
                  </w:r>
                  <w:r>
                    <w:rPr>
                      <w:rFonts w:hint="default" w:ascii="Times New Roman" w:hAnsi="Times New Roman" w:eastAsia="CIDFont + F3" w:cs="Times New Roman"/>
                      <w:b w:val="0"/>
                      <w:bCs w:val="0"/>
                      <w:color w:val="auto"/>
                      <w:sz w:val="18"/>
                      <w:szCs w:val="18"/>
                    </w:rPr>
                    <w:t>排放总量不得超过</w:t>
                  </w:r>
                  <w:r>
                    <w:rPr>
                      <w:rFonts w:hint="default" w:ascii="Times New Roman" w:hAnsi="Times New Roman" w:eastAsia="CIDFont + F5" w:cs="Times New Roman"/>
                      <w:b w:val="0"/>
                      <w:bCs w:val="0"/>
                      <w:color w:val="auto"/>
                      <w:sz w:val="18"/>
                      <w:szCs w:val="18"/>
                    </w:rPr>
                    <w:t>157.195t/a</w:t>
                  </w:r>
                  <w:r>
                    <w:rPr>
                      <w:rFonts w:hint="default" w:ascii="Times New Roman" w:hAnsi="Times New Roman" w:eastAsia="CIDFont + F3" w:cs="Times New Roman"/>
                      <w:b w:val="0"/>
                      <w:bCs w:val="0"/>
                      <w:color w:val="auto"/>
                      <w:sz w:val="18"/>
                      <w:szCs w:val="18"/>
                    </w:rPr>
                    <w:t>、氨氮排放总量不得超过</w:t>
                  </w:r>
                  <w:r>
                    <w:rPr>
                      <w:rFonts w:hint="default" w:ascii="Times New Roman" w:hAnsi="Times New Roman" w:eastAsia="CIDFont + F5" w:cs="Times New Roman"/>
                      <w:b w:val="0"/>
                      <w:bCs w:val="0"/>
                      <w:color w:val="auto"/>
                      <w:sz w:val="18"/>
                      <w:szCs w:val="18"/>
                    </w:rPr>
                    <w:t>15.7195t/a</w:t>
                  </w:r>
                  <w:r>
                    <w:rPr>
                      <w:rFonts w:hint="default" w:ascii="Times New Roman" w:hAnsi="Times New Roman" w:eastAsia="CIDFont + F3" w:cs="Times New Roman"/>
                      <w:b w:val="0"/>
                      <w:bCs w:val="0"/>
                      <w:color w:val="auto"/>
                      <w:sz w:val="18"/>
                      <w:szCs w:val="18"/>
                    </w:rPr>
                    <w:t>。</w:t>
                  </w:r>
                </w:p>
              </w:tc>
              <w:tc>
                <w:tcPr>
                  <w:tcW w:w="1131" w:type="pct"/>
                  <w:vMerge w:val="restart"/>
                  <w:noWrap w:val="0"/>
                  <w:vAlign w:val="center"/>
                </w:tcPr>
                <w:p w14:paraId="3EA2A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本项目不新增水污染物；根据《安徽淮南谢家集经济开发区总体发展规划（2023-2035 年）环境影响报告书》园区现状排放量SO</w:t>
                  </w:r>
                  <w:r>
                    <w:rPr>
                      <w:rFonts w:hint="eastAsia"/>
                      <w:color w:val="auto"/>
                      <w:sz w:val="18"/>
                      <w:szCs w:val="18"/>
                      <w:vertAlign w:val="subscript"/>
                      <w:lang w:val="en-US" w:eastAsia="zh-CN"/>
                    </w:rPr>
                    <w:t>2</w:t>
                  </w:r>
                  <w:r>
                    <w:rPr>
                      <w:rFonts w:hint="eastAsia"/>
                      <w:color w:val="auto"/>
                      <w:sz w:val="18"/>
                      <w:szCs w:val="18"/>
                      <w:vertAlign w:val="baseline"/>
                      <w:lang w:val="en-US" w:eastAsia="zh-CN"/>
                    </w:rPr>
                    <w:t>：6.457t/a，NOx：19.410t/a，技改项目新增SO</w:t>
                  </w:r>
                  <w:r>
                    <w:rPr>
                      <w:rFonts w:hint="eastAsia"/>
                      <w:color w:val="auto"/>
                      <w:sz w:val="18"/>
                      <w:szCs w:val="18"/>
                      <w:vertAlign w:val="subscript"/>
                      <w:lang w:val="en-US" w:eastAsia="zh-CN"/>
                    </w:rPr>
                    <w:t>2</w:t>
                  </w:r>
                  <w:r>
                    <w:rPr>
                      <w:rFonts w:hint="eastAsia"/>
                      <w:color w:val="auto"/>
                      <w:sz w:val="18"/>
                      <w:szCs w:val="18"/>
                      <w:vertAlign w:val="baseline"/>
                      <w:lang w:val="en-US" w:eastAsia="zh-CN"/>
                    </w:rPr>
                    <w:t>、NOx排放量未突破总量要求。</w:t>
                  </w:r>
                </w:p>
              </w:tc>
            </w:tr>
            <w:tr w14:paraId="2D75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14:paraId="1213C9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p>
              </w:tc>
              <w:tc>
                <w:tcPr>
                  <w:tcW w:w="626" w:type="pct"/>
                  <w:vMerge w:val="continue"/>
                  <w:noWrap w:val="0"/>
                  <w:vAlign w:val="center"/>
                </w:tcPr>
                <w:p w14:paraId="1E64A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p>
              </w:tc>
              <w:tc>
                <w:tcPr>
                  <w:tcW w:w="2724" w:type="pct"/>
                  <w:noWrap w:val="0"/>
                  <w:vAlign w:val="center"/>
                </w:tcPr>
                <w:p w14:paraId="3385BD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Times New Roman" w:hAnsi="Times New Roman" w:eastAsia="CIDFont + F3" w:cs="Times New Roman"/>
                      <w:b w:val="0"/>
                      <w:bCs w:val="0"/>
                      <w:color w:val="auto"/>
                      <w:sz w:val="18"/>
                      <w:szCs w:val="18"/>
                    </w:rPr>
                    <w:t>大气污染物总量管控要求：SO</w:t>
                  </w:r>
                  <w:r>
                    <w:rPr>
                      <w:rFonts w:hint="eastAsia" w:ascii="Times New Roman" w:hAnsi="Times New Roman" w:eastAsia="宋体" w:cs="Times New Roman"/>
                      <w:b w:val="0"/>
                      <w:bCs w:val="0"/>
                      <w:color w:val="auto"/>
                      <w:sz w:val="18"/>
                      <w:szCs w:val="18"/>
                      <w:vertAlign w:val="subscript"/>
                      <w:lang w:val="en-US" w:eastAsia="zh-CN"/>
                    </w:rPr>
                    <w:t>2</w:t>
                  </w:r>
                  <w:r>
                    <w:rPr>
                      <w:rFonts w:hint="default" w:ascii="Times New Roman" w:hAnsi="Times New Roman" w:eastAsia="CIDFont + F3" w:cs="Times New Roman"/>
                      <w:b w:val="0"/>
                      <w:bCs w:val="0"/>
                      <w:color w:val="auto"/>
                      <w:sz w:val="18"/>
                      <w:szCs w:val="18"/>
                    </w:rPr>
                    <w:t>规划环评建议总量不得超过17.977t/a、NOx总量不得超过53.261t/a、颗粒物总量不得超过75.945t/a、VOCs排放总量不得超过26.263t/a。</w:t>
                  </w:r>
                </w:p>
              </w:tc>
              <w:tc>
                <w:tcPr>
                  <w:tcW w:w="1131" w:type="pct"/>
                  <w:vMerge w:val="continue"/>
                  <w:noWrap w:val="0"/>
                  <w:vAlign w:val="top"/>
                </w:tcPr>
                <w:p w14:paraId="52F5F7D0">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1850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14:paraId="63AAA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p>
              </w:tc>
              <w:tc>
                <w:tcPr>
                  <w:tcW w:w="626" w:type="pct"/>
                  <w:noWrap w:val="0"/>
                  <w:vAlign w:val="center"/>
                </w:tcPr>
                <w:p w14:paraId="0F746D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其他污染物排放管控要求</w:t>
                  </w:r>
                </w:p>
              </w:tc>
              <w:tc>
                <w:tcPr>
                  <w:tcW w:w="2724" w:type="pct"/>
                  <w:noWrap w:val="0"/>
                  <w:vAlign w:val="center"/>
                </w:tcPr>
                <w:p w14:paraId="6E6E2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CIDFont + F3" w:cs="Times New Roman"/>
                      <w:b w:val="0"/>
                      <w:bCs w:val="0"/>
                      <w:color w:val="auto"/>
                      <w:sz w:val="18"/>
                      <w:szCs w:val="18"/>
                    </w:rPr>
                  </w:pPr>
                  <w:r>
                    <w:rPr>
                      <w:rFonts w:hint="default" w:ascii="CIDFont + F3" w:hAnsi="CIDFont + F3" w:eastAsia="CIDFont + F3" w:cs="CIDFont + F3"/>
                      <w:b w:val="0"/>
                      <w:bCs w:val="0"/>
                      <w:color w:val="auto"/>
                      <w:sz w:val="18"/>
                      <w:szCs w:val="18"/>
                    </w:rPr>
                    <w:t>新建、改建和扩建项目大气污染物应按当地管理要求明确替代来源，执行特别排放标准的行业实施提标升级改造。</w:t>
                  </w:r>
                </w:p>
              </w:tc>
              <w:tc>
                <w:tcPr>
                  <w:tcW w:w="1131" w:type="pct"/>
                  <w:vMerge w:val="continue"/>
                  <w:noWrap w:val="0"/>
                  <w:vAlign w:val="top"/>
                </w:tcPr>
                <w:p w14:paraId="67A2FB8C">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4680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gridSpan w:val="2"/>
                  <w:vMerge w:val="restart"/>
                  <w:noWrap w:val="0"/>
                  <w:vAlign w:val="center"/>
                </w:tcPr>
                <w:p w14:paraId="3C8A6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环境风险防控要求</w:t>
                  </w:r>
                </w:p>
              </w:tc>
              <w:tc>
                <w:tcPr>
                  <w:tcW w:w="2724" w:type="pct"/>
                  <w:noWrap w:val="0"/>
                  <w:vAlign w:val="center"/>
                </w:tcPr>
                <w:p w14:paraId="4E8C14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严格开发区项目环境准入，完善开发区水处理基础设施建设，强化环境监管体系和环境风险管控，加强安全生产基础能力和防灾减灾能力建设。</w:t>
                  </w:r>
                </w:p>
              </w:tc>
              <w:tc>
                <w:tcPr>
                  <w:tcW w:w="1131" w:type="pct"/>
                  <w:vMerge w:val="restart"/>
                  <w:noWrap w:val="0"/>
                  <w:vAlign w:val="center"/>
                </w:tcPr>
                <w:p w14:paraId="5C90C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现有工程已按照相关管理要求储备应急物资、制定应急预案。</w:t>
                  </w:r>
                </w:p>
              </w:tc>
            </w:tr>
            <w:tr w14:paraId="47BF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gridSpan w:val="2"/>
                  <w:vMerge w:val="continue"/>
                  <w:noWrap w:val="0"/>
                  <w:vAlign w:val="top"/>
                </w:tcPr>
                <w:p w14:paraId="3E89B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center"/>
                </w:tcPr>
                <w:p w14:paraId="2C5178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开发区靠近规划居民点等环境保护目标的工业地块应避免建设风险较大的企业。</w:t>
                  </w:r>
                </w:p>
              </w:tc>
              <w:tc>
                <w:tcPr>
                  <w:tcW w:w="1131" w:type="pct"/>
                  <w:vMerge w:val="continue"/>
                  <w:noWrap w:val="0"/>
                  <w:vAlign w:val="top"/>
                </w:tcPr>
                <w:p w14:paraId="63C04F36">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547E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gridSpan w:val="2"/>
                  <w:vMerge w:val="continue"/>
                  <w:noWrap w:val="0"/>
                  <w:vAlign w:val="top"/>
                </w:tcPr>
                <w:p w14:paraId="2B0EC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p>
              </w:tc>
              <w:tc>
                <w:tcPr>
                  <w:tcW w:w="2724" w:type="pct"/>
                  <w:noWrap w:val="0"/>
                  <w:vAlign w:val="center"/>
                </w:tcPr>
                <w:p w14:paraId="3850F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加强环境应急预案编制与备案管理，推进跨部门、跨区域、跨流域监管与应急协调联动机制建设，规划环评建议强化环境应急队伍建设和物资储备，提升环境应急协调联动能力。</w:t>
                  </w:r>
                </w:p>
              </w:tc>
              <w:tc>
                <w:tcPr>
                  <w:tcW w:w="1131" w:type="pct"/>
                  <w:vMerge w:val="continue"/>
                  <w:noWrap w:val="0"/>
                  <w:vAlign w:val="top"/>
                </w:tcPr>
                <w:p w14:paraId="49F22515">
                  <w:pPr>
                    <w:keepNext w:val="0"/>
                    <w:keepLines w:val="0"/>
                    <w:suppressLineNumbers w:val="0"/>
                    <w:spacing w:before="0" w:beforeAutospacing="0" w:after="0" w:afterAutospacing="0"/>
                    <w:ind w:left="0" w:right="0"/>
                    <w:rPr>
                      <w:rFonts w:hint="eastAsia"/>
                      <w:color w:val="auto"/>
                      <w:sz w:val="18"/>
                      <w:szCs w:val="18"/>
                      <w:vertAlign w:val="baseline"/>
                      <w:lang w:val="en-US" w:eastAsia="zh-CN"/>
                    </w:rPr>
                  </w:pPr>
                </w:p>
              </w:tc>
            </w:tr>
            <w:tr w14:paraId="750C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restart"/>
                  <w:noWrap w:val="0"/>
                  <w:vAlign w:val="center"/>
                </w:tcPr>
                <w:p w14:paraId="51654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r>
                    <w:rPr>
                      <w:rFonts w:hint="default" w:ascii="CIDFont + F3" w:hAnsi="CIDFont + F3" w:eastAsia="CIDFont + F3" w:cs="CIDFont + F3"/>
                      <w:b w:val="0"/>
                      <w:bCs w:val="0"/>
                      <w:color w:val="auto"/>
                      <w:sz w:val="18"/>
                      <w:szCs w:val="18"/>
                    </w:rPr>
                    <w:t>资源开发利用要求</w:t>
                  </w:r>
                </w:p>
              </w:tc>
              <w:tc>
                <w:tcPr>
                  <w:tcW w:w="626" w:type="pct"/>
                  <w:noWrap w:val="0"/>
                  <w:vAlign w:val="center"/>
                </w:tcPr>
                <w:p w14:paraId="6EAC64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能源利用要求</w:t>
                  </w:r>
                </w:p>
              </w:tc>
              <w:tc>
                <w:tcPr>
                  <w:tcW w:w="2724" w:type="pct"/>
                  <w:noWrap w:val="0"/>
                  <w:vAlign w:val="top"/>
                </w:tcPr>
                <w:p w14:paraId="1CBA0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优化开发区能源结构，大力推广集中供热，合理开发可再生能源，大力发展清洁能源，不断优化开发区能源结构。</w:t>
                  </w:r>
                </w:p>
              </w:tc>
              <w:tc>
                <w:tcPr>
                  <w:tcW w:w="1131" w:type="pct"/>
                  <w:vMerge w:val="restart"/>
                  <w:noWrap w:val="0"/>
                  <w:vAlign w:val="center"/>
                </w:tcPr>
                <w:p w14:paraId="7888C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本项目使用能源为电能和清洁能源天然气、丙烷，利用现有厂区的场地及厂房，不涉及新增用地。</w:t>
                  </w:r>
                </w:p>
              </w:tc>
            </w:tr>
            <w:tr w14:paraId="7737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14:paraId="3FDE3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vertAlign w:val="baseline"/>
                      <w:lang w:val="en-US" w:eastAsia="zh-CN"/>
                    </w:rPr>
                  </w:pPr>
                </w:p>
              </w:tc>
              <w:tc>
                <w:tcPr>
                  <w:tcW w:w="626" w:type="pct"/>
                  <w:noWrap w:val="0"/>
                  <w:vAlign w:val="center"/>
                </w:tcPr>
                <w:p w14:paraId="38FEC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CIDFont + F3" w:hAnsi="CIDFont + F3" w:eastAsia="CIDFont + F3" w:cs="CIDFont + F3"/>
                      <w:b w:val="0"/>
                      <w:bCs w:val="0"/>
                      <w:color w:val="auto"/>
                      <w:sz w:val="18"/>
                      <w:szCs w:val="18"/>
                    </w:rPr>
                    <w:t>土地资源利用总量及效率要求</w:t>
                  </w:r>
                </w:p>
              </w:tc>
              <w:tc>
                <w:tcPr>
                  <w:tcW w:w="2724" w:type="pct"/>
                  <w:noWrap w:val="0"/>
                  <w:vAlign w:val="center"/>
                </w:tcPr>
                <w:p w14:paraId="1D751D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CIDFont + F3" w:hAnsi="CIDFont + F3" w:eastAsia="CIDFont + F3" w:cs="CIDFont + F3"/>
                      <w:b w:val="0"/>
                      <w:bCs w:val="0"/>
                      <w:color w:val="auto"/>
                      <w:sz w:val="18"/>
                      <w:szCs w:val="18"/>
                    </w:rPr>
                  </w:pPr>
                  <w:r>
                    <w:rPr>
                      <w:rFonts w:hint="default" w:ascii="Times New Roman" w:hAnsi="Times New Roman" w:eastAsia="CIDFont + F3" w:cs="Times New Roman"/>
                      <w:b w:val="0"/>
                      <w:bCs w:val="0"/>
                      <w:color w:val="auto"/>
                      <w:sz w:val="18"/>
                      <w:szCs w:val="18"/>
                    </w:rPr>
                    <w:t>工业用地总量上限</w:t>
                  </w:r>
                  <w:r>
                    <w:rPr>
                      <w:rFonts w:hint="default" w:ascii="Times New Roman" w:hAnsi="Times New Roman" w:eastAsia="CIDFont + F5" w:cs="Times New Roman"/>
                      <w:b w:val="0"/>
                      <w:bCs w:val="0"/>
                      <w:color w:val="auto"/>
                      <w:sz w:val="18"/>
                      <w:szCs w:val="18"/>
                    </w:rPr>
                    <w:t>199.10ha</w:t>
                  </w:r>
                  <w:r>
                    <w:rPr>
                      <w:rFonts w:hint="default" w:ascii="Times New Roman" w:hAnsi="Times New Roman" w:eastAsia="CIDFont + F3" w:cs="Times New Roman"/>
                      <w:b w:val="0"/>
                      <w:bCs w:val="0"/>
                      <w:color w:val="auto"/>
                      <w:sz w:val="18"/>
                      <w:szCs w:val="18"/>
                    </w:rPr>
                    <w:t>，预期到</w:t>
                  </w:r>
                  <w:r>
                    <w:rPr>
                      <w:rFonts w:hint="default" w:ascii="Times New Roman" w:hAnsi="Times New Roman" w:eastAsia="CIDFont + F5" w:cs="Times New Roman"/>
                      <w:b w:val="0"/>
                      <w:bCs w:val="0"/>
                      <w:color w:val="auto"/>
                      <w:sz w:val="18"/>
                      <w:szCs w:val="18"/>
                    </w:rPr>
                    <w:t>2035</w:t>
                  </w:r>
                  <w:r>
                    <w:rPr>
                      <w:rFonts w:hint="default" w:ascii="Times New Roman" w:hAnsi="Times New Roman" w:eastAsia="CIDFont + F3" w:cs="Times New Roman"/>
                      <w:b w:val="0"/>
                      <w:bCs w:val="0"/>
                      <w:color w:val="auto"/>
                      <w:sz w:val="18"/>
                      <w:szCs w:val="18"/>
                    </w:rPr>
                    <w:t>年，亩均规上工业税收不低于</w:t>
                  </w:r>
                  <w:r>
                    <w:rPr>
                      <w:rFonts w:hint="default" w:ascii="Times New Roman" w:hAnsi="Times New Roman" w:eastAsia="CIDFont + F5" w:cs="Times New Roman"/>
                      <w:b w:val="0"/>
                      <w:bCs w:val="0"/>
                      <w:color w:val="auto"/>
                      <w:sz w:val="18"/>
                      <w:szCs w:val="18"/>
                    </w:rPr>
                    <w:t>15</w:t>
                  </w:r>
                  <w:r>
                    <w:rPr>
                      <w:rFonts w:hint="default" w:ascii="Times New Roman" w:hAnsi="Times New Roman" w:eastAsia="CIDFont + F3" w:cs="Times New Roman"/>
                      <w:b w:val="0"/>
                      <w:bCs w:val="0"/>
                      <w:color w:val="auto"/>
                      <w:sz w:val="18"/>
                      <w:szCs w:val="18"/>
                    </w:rPr>
                    <w:t>万元</w:t>
                  </w:r>
                  <w:r>
                    <w:rPr>
                      <w:rFonts w:hint="default" w:ascii="Times New Roman" w:hAnsi="Times New Roman" w:eastAsia="CIDFont + F5" w:cs="Times New Roman"/>
                      <w:b w:val="0"/>
                      <w:bCs w:val="0"/>
                      <w:color w:val="auto"/>
                      <w:sz w:val="18"/>
                      <w:szCs w:val="18"/>
                    </w:rPr>
                    <w:t>/</w:t>
                  </w:r>
                  <w:r>
                    <w:rPr>
                      <w:rFonts w:hint="default" w:ascii="Times New Roman" w:hAnsi="Times New Roman" w:eastAsia="CIDFont + F3" w:cs="Times New Roman"/>
                      <w:b w:val="0"/>
                      <w:bCs w:val="0"/>
                      <w:color w:val="auto"/>
                      <w:sz w:val="18"/>
                      <w:szCs w:val="18"/>
                    </w:rPr>
                    <w:t>亩。</w:t>
                  </w:r>
                </w:p>
              </w:tc>
              <w:tc>
                <w:tcPr>
                  <w:tcW w:w="1131" w:type="pct"/>
                  <w:vMerge w:val="continue"/>
                  <w:noWrap w:val="0"/>
                  <w:vAlign w:val="center"/>
                </w:tcPr>
                <w:p w14:paraId="40D4119B">
                  <w:pPr>
                    <w:keepNext w:val="0"/>
                    <w:keepLines w:val="0"/>
                    <w:suppressLineNumbers w:val="0"/>
                    <w:spacing w:before="0" w:beforeAutospacing="0" w:after="0" w:afterAutospacing="0"/>
                    <w:ind w:left="0" w:right="0"/>
                    <w:jc w:val="center"/>
                    <w:rPr>
                      <w:rFonts w:hint="eastAsia"/>
                      <w:color w:val="auto"/>
                      <w:sz w:val="18"/>
                      <w:szCs w:val="18"/>
                      <w:vertAlign w:val="baseline"/>
                      <w:lang w:val="en-US" w:eastAsia="zh-CN"/>
                    </w:rPr>
                  </w:pPr>
                </w:p>
              </w:tc>
            </w:tr>
          </w:tbl>
          <w:p w14:paraId="5C12BB8E">
            <w:pPr>
              <w:pStyle w:val="1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color w:val="auto"/>
                <w:sz w:val="21"/>
                <w:szCs w:val="21"/>
                <w:lang w:val="en-US" w:eastAsia="zh-CN"/>
              </w:rPr>
            </w:pPr>
            <w:r>
              <w:rPr>
                <w:rFonts w:hint="eastAsia"/>
                <w:color w:val="auto"/>
                <w:sz w:val="21"/>
                <w:szCs w:val="21"/>
              </w:rPr>
              <w:t>表1-</w:t>
            </w:r>
            <w:r>
              <w:rPr>
                <w:rFonts w:hint="eastAsia"/>
                <w:color w:val="auto"/>
                <w:sz w:val="21"/>
                <w:szCs w:val="21"/>
                <w:lang w:val="en-US" w:eastAsia="zh-CN"/>
              </w:rPr>
              <w:t>3</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lang w:eastAsia="zh-CN"/>
              </w:rPr>
              <w:t>“安徽淮南谢家集经济开发区产业准入清单”</w:t>
            </w:r>
            <w:r>
              <w:rPr>
                <w:rFonts w:hint="eastAsia"/>
                <w:color w:val="auto"/>
                <w:sz w:val="21"/>
                <w:szCs w:val="21"/>
                <w:lang w:val="en-US" w:eastAsia="zh-CN"/>
              </w:rPr>
              <w:t>控制建议表</w:t>
            </w:r>
          </w:p>
          <w:tbl>
            <w:tblPr>
              <w:tblStyle w:val="145"/>
              <w:tblW w:w="496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99"/>
              <w:gridCol w:w="1816"/>
              <w:gridCol w:w="2292"/>
              <w:gridCol w:w="2151"/>
            </w:tblGrid>
            <w:tr w14:paraId="27F8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tcBorders>
                    <w:right w:val="single" w:color="auto" w:sz="4" w:space="0"/>
                  </w:tcBorders>
                  <w:noWrap w:val="0"/>
                  <w:vAlign w:val="center"/>
                </w:tcPr>
                <w:p w14:paraId="6A32B59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leftChars="0" w:right="0" w:firstLine="0" w:firstLineChars="0"/>
                    <w:jc w:val="center"/>
                    <w:rPr>
                      <w:rFonts w:hint="eastAsia" w:ascii="宋体" w:hAnsi="宋体" w:eastAsia="宋体" w:cs="宋体"/>
                      <w:b/>
                      <w:bCs/>
                      <w:color w:val="auto"/>
                      <w:sz w:val="18"/>
                      <w:szCs w:val="18"/>
                      <w:lang w:eastAsia="zh-CN"/>
                    </w:rPr>
                  </w:pPr>
                  <w:r>
                    <w:rPr>
                      <w:rFonts w:hint="eastAsia" w:ascii="宋体" w:hAnsi="宋体" w:eastAsia="宋体" w:cs="宋体"/>
                      <w:b/>
                      <w:bCs/>
                      <w:color w:val="auto"/>
                      <w:sz w:val="18"/>
                      <w:szCs w:val="18"/>
                      <w:lang w:val="en-US" w:eastAsia="zh-CN"/>
                    </w:rPr>
                    <w:t>类别</w:t>
                  </w:r>
                </w:p>
              </w:tc>
              <w:tc>
                <w:tcPr>
                  <w:tcW w:w="1268" w:type="pct"/>
                  <w:tcBorders>
                    <w:left w:val="single" w:color="auto" w:sz="4" w:space="0"/>
                    <w:right w:val="single" w:color="auto" w:sz="4" w:space="0"/>
                  </w:tcBorders>
                  <w:noWrap w:val="0"/>
                  <w:vAlign w:val="center"/>
                </w:tcPr>
                <w:p w14:paraId="251CB7E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主导产业</w:t>
                  </w:r>
                </w:p>
              </w:tc>
              <w:tc>
                <w:tcPr>
                  <w:tcW w:w="1600" w:type="pct"/>
                  <w:tcBorders>
                    <w:left w:val="single" w:color="auto" w:sz="4" w:space="0"/>
                  </w:tcBorders>
                  <w:noWrap w:val="0"/>
                  <w:vAlign w:val="center"/>
                </w:tcPr>
                <w:p w14:paraId="5F630AA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行业类别</w:t>
                  </w:r>
                </w:p>
              </w:tc>
              <w:tc>
                <w:tcPr>
                  <w:tcW w:w="1502" w:type="pct"/>
                  <w:tcBorders>
                    <w:right w:val="single" w:color="auto" w:sz="4" w:space="0"/>
                  </w:tcBorders>
                  <w:noWrap w:val="0"/>
                  <w:vAlign w:val="center"/>
                </w:tcPr>
                <w:p w14:paraId="4FE9B8F3">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本项目情况</w:t>
                  </w:r>
                </w:p>
              </w:tc>
            </w:tr>
            <w:tr w14:paraId="0E11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vMerge w:val="restart"/>
                  <w:tcBorders>
                    <w:right w:val="single" w:color="auto" w:sz="4" w:space="0"/>
                  </w:tcBorders>
                  <w:noWrap w:val="0"/>
                  <w:vAlign w:val="center"/>
                </w:tcPr>
                <w:p w14:paraId="2C042B2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leftChars="0" w:right="0" w:firstLine="0" w:firstLineChars="0"/>
                    <w:jc w:val="center"/>
                    <w:rPr>
                      <w:rFonts w:hint="eastAsia" w:eastAsia="宋体"/>
                      <w:color w:val="auto"/>
                      <w:sz w:val="18"/>
                      <w:szCs w:val="18"/>
                      <w:lang w:eastAsia="zh-CN"/>
                    </w:rPr>
                  </w:pPr>
                  <w:r>
                    <w:rPr>
                      <w:rFonts w:hint="eastAsia"/>
                      <w:color w:val="auto"/>
                      <w:sz w:val="18"/>
                      <w:szCs w:val="18"/>
                      <w:lang w:val="en-US" w:eastAsia="zh-CN"/>
                    </w:rPr>
                    <w:t>鼓励类</w:t>
                  </w:r>
                </w:p>
              </w:tc>
              <w:tc>
                <w:tcPr>
                  <w:tcW w:w="1268" w:type="pct"/>
                  <w:tcBorders>
                    <w:left w:val="single" w:color="auto" w:sz="4" w:space="0"/>
                    <w:right w:val="single" w:color="auto" w:sz="4" w:space="0"/>
                  </w:tcBorders>
                  <w:noWrap w:val="0"/>
                  <w:vAlign w:val="center"/>
                </w:tcPr>
                <w:p w14:paraId="7263C6B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r>
                    <w:rPr>
                      <w:rFonts w:hint="default" w:ascii="CIDFont + F3" w:hAnsi="CIDFont + F3" w:eastAsia="CIDFont + F3" w:cs="CIDFont + F3"/>
                      <w:b w:val="0"/>
                      <w:bCs w:val="0"/>
                      <w:color w:val="auto"/>
                      <w:sz w:val="18"/>
                      <w:szCs w:val="18"/>
                    </w:rPr>
                    <w:t>现代工程机械</w:t>
                  </w:r>
                </w:p>
              </w:tc>
              <w:tc>
                <w:tcPr>
                  <w:tcW w:w="1600" w:type="pct"/>
                  <w:tcBorders>
                    <w:left w:val="single" w:color="auto" w:sz="4" w:space="0"/>
                  </w:tcBorders>
                  <w:noWrap w:val="0"/>
                  <w:vAlign w:val="center"/>
                </w:tcPr>
                <w:p w14:paraId="67891C5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eastAsia="宋体"/>
                      <w:color w:val="auto"/>
                      <w:sz w:val="18"/>
                      <w:szCs w:val="18"/>
                      <w:lang w:eastAsia="zh-CN"/>
                    </w:rPr>
                  </w:pPr>
                  <w:r>
                    <w:rPr>
                      <w:rFonts w:hint="eastAsia"/>
                      <w:color w:val="auto"/>
                      <w:sz w:val="18"/>
                      <w:szCs w:val="18"/>
                    </w:rPr>
                    <w:t>C34通用设备制造业</w:t>
                  </w:r>
                  <w:r>
                    <w:rPr>
                      <w:rFonts w:hint="eastAsia"/>
                      <w:color w:val="auto"/>
                      <w:sz w:val="18"/>
                      <w:szCs w:val="18"/>
                      <w:lang w:eastAsia="zh-CN"/>
                    </w:rPr>
                    <w:t>、C35专用设备制造业</w:t>
                  </w:r>
                </w:p>
              </w:tc>
              <w:tc>
                <w:tcPr>
                  <w:tcW w:w="1502" w:type="pct"/>
                  <w:vMerge w:val="restart"/>
                  <w:tcBorders>
                    <w:right w:val="single" w:color="auto" w:sz="4" w:space="0"/>
                  </w:tcBorders>
                  <w:noWrap w:val="0"/>
                  <w:vAlign w:val="center"/>
                </w:tcPr>
                <w:p w14:paraId="0F159728">
                  <w:pPr>
                    <w:pStyle w:val="146"/>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left"/>
                    <w:textAlignment w:val="baseline"/>
                    <w:rPr>
                      <w:rFonts w:hint="eastAsia" w:eastAsia="宋体"/>
                      <w:color w:val="auto"/>
                      <w:sz w:val="18"/>
                      <w:szCs w:val="18"/>
                      <w:lang w:val="en-US" w:eastAsia="zh-CN"/>
                    </w:rPr>
                  </w:pPr>
                  <w:r>
                    <w:rPr>
                      <w:rFonts w:hint="eastAsia"/>
                      <w:color w:val="auto"/>
                      <w:sz w:val="18"/>
                      <w:szCs w:val="18"/>
                      <w:lang w:val="en-US" w:eastAsia="zh-CN"/>
                    </w:rPr>
                    <w:t>不属于（技改项目属于C3054，不属于302石膏、水泥制品及类似制品制造、303砖瓦、石材等建筑材料制造）</w:t>
                  </w:r>
                </w:p>
              </w:tc>
            </w:tr>
            <w:tr w14:paraId="5FCDC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vMerge w:val="continue"/>
                  <w:tcBorders>
                    <w:right w:val="single" w:color="auto" w:sz="4" w:space="0"/>
                  </w:tcBorders>
                  <w:noWrap w:val="0"/>
                  <w:vAlign w:val="center"/>
                </w:tcPr>
                <w:p w14:paraId="0AF9ADC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p>
              </w:tc>
              <w:tc>
                <w:tcPr>
                  <w:tcW w:w="1268" w:type="pct"/>
                  <w:tcBorders>
                    <w:left w:val="single" w:color="auto" w:sz="4" w:space="0"/>
                    <w:right w:val="single" w:color="auto" w:sz="4" w:space="0"/>
                  </w:tcBorders>
                  <w:noWrap w:val="0"/>
                  <w:vAlign w:val="center"/>
                </w:tcPr>
                <w:p w14:paraId="6E3874C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r>
                    <w:rPr>
                      <w:rFonts w:hint="default" w:ascii="CIDFont + F3" w:hAnsi="CIDFont + F3" w:eastAsia="CIDFont + F3" w:cs="CIDFont + F3"/>
                      <w:b w:val="0"/>
                      <w:bCs w:val="0"/>
                      <w:color w:val="auto"/>
                      <w:sz w:val="18"/>
                      <w:szCs w:val="18"/>
                    </w:rPr>
                    <w:t>汽车零部件</w:t>
                  </w:r>
                </w:p>
              </w:tc>
              <w:tc>
                <w:tcPr>
                  <w:tcW w:w="1600" w:type="pct"/>
                  <w:tcBorders>
                    <w:left w:val="single" w:color="auto" w:sz="4" w:space="0"/>
                  </w:tcBorders>
                  <w:noWrap w:val="0"/>
                  <w:vAlign w:val="center"/>
                </w:tcPr>
                <w:p w14:paraId="0156D25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r>
                    <w:rPr>
                      <w:rFonts w:hint="default"/>
                      <w:color w:val="auto"/>
                      <w:sz w:val="18"/>
                      <w:szCs w:val="18"/>
                    </w:rPr>
                    <w:t>C36汽车制造业</w:t>
                  </w:r>
                </w:p>
              </w:tc>
              <w:tc>
                <w:tcPr>
                  <w:tcW w:w="1502" w:type="pct"/>
                  <w:vMerge w:val="continue"/>
                  <w:tcBorders>
                    <w:right w:val="single" w:color="auto" w:sz="4" w:space="0"/>
                  </w:tcBorders>
                  <w:noWrap w:val="0"/>
                  <w:vAlign w:val="center"/>
                </w:tcPr>
                <w:p w14:paraId="51B4E25F">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p>
              </w:tc>
            </w:tr>
            <w:tr w14:paraId="14D6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vMerge w:val="continue"/>
                  <w:tcBorders>
                    <w:right w:val="single" w:color="auto" w:sz="4" w:space="0"/>
                  </w:tcBorders>
                  <w:noWrap w:val="0"/>
                  <w:vAlign w:val="center"/>
                </w:tcPr>
                <w:p w14:paraId="6B17CD7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p>
              </w:tc>
              <w:tc>
                <w:tcPr>
                  <w:tcW w:w="1268" w:type="pct"/>
                  <w:tcBorders>
                    <w:left w:val="single" w:color="auto" w:sz="4" w:space="0"/>
                    <w:right w:val="single" w:color="auto" w:sz="4" w:space="0"/>
                  </w:tcBorders>
                  <w:noWrap w:val="0"/>
                  <w:vAlign w:val="center"/>
                </w:tcPr>
                <w:p w14:paraId="46CD701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r>
                    <w:rPr>
                      <w:rFonts w:hint="default" w:ascii="CIDFont + F3" w:hAnsi="CIDFont + F3" w:eastAsia="CIDFont + F3" w:cs="CIDFont + F3"/>
                      <w:b w:val="0"/>
                      <w:bCs w:val="0"/>
                      <w:color w:val="auto"/>
                      <w:sz w:val="18"/>
                      <w:szCs w:val="18"/>
                    </w:rPr>
                    <w:t>新型建材</w:t>
                  </w:r>
                </w:p>
              </w:tc>
              <w:tc>
                <w:tcPr>
                  <w:tcW w:w="1600" w:type="pct"/>
                  <w:tcBorders>
                    <w:left w:val="single" w:color="auto" w:sz="4" w:space="0"/>
                  </w:tcBorders>
                  <w:noWrap w:val="0"/>
                  <w:vAlign w:val="center"/>
                </w:tcPr>
                <w:p w14:paraId="48A9C51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r>
                    <w:rPr>
                      <w:rFonts w:hint="default"/>
                      <w:color w:val="auto"/>
                      <w:sz w:val="18"/>
                      <w:szCs w:val="18"/>
                    </w:rPr>
                    <w:t>C30非金属矿物制品业</w:t>
                  </w:r>
                </w:p>
              </w:tc>
              <w:tc>
                <w:tcPr>
                  <w:tcW w:w="1502" w:type="pct"/>
                  <w:vMerge w:val="continue"/>
                  <w:tcBorders>
                    <w:right w:val="single" w:color="auto" w:sz="4" w:space="0"/>
                  </w:tcBorders>
                  <w:noWrap w:val="0"/>
                  <w:vAlign w:val="center"/>
                </w:tcPr>
                <w:p w14:paraId="1A52B0F3">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p>
              </w:tc>
            </w:tr>
            <w:tr w14:paraId="5FD55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93" w:hRule="atLeast"/>
                <w:jc w:val="center"/>
              </w:trPr>
              <w:tc>
                <w:tcPr>
                  <w:tcW w:w="628" w:type="pct"/>
                  <w:tcBorders>
                    <w:right w:val="single" w:color="auto" w:sz="4" w:space="0"/>
                  </w:tcBorders>
                  <w:noWrap w:val="0"/>
                  <w:vAlign w:val="center"/>
                </w:tcPr>
                <w:p w14:paraId="34E8E3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color w:val="auto"/>
                      <w:sz w:val="18"/>
                      <w:szCs w:val="18"/>
                    </w:rPr>
                  </w:pPr>
                  <w:r>
                    <w:rPr>
                      <w:rFonts w:hint="default" w:ascii="CIDFont + F3" w:hAnsi="CIDFont + F3" w:eastAsia="CIDFont + F3" w:cs="CIDFont + F3"/>
                      <w:b w:val="0"/>
                      <w:bCs w:val="0"/>
                      <w:color w:val="auto"/>
                      <w:sz w:val="18"/>
                      <w:szCs w:val="18"/>
                    </w:rPr>
                    <w:t>有条件准入类</w:t>
                  </w:r>
                </w:p>
              </w:tc>
              <w:tc>
                <w:tcPr>
                  <w:tcW w:w="2868" w:type="pct"/>
                  <w:gridSpan w:val="2"/>
                  <w:tcBorders>
                    <w:left w:val="single" w:color="auto" w:sz="4" w:space="0"/>
                  </w:tcBorders>
                  <w:noWrap w:val="0"/>
                  <w:vAlign w:val="center"/>
                </w:tcPr>
                <w:p w14:paraId="6E684E9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left"/>
                    <w:rPr>
                      <w:rFonts w:hint="eastAsia"/>
                      <w:color w:val="auto"/>
                      <w:sz w:val="18"/>
                      <w:szCs w:val="18"/>
                    </w:rPr>
                  </w:pPr>
                  <w:r>
                    <w:rPr>
                      <w:rFonts w:hint="eastAsia"/>
                      <w:color w:val="auto"/>
                      <w:sz w:val="18"/>
                      <w:szCs w:val="18"/>
                      <w:lang w:val="en-US" w:eastAsia="zh-CN"/>
                    </w:rPr>
                    <w:t>（1）与主导产业链配套的其他相关产业，且经过充分的环境影响论证；</w:t>
                  </w:r>
                </w:p>
                <w:p w14:paraId="7931314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left"/>
                    <w:rPr>
                      <w:rFonts w:hint="eastAsia"/>
                      <w:color w:val="auto"/>
                      <w:sz w:val="18"/>
                      <w:szCs w:val="18"/>
                    </w:rPr>
                  </w:pPr>
                  <w:r>
                    <w:rPr>
                      <w:rFonts w:hint="eastAsia"/>
                      <w:color w:val="auto"/>
                      <w:sz w:val="18"/>
                      <w:szCs w:val="18"/>
                      <w:lang w:val="en-US" w:eastAsia="zh-CN"/>
                    </w:rPr>
                    <w:t>（2）对于汽车零部件行业、电子信息行业涉及含氟废水排放企业，在企业配套建设含氟预处理设施的前提下可进入，涉及含氟废水排放企业在开发区污水处理厂（包括除氟设施）稳定运行前不得投产。</w:t>
                  </w:r>
                </w:p>
              </w:tc>
              <w:tc>
                <w:tcPr>
                  <w:tcW w:w="1502" w:type="pct"/>
                  <w:tcBorders>
                    <w:right w:val="single" w:color="auto" w:sz="4" w:space="0"/>
                  </w:tcBorders>
                  <w:noWrap w:val="0"/>
                  <w:vAlign w:val="center"/>
                </w:tcPr>
                <w:p w14:paraId="7ECAE3A4">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default" w:eastAsia="宋体"/>
                      <w:color w:val="auto"/>
                      <w:sz w:val="18"/>
                      <w:szCs w:val="18"/>
                      <w:lang w:val="en-US" w:eastAsia="zh-CN"/>
                    </w:rPr>
                  </w:pPr>
                  <w:r>
                    <w:rPr>
                      <w:rFonts w:hint="eastAsia"/>
                      <w:color w:val="auto"/>
                      <w:sz w:val="18"/>
                      <w:szCs w:val="18"/>
                      <w:lang w:val="en-US" w:eastAsia="zh-CN"/>
                    </w:rPr>
                    <w:t>本次项目主要在原厂区内进行技术改造，现有工程已履行相关环保手续，为更好满足现行环保要求及节能要求，企业对现有工程进行技术改造。技改项目不产生含氟废水。</w:t>
                  </w:r>
                </w:p>
              </w:tc>
            </w:tr>
            <w:tr w14:paraId="7F07E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tcBorders>
                    <w:right w:val="single" w:color="auto" w:sz="4" w:space="0"/>
                  </w:tcBorders>
                  <w:noWrap w:val="0"/>
                  <w:vAlign w:val="center"/>
                </w:tcPr>
                <w:p w14:paraId="5C4513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r>
                    <w:rPr>
                      <w:rFonts w:hint="default" w:ascii="CIDFont + F3" w:hAnsi="CIDFont + F3" w:eastAsia="CIDFont + F3" w:cs="CIDFont + F3"/>
                      <w:b w:val="0"/>
                      <w:bCs w:val="0"/>
                      <w:color w:val="auto"/>
                      <w:sz w:val="18"/>
                      <w:szCs w:val="18"/>
                    </w:rPr>
                    <w:t>限制类</w:t>
                  </w:r>
                  <w:r>
                    <w:rPr>
                      <w:rFonts w:hint="default" w:ascii="宋体" w:hAnsi="宋体"/>
                      <w:color w:val="auto"/>
                      <w:sz w:val="18"/>
                      <w:szCs w:val="18"/>
                      <w:vertAlign w:val="superscript"/>
                    </w:rPr>
                    <w:t>*</w:t>
                  </w:r>
                </w:p>
              </w:tc>
              <w:tc>
                <w:tcPr>
                  <w:tcW w:w="2868" w:type="pct"/>
                  <w:gridSpan w:val="2"/>
                  <w:tcBorders>
                    <w:left w:val="single" w:color="auto" w:sz="4" w:space="0"/>
                  </w:tcBorders>
                  <w:noWrap w:val="0"/>
                  <w:vAlign w:val="center"/>
                </w:tcPr>
                <w:p w14:paraId="3C286D6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left"/>
                    <w:rPr>
                      <w:rFonts w:hint="eastAsia"/>
                      <w:color w:val="auto"/>
                      <w:sz w:val="18"/>
                      <w:szCs w:val="18"/>
                    </w:rPr>
                  </w:pPr>
                  <w:r>
                    <w:rPr>
                      <w:rFonts w:hint="default" w:ascii="CIDFont + F3" w:hAnsi="CIDFont + F3" w:eastAsia="CIDFont + F3" w:cs="CIDFont + F3"/>
                      <w:b w:val="0"/>
                      <w:bCs w:val="0"/>
                      <w:color w:val="auto"/>
                      <w:sz w:val="18"/>
                      <w:szCs w:val="18"/>
                    </w:rPr>
                    <w:t>限制发展能源、资源消耗量或排污量较大但效益相对较好的企业，主要为除开发区规划三大主导产业外、非负面清单中的项目，具体项目引入需经充分环境影响论证。</w:t>
                  </w:r>
                </w:p>
              </w:tc>
              <w:tc>
                <w:tcPr>
                  <w:tcW w:w="1502" w:type="pct"/>
                  <w:tcBorders>
                    <w:right w:val="single" w:color="auto" w:sz="4" w:space="0"/>
                  </w:tcBorders>
                  <w:noWrap w:val="0"/>
                  <w:vAlign w:val="center"/>
                </w:tcPr>
                <w:p w14:paraId="4340CA5E">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r>
                    <w:rPr>
                      <w:rFonts w:hint="eastAsia"/>
                      <w:color w:val="auto"/>
                      <w:sz w:val="18"/>
                      <w:szCs w:val="18"/>
                      <w:lang w:val="en-US" w:eastAsia="zh-CN"/>
                    </w:rPr>
                    <w:t>不属于</w:t>
                  </w:r>
                </w:p>
              </w:tc>
            </w:tr>
            <w:tr w14:paraId="118B5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28" w:type="pct"/>
                  <w:tcBorders>
                    <w:right w:val="single" w:color="auto" w:sz="4" w:space="0"/>
                  </w:tcBorders>
                  <w:noWrap w:val="0"/>
                  <w:vAlign w:val="center"/>
                </w:tcPr>
                <w:p w14:paraId="631F30C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eastAsia="宋体"/>
                      <w:color w:val="auto"/>
                      <w:sz w:val="18"/>
                      <w:szCs w:val="18"/>
                      <w:lang w:eastAsia="zh-CN"/>
                    </w:rPr>
                  </w:pPr>
                  <w:r>
                    <w:rPr>
                      <w:rFonts w:hint="eastAsia"/>
                      <w:color w:val="auto"/>
                      <w:sz w:val="18"/>
                      <w:szCs w:val="18"/>
                      <w:lang w:val="en-US" w:eastAsia="zh-CN"/>
                    </w:rPr>
                    <w:t>禁止类</w:t>
                  </w:r>
                </w:p>
              </w:tc>
              <w:tc>
                <w:tcPr>
                  <w:tcW w:w="2868" w:type="pct"/>
                  <w:gridSpan w:val="2"/>
                  <w:tcBorders>
                    <w:left w:val="single" w:color="auto" w:sz="4" w:space="0"/>
                  </w:tcBorders>
                  <w:noWrap w:val="0"/>
                  <w:vAlign w:val="center"/>
                </w:tcPr>
                <w:p w14:paraId="3D21E999">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00" w:lineRule="exact"/>
                    <w:ind w:left="0" w:leftChars="0" w:right="0" w:rightChars="0" w:firstLine="0" w:firstLineChars="0"/>
                    <w:jc w:val="left"/>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lang w:val="en-US" w:eastAsia="zh-CN"/>
                    </w:rPr>
                    <w:t>禁止引入列入《产业结构调整指导目录（2019年本）》（2021年修改）《市场准入负面清单（2022年版）》《外商投资准入特别管理措施（负面清单）（2020年版）》《安徽省长江经济带发展负面清单实施细则（试行，2022年版）》《安徽省淮河流域水污染防治条例》等相关产业政策中禁止或淘汰类项目、产品、工艺、设备；</w:t>
                  </w:r>
                </w:p>
                <w:p w14:paraId="1F5C9421">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00" w:lineRule="exact"/>
                    <w:ind w:left="0" w:leftChars="0" w:right="0" w:rightChars="0" w:firstLine="0" w:firstLineChars="0"/>
                    <w:jc w:val="left"/>
                    <w:rPr>
                      <w:rFonts w:hint="eastAsia"/>
                      <w:color w:val="auto"/>
                      <w:sz w:val="18"/>
                      <w:szCs w:val="18"/>
                    </w:rPr>
                  </w:pPr>
                  <w:r>
                    <w:rPr>
                      <w:rFonts w:hint="eastAsia"/>
                      <w:color w:val="auto"/>
                      <w:sz w:val="18"/>
                      <w:szCs w:val="18"/>
                      <w:lang w:val="en-US" w:eastAsia="zh-CN"/>
                    </w:rPr>
                    <w:t>（2）本次规划禁止新建、扩建不符合国家石化、现代煤化工等产业布局规划的项目；禁止新建、扩建法律法规和相关政策明令禁止的落后产能项目；禁止新建、扩建不符合要求的高耗能高排放项目；</w:t>
                  </w:r>
                </w:p>
                <w:p w14:paraId="3087BA0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left"/>
                    <w:rPr>
                      <w:rFonts w:hint="eastAsia"/>
                      <w:color w:val="auto"/>
                      <w:sz w:val="18"/>
                      <w:szCs w:val="18"/>
                    </w:rPr>
                  </w:pPr>
                  <w:r>
                    <w:rPr>
                      <w:rFonts w:hint="eastAsia"/>
                      <w:color w:val="auto"/>
                      <w:sz w:val="18"/>
                      <w:szCs w:val="18"/>
                      <w:lang w:val="en-US" w:eastAsia="zh-CN"/>
                    </w:rPr>
                    <w:t>（3）禁止建设化工、造纸、铅酸电池、印染、制革、电镀以及涉及“两重点一重大”等环境风险高的项目。</w:t>
                  </w:r>
                </w:p>
              </w:tc>
              <w:tc>
                <w:tcPr>
                  <w:tcW w:w="1502" w:type="pct"/>
                  <w:tcBorders>
                    <w:right w:val="single" w:color="auto" w:sz="4" w:space="0"/>
                  </w:tcBorders>
                  <w:noWrap w:val="0"/>
                  <w:vAlign w:val="center"/>
                </w:tcPr>
                <w:p w14:paraId="1C1F7F82">
                  <w:pPr>
                    <w:pStyle w:val="146"/>
                    <w:keepLines w:val="0"/>
                    <w:pageBreakBefore w:val="0"/>
                    <w:widowControl w:val="0"/>
                    <w:suppressLineNumbers w:val="0"/>
                    <w:kinsoku/>
                    <w:wordWrap/>
                    <w:overflowPunct/>
                    <w:topLinePunct w:val="0"/>
                    <w:autoSpaceDE/>
                    <w:autoSpaceDN/>
                    <w:bidi w:val="0"/>
                    <w:snapToGrid w:val="0"/>
                    <w:spacing w:before="0" w:beforeAutospacing="0" w:after="0" w:afterAutospacing="0" w:line="300" w:lineRule="exact"/>
                    <w:ind w:left="0" w:right="0" w:firstLine="0" w:firstLineChars="0"/>
                    <w:jc w:val="center"/>
                    <w:rPr>
                      <w:rFonts w:hint="eastAsia"/>
                      <w:color w:val="auto"/>
                      <w:sz w:val="18"/>
                      <w:szCs w:val="18"/>
                    </w:rPr>
                  </w:pPr>
                  <w:r>
                    <w:rPr>
                      <w:rFonts w:hint="eastAsia"/>
                      <w:color w:val="auto"/>
                      <w:sz w:val="18"/>
                      <w:szCs w:val="18"/>
                      <w:lang w:val="en-US" w:eastAsia="zh-CN"/>
                    </w:rPr>
                    <w:t>不属于</w:t>
                  </w:r>
                </w:p>
              </w:tc>
            </w:tr>
          </w:tbl>
          <w:p w14:paraId="5E382AA5">
            <w:pPr>
              <w:pStyle w:val="84"/>
              <w:ind w:firstLine="422"/>
              <w:rPr>
                <w:rFonts w:hint="eastAsia"/>
                <w:color w:val="auto"/>
                <w:lang w:val="en-US" w:eastAsia="zh-CN"/>
              </w:rPr>
            </w:pPr>
            <w:r>
              <w:rPr>
                <w:rFonts w:hint="eastAsia"/>
                <w:color w:val="auto"/>
                <w:sz w:val="21"/>
                <w:szCs w:val="21"/>
                <w:lang w:val="en-US" w:eastAsia="zh-CN"/>
              </w:rPr>
              <w:t>技改项目通过改造现有玻璃窑提高节能效率，配套现行可行环保技术，不属于上述表格中控制进入、禁止进入类型企业，按照“非禁即入”的原则，本项目属于可以入开发区建设。本项目已获取谢家集发展和改革委员会对本项目的备案，因此本项目的建设符合开发区要求。</w:t>
            </w:r>
          </w:p>
        </w:tc>
      </w:tr>
      <w:tr w14:paraId="5F6FE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431" w:type="dxa"/>
            <w:noWrap w:val="0"/>
            <w:vAlign w:val="center"/>
          </w:tcPr>
          <w:p w14:paraId="44B1E89B">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7439" w:type="dxa"/>
            <w:gridSpan w:val="3"/>
            <w:noWrap w:val="0"/>
            <w:vAlign w:val="center"/>
          </w:tcPr>
          <w:p w14:paraId="73E0E6ED">
            <w:pPr>
              <w:pStyle w:val="84"/>
              <w:ind w:firstLineChars="0"/>
              <w:rPr>
                <w:b/>
                <w:bCs w:val="0"/>
                <w:color w:val="auto"/>
                <w:lang w:val="en-US" w:eastAsia="zh-CN"/>
              </w:rPr>
            </w:pPr>
            <w:r>
              <w:rPr>
                <w:b/>
                <w:bCs w:val="0"/>
                <w:color w:val="auto"/>
                <w:lang w:val="en-US" w:eastAsia="zh-CN"/>
              </w:rPr>
              <w:t>1</w:t>
            </w:r>
            <w:r>
              <w:rPr>
                <w:rFonts w:hint="eastAsia"/>
                <w:b/>
                <w:bCs w:val="0"/>
                <w:color w:val="auto"/>
                <w:lang w:val="en-US" w:eastAsia="zh-CN"/>
              </w:rPr>
              <w:t>、</w:t>
            </w:r>
            <w:r>
              <w:rPr>
                <w:b/>
                <w:bCs w:val="0"/>
                <w:color w:val="auto"/>
                <w:lang w:val="en-US" w:eastAsia="zh-CN"/>
              </w:rPr>
              <w:t>产业政策相符性分析</w:t>
            </w:r>
          </w:p>
          <w:p w14:paraId="0C416750">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lang w:val="en-US" w:eastAsia="zh-CN"/>
              </w:rPr>
            </w:pPr>
            <w:r>
              <w:rPr>
                <w:rFonts w:hint="eastAsia"/>
                <w:color w:val="auto"/>
                <w:lang w:val="en-US" w:eastAsia="zh-CN"/>
              </w:rPr>
              <w:t>（1）</w:t>
            </w:r>
            <w:r>
              <w:rPr>
                <w:color w:val="auto"/>
                <w:lang w:val="en-US" w:eastAsia="zh-CN"/>
              </w:rPr>
              <w:t>与国家产业结构调整指导目录的符合性</w:t>
            </w:r>
          </w:p>
          <w:p w14:paraId="188D9CD0">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lang w:val="en-US" w:eastAsia="zh-CN"/>
              </w:rPr>
            </w:pPr>
            <w:r>
              <w:rPr>
                <w:rFonts w:hint="eastAsia"/>
                <w:color w:val="auto"/>
                <w:lang w:val="en-US" w:eastAsia="zh-CN"/>
              </w:rPr>
              <w:t>本项目</w:t>
            </w:r>
            <w:r>
              <w:rPr>
                <w:color w:val="auto"/>
                <w:lang w:val="en-US" w:eastAsia="zh-CN"/>
              </w:rPr>
              <w:t>产品为</w:t>
            </w:r>
            <w:r>
              <w:rPr>
                <w:rFonts w:hint="eastAsia"/>
                <w:color w:val="auto"/>
                <w:lang w:val="en-US" w:eastAsia="zh-CN"/>
              </w:rPr>
              <w:t>日用玻璃制品制造，</w:t>
            </w:r>
            <w:r>
              <w:rPr>
                <w:color w:val="auto"/>
                <w:lang w:val="en-US" w:eastAsia="zh-CN"/>
              </w:rPr>
              <w:t>属于《国民经济行业分类》（GB/T4754-2017）中</w:t>
            </w:r>
            <w:r>
              <w:rPr>
                <w:rFonts w:hint="eastAsia"/>
                <w:color w:val="auto"/>
                <w:lang w:val="en-US" w:eastAsia="zh-CN"/>
              </w:rPr>
              <w:t>“</w:t>
            </w:r>
            <w:r>
              <w:rPr>
                <w:color w:val="auto"/>
                <w:lang w:val="en-US" w:eastAsia="zh-CN"/>
              </w:rPr>
              <w:t>C3</w:t>
            </w:r>
            <w:r>
              <w:rPr>
                <w:rFonts w:hint="eastAsia"/>
                <w:color w:val="auto"/>
                <w:lang w:val="en-US" w:eastAsia="zh-CN"/>
              </w:rPr>
              <w:t>054日用玻璃制品制造”，改造完成后项目产能增加1.2万吨，总产能为年产4万吨日用玻璃制品</w:t>
            </w:r>
            <w:r>
              <w:rPr>
                <w:color w:val="auto"/>
                <w:lang w:val="en-US" w:eastAsia="zh-CN"/>
              </w:rPr>
              <w:t>。根据《产业结构调整指导目录》（2024年本）（国家发展和改革委员会第29号令）</w:t>
            </w:r>
            <w:r>
              <w:rPr>
                <w:rFonts w:hint="eastAsia"/>
                <w:color w:val="auto"/>
                <w:lang w:val="en-US" w:eastAsia="zh-CN"/>
              </w:rPr>
              <w:t>，不属于鼓励类、限制类和淘汰类，按照“非禁即入”的原则，视为允许类项目。对照</w:t>
            </w:r>
            <w:r>
              <w:rPr>
                <w:color w:val="auto"/>
                <w:lang w:val="en-US" w:eastAsia="zh-CN"/>
              </w:rPr>
              <w:t>《安徽省工业产业结构调整指导目录（2007年本）》，本工程产品生产规模、生产工艺和生产装备不属于目录中鼓励类、限制类和淘汰类，可视为允许类项目。</w:t>
            </w:r>
            <w:r>
              <w:rPr>
                <w:rFonts w:hint="eastAsia"/>
                <w:bCs/>
                <w:color w:val="auto"/>
              </w:rPr>
              <w:t>谢家集区经济和信息化局</w:t>
            </w:r>
            <w:r>
              <w:rPr>
                <w:color w:val="auto"/>
                <w:lang w:val="en-US" w:eastAsia="zh-CN"/>
              </w:rPr>
              <w:t>于202</w:t>
            </w:r>
            <w:r>
              <w:rPr>
                <w:rFonts w:hint="eastAsia"/>
                <w:color w:val="auto"/>
                <w:lang w:val="en-US" w:eastAsia="zh-CN"/>
              </w:rPr>
              <w:t>4</w:t>
            </w:r>
            <w:r>
              <w:rPr>
                <w:color w:val="auto"/>
                <w:lang w:val="en-US" w:eastAsia="zh-CN"/>
              </w:rPr>
              <w:t>年</w:t>
            </w:r>
            <w:r>
              <w:rPr>
                <w:rFonts w:hint="eastAsia"/>
                <w:color w:val="auto"/>
                <w:lang w:val="en-US" w:eastAsia="zh-CN"/>
              </w:rPr>
              <w:t>3</w:t>
            </w:r>
            <w:r>
              <w:rPr>
                <w:color w:val="auto"/>
                <w:lang w:val="en-US" w:eastAsia="zh-CN"/>
              </w:rPr>
              <w:t>月</w:t>
            </w:r>
            <w:r>
              <w:rPr>
                <w:rFonts w:hint="eastAsia"/>
                <w:color w:val="auto"/>
                <w:lang w:val="en-US" w:eastAsia="zh-CN"/>
              </w:rPr>
              <w:t>5</w:t>
            </w:r>
            <w:r>
              <w:rPr>
                <w:color w:val="auto"/>
                <w:lang w:val="en-US" w:eastAsia="zh-CN"/>
              </w:rPr>
              <w:t>日同意</w:t>
            </w:r>
            <w:r>
              <w:rPr>
                <w:rFonts w:hint="eastAsia"/>
                <w:color w:val="auto"/>
                <w:lang w:val="en-US" w:eastAsia="zh-CN"/>
              </w:rPr>
              <w:t>本工程</w:t>
            </w:r>
            <w:r>
              <w:rPr>
                <w:color w:val="auto"/>
                <w:lang w:val="en-US" w:eastAsia="zh-CN"/>
              </w:rPr>
              <w:t>备案</w:t>
            </w:r>
            <w:r>
              <w:rPr>
                <w:rFonts w:hint="eastAsia"/>
                <w:color w:val="auto"/>
                <w:lang w:val="en-US" w:eastAsia="zh-CN"/>
              </w:rPr>
              <w:t>（</w:t>
            </w:r>
            <w:r>
              <w:rPr>
                <w:rFonts w:hint="eastAsia"/>
                <w:color w:val="auto"/>
                <w:szCs w:val="21"/>
              </w:rPr>
              <w:t>谢经信〔202</w:t>
            </w:r>
            <w:r>
              <w:rPr>
                <w:rFonts w:hint="eastAsia"/>
                <w:color w:val="auto"/>
                <w:szCs w:val="21"/>
                <w:lang w:val="en-US" w:eastAsia="zh-CN"/>
              </w:rPr>
              <w:t>4</w:t>
            </w:r>
            <w:r>
              <w:rPr>
                <w:rFonts w:hint="eastAsia"/>
                <w:color w:val="auto"/>
                <w:szCs w:val="21"/>
              </w:rPr>
              <w:t>〕</w:t>
            </w:r>
            <w:r>
              <w:rPr>
                <w:rFonts w:hint="eastAsia"/>
                <w:color w:val="auto"/>
                <w:szCs w:val="21"/>
                <w:lang w:val="en-US" w:eastAsia="zh-CN"/>
              </w:rPr>
              <w:t>7</w:t>
            </w:r>
            <w:r>
              <w:rPr>
                <w:rFonts w:hint="eastAsia"/>
                <w:color w:val="auto"/>
                <w:szCs w:val="21"/>
              </w:rPr>
              <w:t>号</w:t>
            </w:r>
            <w:r>
              <w:rPr>
                <w:rFonts w:hint="eastAsia"/>
                <w:color w:val="auto"/>
                <w:lang w:val="en-US" w:eastAsia="zh-CN"/>
              </w:rPr>
              <w:t>）</w:t>
            </w:r>
            <w:r>
              <w:rPr>
                <w:color w:val="auto"/>
                <w:lang w:val="en-US" w:eastAsia="zh-CN"/>
              </w:rPr>
              <w:t>。</w:t>
            </w:r>
          </w:p>
          <w:p w14:paraId="5B0E519B">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lang w:val="en-US" w:eastAsia="zh-CN"/>
              </w:rPr>
            </w:pPr>
            <w:r>
              <w:rPr>
                <w:color w:val="auto"/>
                <w:lang w:val="en-US" w:eastAsia="zh-CN"/>
              </w:rPr>
              <w:t>因此，本工程</w:t>
            </w:r>
            <w:r>
              <w:rPr>
                <w:rFonts w:hint="eastAsia"/>
                <w:color w:val="auto"/>
                <w:lang w:val="en-US" w:eastAsia="zh-CN"/>
              </w:rPr>
              <w:t>为改扩建工程，在现有工程基础上更新设备、提升产品产能，工程的</w:t>
            </w:r>
            <w:r>
              <w:rPr>
                <w:color w:val="auto"/>
                <w:lang w:val="en-US" w:eastAsia="zh-CN"/>
              </w:rPr>
              <w:t>建设符合当前国家相关产业政策</w:t>
            </w:r>
            <w:r>
              <w:rPr>
                <w:rFonts w:hint="eastAsia"/>
                <w:color w:val="auto"/>
                <w:lang w:val="en-US" w:eastAsia="zh-CN"/>
              </w:rPr>
              <w:t>要求</w:t>
            </w:r>
            <w:r>
              <w:rPr>
                <w:color w:val="auto"/>
                <w:lang w:val="en-US" w:eastAsia="zh-CN"/>
              </w:rPr>
              <w:t>。</w:t>
            </w:r>
          </w:p>
          <w:p w14:paraId="2D99DD43">
            <w:pPr>
              <w:pStyle w:val="84"/>
              <w:numPr>
                <w:ilvl w:val="0"/>
                <w:numId w:val="0"/>
              </w:numPr>
              <w:ind w:firstLine="422" w:firstLineChars="200"/>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kern w:val="2"/>
                <w:sz w:val="21"/>
                <w:szCs w:val="21"/>
                <w:lang w:val="en-US" w:eastAsia="zh-CN" w:bidi="ar-SA"/>
              </w:rPr>
              <w:t>2、</w:t>
            </w:r>
            <w:r>
              <w:rPr>
                <w:rFonts w:hint="eastAsia" w:ascii="Times New Roman" w:hAnsi="Times New Roman" w:eastAsia="宋体" w:cs="Times New Roman"/>
                <w:b/>
                <w:bCs w:val="0"/>
                <w:color w:val="auto"/>
                <w:szCs w:val="21"/>
                <w:lang w:val="en-US" w:eastAsia="zh-CN"/>
              </w:rPr>
              <w:t>《日用玻璃行业规范条件（2023年版）》的符合性</w:t>
            </w:r>
          </w:p>
          <w:p w14:paraId="5EEFC197">
            <w:pPr>
              <w:pStyle w:val="81"/>
              <w:keepNext w:val="0"/>
              <w:keepLines w:val="0"/>
              <w:pageBreakBefore w:val="0"/>
              <w:widowControl/>
              <w:kinsoku/>
              <w:wordWrap/>
              <w:overflowPunct/>
              <w:topLinePunct w:val="0"/>
              <w:autoSpaceDE/>
              <w:autoSpaceDN/>
              <w:bidi w:val="0"/>
              <w:adjustRightInd w:val="0"/>
              <w:snapToGrid w:val="0"/>
              <w:spacing w:before="0" w:after="0"/>
              <w:ind w:right="0"/>
              <w:textAlignment w:val="auto"/>
              <w:rPr>
                <w:rFonts w:ascii="Times New Roman" w:hAnsi="Times New Roman" w:cs="Times New Roman"/>
                <w:color w:val="auto"/>
                <w:sz w:val="21"/>
                <w:szCs w:val="21"/>
              </w:rPr>
            </w:pPr>
            <w:r>
              <w:rPr>
                <w:rFonts w:ascii="Times New Roman" w:hAnsi="Times New Roman" w:cs="Times New Roman"/>
                <w:color w:val="auto"/>
                <w:sz w:val="21"/>
                <w:szCs w:val="21"/>
              </w:rPr>
              <w:t>表1-</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lang w:val="en-US" w:eastAsia="zh-CN"/>
              </w:rPr>
              <w:t xml:space="preserve"> </w:t>
            </w:r>
            <w:r>
              <w:rPr>
                <w:rFonts w:ascii="Times New Roman" w:hAnsi="Times New Roman" w:cs="Times New Roman"/>
                <w:color w:val="auto"/>
                <w:sz w:val="21"/>
                <w:szCs w:val="21"/>
              </w:rPr>
              <w:t>与</w:t>
            </w:r>
            <w:r>
              <w:rPr>
                <w:rFonts w:hint="eastAsia" w:ascii="Times New Roman" w:hAnsi="Times New Roman" w:eastAsia="宋体" w:cs="Times New Roman"/>
                <w:b/>
                <w:bCs w:val="0"/>
                <w:color w:val="auto"/>
                <w:sz w:val="21"/>
                <w:szCs w:val="21"/>
                <w:lang w:val="en-US" w:eastAsia="zh-CN"/>
              </w:rPr>
              <w:t>《日用玻璃行业规范条件（2023年版）》</w:t>
            </w:r>
            <w:r>
              <w:rPr>
                <w:rFonts w:ascii="Times New Roman" w:hAnsi="Times New Roman" w:cs="Times New Roman"/>
                <w:color w:val="auto"/>
                <w:sz w:val="21"/>
                <w:szCs w:val="21"/>
              </w:rPr>
              <w:t>符合性</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4469"/>
              <w:gridCol w:w="2001"/>
            </w:tblGrid>
            <w:tr w14:paraId="19E9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2" w:type="pct"/>
                  <w:gridSpan w:val="2"/>
                  <w:noWrap w:val="0"/>
                  <w:vAlign w:val="center"/>
                </w:tcPr>
                <w:p w14:paraId="158DB81B">
                  <w:pPr>
                    <w:pStyle w:val="73"/>
                    <w:rPr>
                      <w:rFonts w:hint="default" w:ascii="宋体" w:hAnsi="宋体"/>
                      <w:b/>
                      <w:bCs/>
                      <w:color w:val="auto"/>
                      <w:sz w:val="18"/>
                      <w:szCs w:val="16"/>
                      <w:lang w:val="en-US" w:eastAsia="zh-CN"/>
                    </w:rPr>
                  </w:pPr>
                  <w:r>
                    <w:rPr>
                      <w:rFonts w:hint="eastAsia" w:ascii="宋体" w:hAnsi="宋体"/>
                      <w:b/>
                      <w:bCs/>
                      <w:color w:val="auto"/>
                      <w:sz w:val="18"/>
                      <w:szCs w:val="16"/>
                      <w:lang w:val="en-US" w:eastAsia="zh-CN"/>
                    </w:rPr>
                    <w:t>规范规定</w:t>
                  </w:r>
                </w:p>
              </w:tc>
              <w:tc>
                <w:tcPr>
                  <w:tcW w:w="1387" w:type="pct"/>
                  <w:noWrap w:val="0"/>
                  <w:vAlign w:val="center"/>
                </w:tcPr>
                <w:p w14:paraId="7677A22C">
                  <w:pPr>
                    <w:pStyle w:val="73"/>
                    <w:rPr>
                      <w:b/>
                      <w:bCs/>
                      <w:color w:val="auto"/>
                      <w:sz w:val="18"/>
                      <w:szCs w:val="16"/>
                      <w:lang w:val="en-GB" w:eastAsia="zh-CN"/>
                    </w:rPr>
                  </w:pPr>
                  <w:r>
                    <w:rPr>
                      <w:b/>
                      <w:bCs/>
                      <w:color w:val="auto"/>
                      <w:sz w:val="18"/>
                      <w:szCs w:val="16"/>
                      <w:lang w:val="en-GB" w:eastAsia="zh-CN"/>
                    </w:rPr>
                    <w:t>符合性分析</w:t>
                  </w:r>
                </w:p>
              </w:tc>
            </w:tr>
            <w:tr w14:paraId="1C73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restart"/>
                  <w:noWrap w:val="0"/>
                  <w:vAlign w:val="center"/>
                </w:tcPr>
                <w:p w14:paraId="4BD4B9ED">
                  <w:pPr>
                    <w:pStyle w:val="73"/>
                    <w:rPr>
                      <w:rFonts w:hint="default"/>
                      <w:color w:val="auto"/>
                      <w:sz w:val="18"/>
                      <w:szCs w:val="16"/>
                      <w:lang w:val="en-US" w:eastAsia="zh-CN"/>
                    </w:rPr>
                  </w:pPr>
                  <w:r>
                    <w:rPr>
                      <w:rFonts w:hint="eastAsia"/>
                      <w:color w:val="auto"/>
                      <w:sz w:val="18"/>
                      <w:szCs w:val="16"/>
                      <w:lang w:val="en-US" w:eastAsia="zh-CN"/>
                    </w:rPr>
                    <w:t>布局</w:t>
                  </w:r>
                </w:p>
              </w:tc>
              <w:tc>
                <w:tcPr>
                  <w:tcW w:w="3099" w:type="pct"/>
                  <w:noWrap w:val="0"/>
                  <w:vAlign w:val="center"/>
                </w:tcPr>
                <w:p w14:paraId="1F001B64">
                  <w:pPr>
                    <w:pStyle w:val="73"/>
                    <w:rPr>
                      <w:color w:val="auto"/>
                      <w:sz w:val="18"/>
                      <w:szCs w:val="16"/>
                      <w:lang w:val="en-GB" w:eastAsia="zh-CN"/>
                    </w:rPr>
                  </w:pPr>
                  <w:r>
                    <w:rPr>
                      <w:color w:val="auto"/>
                      <w:sz w:val="18"/>
                      <w:szCs w:val="16"/>
                      <w:lang w:val="en-GB" w:eastAsia="zh-CN"/>
                    </w:rPr>
                    <w:t>（一）</w:t>
                  </w:r>
                  <w:r>
                    <w:rPr>
                      <w:rFonts w:hint="eastAsia"/>
                      <w:color w:val="auto"/>
                      <w:sz w:val="18"/>
                      <w:szCs w:val="16"/>
                      <w:lang w:val="en-GB" w:eastAsia="zh-CN"/>
                    </w:rPr>
                    <w:t>新建生产企业和新建、改扩建项目选址应符合本地区国土空间规划、生态环境要求和用地标准；符合生态环境分区管控和所在园区规划环境影响评价要求。在下述区域内不得建设日用玻璃生产企业：自然保护区、风景名胜区和饮用水水源地保护区等依法实行特殊保护的地区；国土空间规划中确定的居住生活区、综合服务区、商业商务区、交通枢纽区；永久基本农田保护区。</w:t>
                  </w:r>
                </w:p>
              </w:tc>
              <w:tc>
                <w:tcPr>
                  <w:tcW w:w="1387" w:type="pct"/>
                  <w:vMerge w:val="restart"/>
                  <w:noWrap w:val="0"/>
                  <w:vAlign w:val="center"/>
                </w:tcPr>
                <w:p w14:paraId="0B3FF887">
                  <w:pPr>
                    <w:pStyle w:val="73"/>
                    <w:rPr>
                      <w:color w:val="auto"/>
                      <w:sz w:val="18"/>
                      <w:szCs w:val="16"/>
                      <w:lang w:val="en-GB" w:eastAsia="zh-CN"/>
                    </w:rPr>
                  </w:pPr>
                  <w:r>
                    <w:rPr>
                      <w:rFonts w:hint="eastAsia"/>
                      <w:color w:val="auto"/>
                      <w:sz w:val="18"/>
                      <w:szCs w:val="16"/>
                      <w:lang w:val="en-US" w:eastAsia="zh-CN"/>
                    </w:rPr>
                    <w:t>改扩建项目位于现有厂区内进行，不新增用地，厂区位于现有合规园区谢家集经济开发区，扩建项目产品为日用玻璃器皿生产加工，所使用能源主要为天然气，符合布局要求。</w:t>
                  </w:r>
                </w:p>
              </w:tc>
            </w:tr>
            <w:tr w14:paraId="52CE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73863530">
                  <w:pPr>
                    <w:pStyle w:val="73"/>
                    <w:rPr>
                      <w:rFonts w:hint="default"/>
                      <w:color w:val="auto"/>
                      <w:sz w:val="18"/>
                      <w:szCs w:val="16"/>
                      <w:lang w:val="en-US" w:eastAsia="zh-CN"/>
                    </w:rPr>
                  </w:pPr>
                </w:p>
              </w:tc>
              <w:tc>
                <w:tcPr>
                  <w:tcW w:w="3099" w:type="pct"/>
                  <w:noWrap w:val="0"/>
                  <w:vAlign w:val="center"/>
                </w:tcPr>
                <w:p w14:paraId="06F9583E">
                  <w:pPr>
                    <w:pStyle w:val="73"/>
                    <w:jc w:val="left"/>
                    <w:rPr>
                      <w:color w:val="auto"/>
                      <w:sz w:val="18"/>
                      <w:szCs w:val="16"/>
                      <w:lang w:val="en-GB" w:eastAsia="zh-CN"/>
                    </w:rPr>
                  </w:pPr>
                  <w:r>
                    <w:rPr>
                      <w:rFonts w:hint="eastAsia"/>
                      <w:color w:val="auto"/>
                      <w:sz w:val="18"/>
                      <w:szCs w:val="16"/>
                      <w:lang w:val="en-GB" w:eastAsia="zh-CN"/>
                    </w:rPr>
                    <w:t>（二）建设项目应符合国家产业政策的规定，坚持绿色 发展理念，重点是对现有生产线进行高端化智能化绿色化改造升级，鼓励发展轻量化玻璃瓶罐、高档玻璃器皿和特殊品 种的玻璃制品生产项目。严格限制新建玻璃保温瓶胆项目。鼓励日用玻璃生产企业进入工业生产园区。</w:t>
                  </w:r>
                </w:p>
              </w:tc>
              <w:tc>
                <w:tcPr>
                  <w:tcW w:w="1387" w:type="pct"/>
                  <w:vMerge w:val="continue"/>
                  <w:noWrap w:val="0"/>
                  <w:vAlign w:val="center"/>
                </w:tcPr>
                <w:p w14:paraId="4DD5DFD1">
                  <w:pPr>
                    <w:pStyle w:val="73"/>
                    <w:rPr>
                      <w:rFonts w:hint="eastAsia"/>
                      <w:color w:val="auto"/>
                      <w:sz w:val="18"/>
                      <w:szCs w:val="16"/>
                      <w:lang w:val="en-GB" w:eastAsia="zh-CN"/>
                    </w:rPr>
                  </w:pPr>
                </w:p>
              </w:tc>
            </w:tr>
            <w:tr w14:paraId="04AF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restart"/>
                  <w:noWrap w:val="0"/>
                  <w:vAlign w:val="center"/>
                </w:tcPr>
                <w:p w14:paraId="78F9B4B4">
                  <w:pPr>
                    <w:pStyle w:val="73"/>
                    <w:rPr>
                      <w:color w:val="auto"/>
                      <w:sz w:val="18"/>
                      <w:szCs w:val="16"/>
                      <w:lang w:val="en-GB" w:eastAsia="zh-CN"/>
                    </w:rPr>
                  </w:pPr>
                  <w:r>
                    <w:rPr>
                      <w:rFonts w:hint="eastAsia"/>
                      <w:color w:val="auto"/>
                      <w:sz w:val="18"/>
                      <w:szCs w:val="16"/>
                      <w:lang w:val="en-US" w:eastAsia="zh-CN"/>
                    </w:rPr>
                    <w:t>生产工艺与设备</w:t>
                  </w:r>
                </w:p>
              </w:tc>
              <w:tc>
                <w:tcPr>
                  <w:tcW w:w="3099" w:type="pct"/>
                  <w:noWrap w:val="0"/>
                  <w:vAlign w:val="center"/>
                </w:tcPr>
                <w:p w14:paraId="1167DDF4">
                  <w:pPr>
                    <w:pStyle w:val="73"/>
                    <w:rPr>
                      <w:color w:val="auto"/>
                      <w:sz w:val="18"/>
                      <w:szCs w:val="16"/>
                      <w:lang w:val="en-GB" w:eastAsia="zh-CN"/>
                    </w:rPr>
                  </w:pPr>
                  <w:r>
                    <w:rPr>
                      <w:color w:val="auto"/>
                      <w:sz w:val="18"/>
                      <w:szCs w:val="16"/>
                      <w:lang w:val="en-GB" w:eastAsia="zh-CN"/>
                    </w:rPr>
                    <w:t>（</w:t>
                  </w:r>
                  <w:r>
                    <w:rPr>
                      <w:rFonts w:hint="eastAsia"/>
                      <w:color w:val="auto"/>
                      <w:sz w:val="18"/>
                      <w:szCs w:val="16"/>
                      <w:lang w:val="en-US" w:eastAsia="zh-CN"/>
                    </w:rPr>
                    <w:t>三</w:t>
                  </w:r>
                  <w:r>
                    <w:rPr>
                      <w:color w:val="auto"/>
                      <w:sz w:val="18"/>
                      <w:szCs w:val="16"/>
                      <w:lang w:val="en-GB" w:eastAsia="zh-CN"/>
                    </w:rPr>
                    <w:t>）优化燃料结构，优先使用清洁能源。</w:t>
                  </w:r>
                </w:p>
              </w:tc>
              <w:tc>
                <w:tcPr>
                  <w:tcW w:w="1387" w:type="pct"/>
                  <w:vMerge w:val="continue"/>
                  <w:noWrap w:val="0"/>
                  <w:vAlign w:val="center"/>
                </w:tcPr>
                <w:p w14:paraId="153471D1">
                  <w:pPr>
                    <w:pStyle w:val="73"/>
                    <w:rPr>
                      <w:color w:val="auto"/>
                      <w:sz w:val="18"/>
                      <w:szCs w:val="16"/>
                      <w:lang w:val="en-GB" w:eastAsia="zh-CN"/>
                    </w:rPr>
                  </w:pPr>
                </w:p>
              </w:tc>
            </w:tr>
            <w:tr w14:paraId="20DB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62289FF5">
                  <w:pPr>
                    <w:pStyle w:val="73"/>
                    <w:rPr>
                      <w:rFonts w:hint="eastAsia"/>
                      <w:color w:val="auto"/>
                      <w:sz w:val="18"/>
                      <w:szCs w:val="16"/>
                      <w:lang w:val="en-US" w:eastAsia="zh-CN"/>
                    </w:rPr>
                  </w:pPr>
                </w:p>
              </w:tc>
              <w:tc>
                <w:tcPr>
                  <w:tcW w:w="3099" w:type="pct"/>
                  <w:noWrap w:val="0"/>
                  <w:vAlign w:val="center"/>
                </w:tcPr>
                <w:p w14:paraId="0B19FAE7">
                  <w:pPr>
                    <w:pStyle w:val="73"/>
                    <w:jc w:val="left"/>
                    <w:rPr>
                      <w:color w:val="auto"/>
                      <w:sz w:val="18"/>
                      <w:szCs w:val="16"/>
                      <w:lang w:val="en-GB" w:eastAsia="zh-CN"/>
                    </w:rPr>
                  </w:pPr>
                  <w:r>
                    <w:rPr>
                      <w:color w:val="auto"/>
                      <w:sz w:val="18"/>
                      <w:szCs w:val="16"/>
                      <w:lang w:val="en-GB" w:eastAsia="zh-CN"/>
                    </w:rPr>
                    <w:t>（四）原料及配合料制备系统1.</w:t>
                  </w:r>
                  <w:r>
                    <w:rPr>
                      <w:rFonts w:hint="eastAsia"/>
                      <w:color w:val="auto"/>
                      <w:sz w:val="18"/>
                      <w:szCs w:val="16"/>
                      <w:lang w:val="en-GB" w:eastAsia="zh-CN"/>
                    </w:rPr>
                    <w:t>硅质原料应采用粉料进厂并建有硅质原料均化库。其他原辅材料（粉料）应密闭运输，分类入库。储存设施的建 设应符合相关国家标准。</w:t>
                  </w:r>
                  <w:r>
                    <w:rPr>
                      <w:rFonts w:hint="default"/>
                      <w:color w:val="auto"/>
                      <w:sz w:val="18"/>
                      <w:szCs w:val="16"/>
                      <w:lang w:val="en-GB" w:eastAsia="zh-CN"/>
                    </w:rPr>
                    <w:t>2.</w:t>
                  </w:r>
                  <w:r>
                    <w:rPr>
                      <w:rFonts w:hint="eastAsia"/>
                      <w:color w:val="auto"/>
                      <w:sz w:val="18"/>
                      <w:szCs w:val="16"/>
                      <w:lang w:val="en-GB" w:eastAsia="zh-CN"/>
                    </w:rPr>
                    <w:t>配合料制备系统和相应设备应采用自动控制技术。其中：电子称量系统动态精度不低于</w:t>
                  </w:r>
                  <w:r>
                    <w:rPr>
                      <w:rFonts w:hint="default"/>
                      <w:color w:val="auto"/>
                      <w:sz w:val="18"/>
                      <w:szCs w:val="16"/>
                      <w:lang w:val="en-GB" w:eastAsia="zh-CN"/>
                    </w:rPr>
                    <w:t>1/500</w:t>
                  </w:r>
                  <w:r>
                    <w:rPr>
                      <w:rFonts w:hint="eastAsia"/>
                      <w:color w:val="auto"/>
                      <w:sz w:val="18"/>
                      <w:szCs w:val="16"/>
                      <w:lang w:val="en-GB" w:eastAsia="zh-CN"/>
                    </w:rPr>
                    <w:t>；加水、加蒸汽过 程可自动检测与控制，应配置快速分析仪器（含在线水分测量、离线成分分析、均匀度测定等）及可追溯的记录系统。</w:t>
                  </w:r>
                  <w:r>
                    <w:rPr>
                      <w:rFonts w:hint="default"/>
                      <w:color w:val="auto"/>
                      <w:sz w:val="18"/>
                      <w:szCs w:val="16"/>
                      <w:lang w:val="en-GB" w:eastAsia="zh-CN"/>
                    </w:rPr>
                    <w:t>3.</w:t>
                  </w:r>
                  <w:r>
                    <w:rPr>
                      <w:rFonts w:hint="eastAsia"/>
                      <w:color w:val="auto"/>
                      <w:sz w:val="18"/>
                      <w:szCs w:val="16"/>
                      <w:lang w:val="en-GB" w:eastAsia="zh-CN"/>
                    </w:rPr>
                    <w:t>玻璃器皿、玻璃仪器及高档白料玻璃瓶罐项目的配合 料制备系统应采用无铁或低铁工艺技术。</w:t>
                  </w:r>
                  <w:r>
                    <w:rPr>
                      <w:rFonts w:hint="default"/>
                      <w:color w:val="auto"/>
                      <w:sz w:val="18"/>
                      <w:szCs w:val="16"/>
                      <w:lang w:val="en-GB" w:eastAsia="zh-CN"/>
                    </w:rPr>
                    <w:t>4.</w:t>
                  </w:r>
                  <w:r>
                    <w:rPr>
                      <w:rFonts w:hint="eastAsia"/>
                      <w:color w:val="auto"/>
                      <w:sz w:val="18"/>
                      <w:szCs w:val="16"/>
                      <w:lang w:val="en-GB" w:eastAsia="zh-CN"/>
                    </w:rPr>
                    <w:t>鼓励使用符合国家标准《废玻璃分类及代码》（</w:t>
                  </w:r>
                  <w:r>
                    <w:rPr>
                      <w:rFonts w:hint="default"/>
                      <w:color w:val="auto"/>
                      <w:sz w:val="18"/>
                      <w:szCs w:val="16"/>
                      <w:lang w:val="en-GB" w:eastAsia="zh-CN"/>
                    </w:rPr>
                    <w:t>GB/T36577</w:t>
                  </w:r>
                  <w:r>
                    <w:rPr>
                      <w:rFonts w:hint="eastAsia"/>
                      <w:color w:val="auto"/>
                      <w:sz w:val="18"/>
                      <w:szCs w:val="16"/>
                      <w:lang w:val="en-GB" w:eastAsia="zh-CN"/>
                    </w:rPr>
                    <w:t>）质量要求的玻璃熟料。</w:t>
                  </w:r>
                </w:p>
              </w:tc>
              <w:tc>
                <w:tcPr>
                  <w:tcW w:w="1387" w:type="pct"/>
                  <w:noWrap w:val="0"/>
                  <w:vAlign w:val="center"/>
                </w:tcPr>
                <w:p w14:paraId="25770BD6">
                  <w:pPr>
                    <w:pStyle w:val="73"/>
                    <w:rPr>
                      <w:rFonts w:hint="default"/>
                      <w:color w:val="auto"/>
                      <w:sz w:val="18"/>
                      <w:szCs w:val="16"/>
                      <w:lang w:val="en-US" w:eastAsia="zh-CN"/>
                    </w:rPr>
                  </w:pPr>
                  <w:r>
                    <w:rPr>
                      <w:rFonts w:hint="eastAsia"/>
                      <w:color w:val="auto"/>
                      <w:sz w:val="18"/>
                      <w:szCs w:val="16"/>
                      <w:lang w:val="en-US" w:eastAsia="zh-CN"/>
                    </w:rPr>
                    <w:t>本项目粉料位于独立原料库内，采用吨袋包装，粒料位于封闭原料库内暂存，利用现有封闭廊道输送。</w:t>
                  </w:r>
                </w:p>
              </w:tc>
            </w:tr>
            <w:tr w14:paraId="30E7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70441913">
                  <w:pPr>
                    <w:pStyle w:val="73"/>
                    <w:rPr>
                      <w:rFonts w:hint="eastAsia"/>
                      <w:color w:val="auto"/>
                      <w:sz w:val="18"/>
                      <w:szCs w:val="16"/>
                      <w:lang w:val="en-US" w:eastAsia="zh-CN"/>
                    </w:rPr>
                  </w:pPr>
                </w:p>
              </w:tc>
              <w:tc>
                <w:tcPr>
                  <w:tcW w:w="3099" w:type="pct"/>
                  <w:noWrap w:val="0"/>
                  <w:vAlign w:val="center"/>
                </w:tcPr>
                <w:p w14:paraId="35A393E7">
                  <w:pPr>
                    <w:pStyle w:val="73"/>
                    <w:jc w:val="left"/>
                    <w:rPr>
                      <w:color w:val="auto"/>
                      <w:sz w:val="18"/>
                      <w:szCs w:val="16"/>
                      <w:lang w:val="en-GB" w:eastAsia="zh-CN"/>
                    </w:rPr>
                  </w:pPr>
                  <w:r>
                    <w:rPr>
                      <w:rFonts w:hint="default" w:ascii="Times New Roman" w:hAnsi="Times New Roman" w:cs="Times New Roman"/>
                      <w:color w:val="auto"/>
                      <w:sz w:val="18"/>
                      <w:szCs w:val="16"/>
                      <w:lang w:val="en-GB" w:eastAsia="zh-CN"/>
                    </w:rPr>
                    <w:t>（五）玻璃熔窑1.玻璃熔窑设计、施工、验收、维护维修应符合相关标准和技术规范。鼓励节能环保型玻璃窑炉（含全电熔、电助熔、全氧燃烧、NOx产生浓度≤1000mg/m</w:t>
                  </w:r>
                  <w:r>
                    <w:rPr>
                      <w:rFonts w:hint="default" w:ascii="Times New Roman" w:hAnsi="Times New Roman" w:cs="Times New Roman"/>
                      <w:color w:val="auto"/>
                      <w:sz w:val="18"/>
                      <w:szCs w:val="16"/>
                      <w:vertAlign w:val="superscript"/>
                      <w:lang w:val="en-GB" w:eastAsia="zh-CN"/>
                    </w:rPr>
                    <w:t>3</w:t>
                  </w:r>
                  <w:r>
                    <w:rPr>
                      <w:rFonts w:hint="default" w:ascii="Times New Roman" w:hAnsi="Times New Roman" w:cs="Times New Roman"/>
                      <w:color w:val="auto"/>
                      <w:sz w:val="18"/>
                      <w:szCs w:val="16"/>
                      <w:lang w:val="en-GB" w:eastAsia="zh-CN"/>
                    </w:rPr>
                    <w:t>的低氮燃烧技术等）的设计研发和技术应用。2.日用玻璃熔窑的玻璃熔制质量应符合《日用玻璃熔窑的玻璃熔制质量》（见附表1）的要求。3.优化配置计算机控制系统，精确控制熔窑温度、窑压、换向、液面及空燃比、烟气含氧量等参数，确保玻璃熔制过程中各类工艺参数稳定，实现低空燃比燃烧，熔制温度控制精度达到±3</w:t>
                  </w:r>
                  <w:r>
                    <w:rPr>
                      <w:rFonts w:hint="default" w:ascii="Times New Roman" w:hAnsi="Times New Roman" w:cs="Times New Roman"/>
                      <w:color w:val="auto"/>
                      <w:sz w:val="18"/>
                      <w:szCs w:val="16"/>
                      <w:lang w:val="en-US" w:eastAsia="zh-CN"/>
                    </w:rPr>
                    <w:t>℃</w:t>
                  </w:r>
                  <w:r>
                    <w:rPr>
                      <w:rFonts w:hint="default" w:ascii="Times New Roman" w:hAnsi="Times New Roman" w:cs="Times New Roman"/>
                      <w:color w:val="auto"/>
                      <w:sz w:val="18"/>
                      <w:szCs w:val="16"/>
                      <w:lang w:val="en-GB" w:eastAsia="zh-CN"/>
                    </w:rPr>
                    <w:t>。淘汰燃煤和发生炉煤气的坩埚窑。</w:t>
                  </w:r>
                </w:p>
              </w:tc>
              <w:tc>
                <w:tcPr>
                  <w:tcW w:w="1387" w:type="pct"/>
                  <w:noWrap w:val="0"/>
                  <w:vAlign w:val="center"/>
                </w:tcPr>
                <w:p w14:paraId="0B3E3812">
                  <w:pPr>
                    <w:pStyle w:val="73"/>
                    <w:rPr>
                      <w:rFonts w:hint="default"/>
                      <w:color w:val="auto"/>
                      <w:sz w:val="18"/>
                      <w:szCs w:val="16"/>
                      <w:lang w:val="en-US" w:eastAsia="zh-CN"/>
                    </w:rPr>
                  </w:pPr>
                  <w:r>
                    <w:rPr>
                      <w:rFonts w:hint="eastAsia"/>
                      <w:color w:val="auto"/>
                      <w:sz w:val="18"/>
                      <w:szCs w:val="16"/>
                      <w:lang w:val="en-US" w:eastAsia="zh-CN"/>
                    </w:rPr>
                    <w:t>本项目通过淘汰现有玻璃熔窑，新建节能型玻璃熔窑，燃料使用天然气和</w:t>
                  </w:r>
                  <w:r>
                    <w:rPr>
                      <w:rFonts w:hint="eastAsia" w:ascii="Times New Roman" w:hAnsi="Times New Roman" w:eastAsia="宋体" w:cs="Times New Roman"/>
                      <w:color w:val="auto"/>
                      <w:sz w:val="18"/>
                      <w:szCs w:val="16"/>
                      <w:lang w:val="en-US" w:eastAsia="zh-CN"/>
                    </w:rPr>
                    <w:t>氧气（液氧备用）</w:t>
                  </w:r>
                  <w:r>
                    <w:rPr>
                      <w:rFonts w:hint="eastAsia"/>
                      <w:color w:val="auto"/>
                      <w:sz w:val="18"/>
                      <w:szCs w:val="16"/>
                      <w:lang w:val="en-US" w:eastAsia="zh-CN"/>
                    </w:rPr>
                    <w:t>，不使用煤和煤气发生炉坩埚。</w:t>
                  </w:r>
                </w:p>
              </w:tc>
            </w:tr>
            <w:tr w14:paraId="2554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32903CE0">
                  <w:pPr>
                    <w:pStyle w:val="73"/>
                    <w:rPr>
                      <w:rFonts w:hint="eastAsia"/>
                      <w:color w:val="auto"/>
                      <w:sz w:val="18"/>
                      <w:szCs w:val="16"/>
                      <w:lang w:val="en-US" w:eastAsia="zh-CN"/>
                    </w:rPr>
                  </w:pPr>
                </w:p>
              </w:tc>
              <w:tc>
                <w:tcPr>
                  <w:tcW w:w="3099" w:type="pct"/>
                  <w:noWrap w:val="0"/>
                  <w:vAlign w:val="center"/>
                </w:tcPr>
                <w:p w14:paraId="5A13C1C3">
                  <w:pPr>
                    <w:pStyle w:val="73"/>
                    <w:jc w:val="left"/>
                    <w:rPr>
                      <w:color w:val="auto"/>
                      <w:sz w:val="18"/>
                      <w:szCs w:val="16"/>
                      <w:lang w:val="en-GB" w:eastAsia="zh-CN"/>
                    </w:rPr>
                  </w:pPr>
                  <w:r>
                    <w:rPr>
                      <w:color w:val="auto"/>
                      <w:sz w:val="18"/>
                      <w:szCs w:val="16"/>
                      <w:lang w:val="en-GB" w:eastAsia="zh-CN"/>
                    </w:rPr>
                    <w:t>（六）供料道1.</w:t>
                  </w:r>
                  <w:r>
                    <w:rPr>
                      <w:rFonts w:hint="eastAsia"/>
                      <w:color w:val="auto"/>
                      <w:sz w:val="18"/>
                      <w:szCs w:val="16"/>
                      <w:lang w:val="en-GB" w:eastAsia="zh-CN"/>
                    </w:rPr>
                    <w:t>采用天然气、液化石油气、电等清洁能源，禁止采用洗涤冷煤气和水煤气为加热能源。</w:t>
                  </w:r>
                  <w:r>
                    <w:rPr>
                      <w:rFonts w:hint="default"/>
                      <w:color w:val="auto"/>
                      <w:sz w:val="18"/>
                      <w:szCs w:val="16"/>
                      <w:lang w:val="en-GB" w:eastAsia="zh-CN"/>
                    </w:rPr>
                    <w:t>2.</w:t>
                  </w:r>
                  <w:r>
                    <w:rPr>
                      <w:rFonts w:hint="eastAsia"/>
                      <w:color w:val="auto"/>
                      <w:sz w:val="18"/>
                      <w:szCs w:val="16"/>
                      <w:lang w:val="en-GB" w:eastAsia="zh-CN"/>
                    </w:rPr>
                    <w:t>采用智能仪表进行供料道温度参数实时控制，鼓励采用分布式数字监测和控制系统。供料道均化段末端同一断面 各点的玻璃液温度差应≤</w:t>
                  </w:r>
                  <w:r>
                    <w:rPr>
                      <w:rFonts w:hint="default"/>
                      <w:color w:val="auto"/>
                      <w:sz w:val="18"/>
                      <w:szCs w:val="16"/>
                      <w:lang w:val="en-GB" w:eastAsia="zh-CN"/>
                    </w:rPr>
                    <w:t>9°C</w:t>
                  </w:r>
                  <w:r>
                    <w:rPr>
                      <w:rFonts w:hint="eastAsia"/>
                      <w:color w:val="auto"/>
                      <w:sz w:val="18"/>
                      <w:szCs w:val="16"/>
                      <w:lang w:val="en-GB" w:eastAsia="zh-CN"/>
                    </w:rPr>
                    <w:t>。</w:t>
                  </w:r>
                  <w:r>
                    <w:rPr>
                      <w:rFonts w:hint="default"/>
                      <w:color w:val="auto"/>
                      <w:sz w:val="18"/>
                      <w:szCs w:val="16"/>
                      <w:lang w:val="en-GB" w:eastAsia="zh-CN"/>
                    </w:rPr>
                    <w:t>3.</w:t>
                  </w:r>
                  <w:r>
                    <w:rPr>
                      <w:rFonts w:hint="eastAsia"/>
                      <w:color w:val="auto"/>
                      <w:sz w:val="18"/>
                      <w:szCs w:val="16"/>
                      <w:lang w:val="en-GB" w:eastAsia="zh-CN"/>
                    </w:rPr>
                    <w:t>采用整体顶砖结构及纵向冷却的新型供料道。采用密闭式供料道的，必要时应设置泄料装置。</w:t>
                  </w:r>
                </w:p>
              </w:tc>
              <w:tc>
                <w:tcPr>
                  <w:tcW w:w="1387" w:type="pct"/>
                  <w:noWrap w:val="0"/>
                  <w:vAlign w:val="center"/>
                </w:tcPr>
                <w:p w14:paraId="12F26888">
                  <w:pPr>
                    <w:pStyle w:val="73"/>
                    <w:rPr>
                      <w:rFonts w:hint="default"/>
                      <w:color w:val="auto"/>
                      <w:sz w:val="18"/>
                      <w:szCs w:val="16"/>
                      <w:lang w:val="en-US" w:eastAsia="zh-CN"/>
                    </w:rPr>
                  </w:pPr>
                  <w:r>
                    <w:rPr>
                      <w:rFonts w:hint="eastAsia"/>
                      <w:color w:val="auto"/>
                      <w:sz w:val="18"/>
                      <w:szCs w:val="16"/>
                      <w:lang w:val="en-US" w:eastAsia="zh-CN"/>
                    </w:rPr>
                    <w:t>本项目玻璃熔窑、抛光等使用能源为天然气、液化石油气，其他能源使用电能。供料道温度采用仪表实时控制。玻璃熔窑采用整体顶砖结构和纵向冷却结构供料道。</w:t>
                  </w:r>
                </w:p>
              </w:tc>
            </w:tr>
            <w:tr w14:paraId="1866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48F78A78">
                  <w:pPr>
                    <w:pStyle w:val="73"/>
                    <w:rPr>
                      <w:rFonts w:hint="eastAsia"/>
                      <w:color w:val="auto"/>
                      <w:sz w:val="18"/>
                      <w:szCs w:val="16"/>
                      <w:lang w:val="en-US" w:eastAsia="zh-CN"/>
                    </w:rPr>
                  </w:pPr>
                </w:p>
              </w:tc>
              <w:tc>
                <w:tcPr>
                  <w:tcW w:w="3099" w:type="pct"/>
                  <w:noWrap w:val="0"/>
                  <w:vAlign w:val="center"/>
                </w:tcPr>
                <w:p w14:paraId="6B52A17D">
                  <w:pPr>
                    <w:pStyle w:val="73"/>
                    <w:jc w:val="left"/>
                    <w:rPr>
                      <w:color w:val="auto"/>
                      <w:sz w:val="18"/>
                      <w:szCs w:val="16"/>
                      <w:lang w:val="en-GB" w:eastAsia="zh-CN"/>
                    </w:rPr>
                  </w:pPr>
                  <w:r>
                    <w:rPr>
                      <w:color w:val="auto"/>
                      <w:sz w:val="18"/>
                      <w:szCs w:val="16"/>
                      <w:lang w:val="en-GB" w:eastAsia="zh-CN"/>
                    </w:rPr>
                    <w:t>（七）成型机1.</w:t>
                  </w:r>
                  <w:r>
                    <w:rPr>
                      <w:rFonts w:hint="eastAsia"/>
                      <w:color w:val="auto"/>
                      <w:sz w:val="18"/>
                      <w:szCs w:val="16"/>
                      <w:lang w:val="en-GB" w:eastAsia="zh-CN"/>
                    </w:rPr>
                    <w:t>玻璃瓶罐、玻璃器皿项目（人工制玻璃器皿项目除外），应采用整机性能可靠、运行稳定、模块化智能控制、高机速多工位（多组、多滴料）的玻璃成型设备。小口径玻璃瓶罐项目，鼓励采用轻量化制瓶工艺和技术。</w:t>
                  </w:r>
                  <w:r>
                    <w:rPr>
                      <w:rFonts w:hint="default"/>
                      <w:color w:val="auto"/>
                      <w:sz w:val="18"/>
                      <w:szCs w:val="16"/>
                      <w:lang w:val="en-GB" w:eastAsia="zh-CN"/>
                    </w:rPr>
                    <w:t>2.</w:t>
                  </w:r>
                  <w:r>
                    <w:rPr>
                      <w:rFonts w:hint="eastAsia"/>
                      <w:color w:val="auto"/>
                      <w:sz w:val="18"/>
                      <w:szCs w:val="16"/>
                      <w:lang w:val="en-GB" w:eastAsia="zh-CN"/>
                    </w:rPr>
                    <w:t>玻璃保温瓶胆改建和扩建项目，应采用自动化程度高、多工位、吹制薄壁瓶胆的成型设备。</w:t>
                  </w:r>
                </w:p>
              </w:tc>
              <w:tc>
                <w:tcPr>
                  <w:tcW w:w="1387" w:type="pct"/>
                  <w:noWrap w:val="0"/>
                  <w:vAlign w:val="center"/>
                </w:tcPr>
                <w:p w14:paraId="090A7E77">
                  <w:pPr>
                    <w:pStyle w:val="73"/>
                    <w:rPr>
                      <w:rFonts w:hint="default"/>
                      <w:color w:val="auto"/>
                      <w:sz w:val="18"/>
                      <w:szCs w:val="16"/>
                      <w:lang w:val="en-US" w:eastAsia="zh-CN"/>
                    </w:rPr>
                  </w:pPr>
                  <w:r>
                    <w:rPr>
                      <w:rFonts w:hint="eastAsia"/>
                      <w:color w:val="auto"/>
                      <w:sz w:val="18"/>
                      <w:szCs w:val="16"/>
                      <w:lang w:val="en-US" w:eastAsia="zh-CN"/>
                    </w:rPr>
                    <w:t>本项目产品为玻璃器皿，现有成型机运行多年，运转稳定，速度快，工位多，满足产能生产需求。</w:t>
                  </w:r>
                </w:p>
              </w:tc>
            </w:tr>
            <w:tr w14:paraId="4A95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71B6F227">
                  <w:pPr>
                    <w:pStyle w:val="73"/>
                    <w:rPr>
                      <w:rFonts w:hint="eastAsia"/>
                      <w:color w:val="auto"/>
                      <w:sz w:val="18"/>
                      <w:szCs w:val="16"/>
                      <w:lang w:val="en-US" w:eastAsia="zh-CN"/>
                    </w:rPr>
                  </w:pPr>
                </w:p>
              </w:tc>
              <w:tc>
                <w:tcPr>
                  <w:tcW w:w="3099" w:type="pct"/>
                  <w:noWrap w:val="0"/>
                  <w:vAlign w:val="center"/>
                </w:tcPr>
                <w:p w14:paraId="7489EBE4">
                  <w:pPr>
                    <w:pStyle w:val="73"/>
                    <w:jc w:val="left"/>
                    <w:rPr>
                      <w:color w:val="auto"/>
                      <w:sz w:val="18"/>
                      <w:szCs w:val="16"/>
                      <w:lang w:val="en-GB" w:eastAsia="zh-CN"/>
                    </w:rPr>
                  </w:pPr>
                  <w:r>
                    <w:rPr>
                      <w:color w:val="auto"/>
                      <w:sz w:val="18"/>
                      <w:szCs w:val="16"/>
                      <w:lang w:val="en-GB" w:eastAsia="zh-CN"/>
                    </w:rPr>
                    <w:t>（八）退火窑1.</w:t>
                  </w:r>
                  <w:r>
                    <w:rPr>
                      <w:rFonts w:hint="eastAsia"/>
                      <w:color w:val="auto"/>
                      <w:sz w:val="18"/>
                      <w:szCs w:val="16"/>
                      <w:lang w:val="en-GB" w:eastAsia="zh-CN"/>
                    </w:rPr>
                    <w:t>采用天然气、液化石油气、电等清洁能源，禁止采用洗涤冷煤气和水煤气为加热能源。</w:t>
                  </w:r>
                  <w:r>
                    <w:rPr>
                      <w:rFonts w:hint="default"/>
                      <w:color w:val="auto"/>
                      <w:sz w:val="18"/>
                      <w:szCs w:val="16"/>
                      <w:lang w:val="en-GB" w:eastAsia="zh-CN"/>
                    </w:rPr>
                    <w:t>2.</w:t>
                  </w:r>
                  <w:r>
                    <w:rPr>
                      <w:rFonts w:hint="eastAsia"/>
                      <w:color w:val="auto"/>
                      <w:sz w:val="18"/>
                      <w:szCs w:val="16"/>
                      <w:lang w:val="en-GB" w:eastAsia="zh-CN"/>
                    </w:rPr>
                    <w:t>采用保温、热风循环、网带炉内返回、分区自动控温等节能技术，退火窑温度控制精度为</w:t>
                  </w:r>
                  <w:r>
                    <w:rPr>
                      <w:rFonts w:hint="default"/>
                      <w:color w:val="auto"/>
                      <w:sz w:val="18"/>
                      <w:szCs w:val="16"/>
                      <w:lang w:val="en-GB" w:eastAsia="zh-CN"/>
                    </w:rPr>
                    <w:t>±2°C</w:t>
                  </w:r>
                  <w:r>
                    <w:rPr>
                      <w:rFonts w:hint="eastAsia"/>
                      <w:color w:val="auto"/>
                      <w:sz w:val="18"/>
                      <w:szCs w:val="16"/>
                      <w:lang w:val="en-GB" w:eastAsia="zh-CN"/>
                    </w:rPr>
                    <w:t>。</w:t>
                  </w:r>
                </w:p>
              </w:tc>
              <w:tc>
                <w:tcPr>
                  <w:tcW w:w="1387" w:type="pct"/>
                  <w:noWrap w:val="0"/>
                  <w:vAlign w:val="center"/>
                </w:tcPr>
                <w:p w14:paraId="369B3D41">
                  <w:pPr>
                    <w:pStyle w:val="73"/>
                    <w:rPr>
                      <w:rFonts w:hint="default"/>
                      <w:color w:val="auto"/>
                      <w:sz w:val="18"/>
                      <w:szCs w:val="16"/>
                      <w:lang w:val="en-US" w:eastAsia="zh-CN"/>
                    </w:rPr>
                  </w:pPr>
                  <w:r>
                    <w:rPr>
                      <w:rFonts w:hint="eastAsia"/>
                      <w:color w:val="auto"/>
                      <w:sz w:val="18"/>
                      <w:szCs w:val="16"/>
                      <w:lang w:val="en-US" w:eastAsia="zh-CN"/>
                    </w:rPr>
                    <w:t>本项目退火窑采用</w:t>
                  </w:r>
                  <w:r>
                    <w:rPr>
                      <w:rFonts w:hint="eastAsia" w:ascii="Times New Roman" w:hAnsi="Times New Roman" w:eastAsia="宋体" w:cs="Times New Roman"/>
                      <w:color w:val="auto"/>
                      <w:sz w:val="18"/>
                      <w:szCs w:val="16"/>
                      <w:lang w:val="en-US" w:eastAsia="zh-CN"/>
                    </w:rPr>
                    <w:t>天然气</w:t>
                  </w:r>
                  <w:r>
                    <w:rPr>
                      <w:rFonts w:hint="eastAsia"/>
                      <w:color w:val="auto"/>
                      <w:sz w:val="18"/>
                      <w:szCs w:val="16"/>
                      <w:lang w:val="en-US" w:eastAsia="zh-CN"/>
                    </w:rPr>
                    <w:t>等能源，采用保温节能技术</w:t>
                  </w:r>
                </w:p>
              </w:tc>
            </w:tr>
            <w:tr w14:paraId="1165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5B538248">
                  <w:pPr>
                    <w:pStyle w:val="73"/>
                    <w:rPr>
                      <w:rFonts w:hint="eastAsia"/>
                      <w:color w:val="auto"/>
                      <w:sz w:val="18"/>
                      <w:szCs w:val="16"/>
                      <w:lang w:val="en-US" w:eastAsia="zh-CN"/>
                    </w:rPr>
                  </w:pPr>
                </w:p>
              </w:tc>
              <w:tc>
                <w:tcPr>
                  <w:tcW w:w="3099" w:type="pct"/>
                  <w:noWrap w:val="0"/>
                  <w:vAlign w:val="center"/>
                </w:tcPr>
                <w:p w14:paraId="318E703E">
                  <w:pPr>
                    <w:pStyle w:val="73"/>
                    <w:jc w:val="left"/>
                    <w:rPr>
                      <w:color w:val="auto"/>
                      <w:sz w:val="18"/>
                      <w:szCs w:val="16"/>
                      <w:lang w:val="en-GB" w:eastAsia="zh-CN"/>
                    </w:rPr>
                  </w:pPr>
                  <w:r>
                    <w:rPr>
                      <w:color w:val="auto"/>
                      <w:sz w:val="18"/>
                      <w:szCs w:val="16"/>
                      <w:lang w:val="en-GB" w:eastAsia="zh-CN"/>
                    </w:rPr>
                    <w:t>（九）检验与包装 玻璃瓶罐生产线应配备在线自动检测设备（异型瓶罐除外），并采用托盘、纸箱等适当包装方式。淘汰麻袋及塑料编织袋包装。</w:t>
                  </w:r>
                </w:p>
              </w:tc>
              <w:tc>
                <w:tcPr>
                  <w:tcW w:w="1387" w:type="pct"/>
                  <w:noWrap w:val="0"/>
                  <w:vAlign w:val="center"/>
                </w:tcPr>
                <w:p w14:paraId="63B0934F">
                  <w:pPr>
                    <w:pStyle w:val="73"/>
                    <w:rPr>
                      <w:rFonts w:hint="default"/>
                      <w:color w:val="auto"/>
                      <w:sz w:val="18"/>
                      <w:szCs w:val="16"/>
                      <w:lang w:val="en-US" w:eastAsia="zh-CN"/>
                    </w:rPr>
                  </w:pPr>
                  <w:r>
                    <w:rPr>
                      <w:rFonts w:hint="eastAsia"/>
                      <w:color w:val="auto"/>
                      <w:sz w:val="18"/>
                      <w:szCs w:val="16"/>
                      <w:lang w:val="en-US" w:eastAsia="zh-CN"/>
                    </w:rPr>
                    <w:t>本项目所生产产品采用纸箱包装。</w:t>
                  </w:r>
                </w:p>
              </w:tc>
            </w:tr>
            <w:tr w14:paraId="5A28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5C3A880A">
                  <w:pPr>
                    <w:pStyle w:val="73"/>
                    <w:rPr>
                      <w:rFonts w:hint="eastAsia"/>
                      <w:color w:val="auto"/>
                      <w:sz w:val="18"/>
                      <w:szCs w:val="16"/>
                      <w:lang w:val="en-US" w:eastAsia="zh-CN"/>
                    </w:rPr>
                  </w:pPr>
                </w:p>
              </w:tc>
              <w:tc>
                <w:tcPr>
                  <w:tcW w:w="3099" w:type="pct"/>
                  <w:noWrap w:val="0"/>
                  <w:vAlign w:val="center"/>
                </w:tcPr>
                <w:p w14:paraId="42DD3A94">
                  <w:pPr>
                    <w:pStyle w:val="73"/>
                    <w:jc w:val="left"/>
                    <w:rPr>
                      <w:color w:val="auto"/>
                      <w:sz w:val="18"/>
                      <w:szCs w:val="16"/>
                      <w:lang w:val="en-GB" w:eastAsia="zh-CN"/>
                    </w:rPr>
                  </w:pPr>
                  <w:r>
                    <w:rPr>
                      <w:color w:val="auto"/>
                      <w:sz w:val="18"/>
                      <w:szCs w:val="16"/>
                      <w:lang w:val="en-GB" w:eastAsia="zh-CN"/>
                    </w:rPr>
                    <w:t>（十）理化检验室 应有设施完善的理化检验室，具备完成产品标准规定所要求的出厂检验项目和生产工艺控制所必须的检测项目的能力。</w:t>
                  </w:r>
                </w:p>
              </w:tc>
              <w:tc>
                <w:tcPr>
                  <w:tcW w:w="1387" w:type="pct"/>
                  <w:noWrap w:val="0"/>
                  <w:vAlign w:val="center"/>
                </w:tcPr>
                <w:p w14:paraId="082D40FB">
                  <w:pPr>
                    <w:pStyle w:val="73"/>
                    <w:rPr>
                      <w:rFonts w:hint="default"/>
                      <w:color w:val="auto"/>
                      <w:sz w:val="18"/>
                      <w:szCs w:val="16"/>
                      <w:lang w:val="en-US" w:eastAsia="zh-CN"/>
                    </w:rPr>
                  </w:pPr>
                  <w:r>
                    <w:rPr>
                      <w:rFonts w:hint="eastAsia"/>
                      <w:color w:val="auto"/>
                      <w:sz w:val="18"/>
                      <w:szCs w:val="16"/>
                      <w:lang w:val="en-US" w:eastAsia="zh-CN"/>
                    </w:rPr>
                    <w:t>企业现有设施完善的理化实验室，本项目依托现有检验室</w:t>
                  </w:r>
                </w:p>
              </w:tc>
            </w:tr>
            <w:tr w14:paraId="795D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148D01F3">
                  <w:pPr>
                    <w:pStyle w:val="73"/>
                    <w:rPr>
                      <w:rFonts w:hint="eastAsia"/>
                      <w:color w:val="auto"/>
                      <w:sz w:val="18"/>
                      <w:szCs w:val="16"/>
                      <w:lang w:val="en-US" w:eastAsia="zh-CN"/>
                    </w:rPr>
                  </w:pPr>
                </w:p>
              </w:tc>
              <w:tc>
                <w:tcPr>
                  <w:tcW w:w="3099" w:type="pct"/>
                  <w:noWrap w:val="0"/>
                  <w:vAlign w:val="center"/>
                </w:tcPr>
                <w:p w14:paraId="09FFB0EF">
                  <w:pPr>
                    <w:pStyle w:val="73"/>
                    <w:jc w:val="left"/>
                    <w:rPr>
                      <w:color w:val="auto"/>
                      <w:sz w:val="18"/>
                      <w:szCs w:val="16"/>
                      <w:lang w:val="en-GB" w:eastAsia="zh-CN"/>
                    </w:rPr>
                  </w:pPr>
                  <w:r>
                    <w:rPr>
                      <w:color w:val="auto"/>
                      <w:sz w:val="18"/>
                      <w:szCs w:val="16"/>
                      <w:lang w:val="en-GB" w:eastAsia="zh-CN"/>
                    </w:rPr>
                    <w:t>（十一）其他选用国家推荐的节能环保型变压器、空压机、风机、泵类等机电产品。采用变频、永磁等电机调速技术，改善空压机、风机及泵类电机系统调节方式，取代传统的闸板、阀门等机械节流调节方式。禁止选用已列入《产业结构调整指导目录》中淘汰类以及能效等级不符合有关标准要求的设备。</w:t>
                  </w:r>
                </w:p>
              </w:tc>
              <w:tc>
                <w:tcPr>
                  <w:tcW w:w="1387" w:type="pct"/>
                  <w:noWrap w:val="0"/>
                  <w:vAlign w:val="center"/>
                </w:tcPr>
                <w:p w14:paraId="7FCC6A0D">
                  <w:pPr>
                    <w:pStyle w:val="73"/>
                    <w:rPr>
                      <w:rFonts w:hint="default"/>
                      <w:color w:val="auto"/>
                      <w:sz w:val="18"/>
                      <w:szCs w:val="16"/>
                      <w:lang w:val="en-US" w:eastAsia="zh-CN"/>
                    </w:rPr>
                  </w:pPr>
                  <w:r>
                    <w:rPr>
                      <w:rFonts w:hint="eastAsia"/>
                      <w:color w:val="auto"/>
                      <w:sz w:val="18"/>
                      <w:szCs w:val="16"/>
                      <w:lang w:val="en-US" w:eastAsia="zh-CN"/>
                    </w:rPr>
                    <w:t>本项目所选用设备未列入《</w:t>
                  </w:r>
                  <w:r>
                    <w:rPr>
                      <w:color w:val="auto"/>
                      <w:sz w:val="18"/>
                      <w:szCs w:val="16"/>
                      <w:lang w:val="en-GB" w:eastAsia="zh-CN"/>
                    </w:rPr>
                    <w:t>《产业结构调整指导目录》</w:t>
                  </w:r>
                  <w:r>
                    <w:rPr>
                      <w:rFonts w:hint="eastAsia"/>
                      <w:color w:val="auto"/>
                      <w:sz w:val="18"/>
                      <w:szCs w:val="16"/>
                      <w:lang w:val="en-GB" w:eastAsia="zh-CN"/>
                    </w:rPr>
                    <w:t>（</w:t>
                  </w:r>
                  <w:r>
                    <w:rPr>
                      <w:rFonts w:hint="eastAsia"/>
                      <w:color w:val="auto"/>
                      <w:sz w:val="18"/>
                      <w:szCs w:val="16"/>
                      <w:lang w:val="en-US" w:eastAsia="zh-CN"/>
                    </w:rPr>
                    <w:t>2024年本</w:t>
                  </w:r>
                  <w:r>
                    <w:rPr>
                      <w:rFonts w:hint="eastAsia"/>
                      <w:color w:val="auto"/>
                      <w:sz w:val="18"/>
                      <w:szCs w:val="16"/>
                      <w:lang w:val="en-GB" w:eastAsia="zh-CN"/>
                    </w:rPr>
                    <w:t>）</w:t>
                  </w:r>
                  <w:r>
                    <w:rPr>
                      <w:rFonts w:hint="eastAsia"/>
                      <w:color w:val="auto"/>
                      <w:sz w:val="18"/>
                      <w:szCs w:val="16"/>
                      <w:lang w:val="en-US" w:eastAsia="zh-CN"/>
                    </w:rPr>
                    <w:t>》淘汰类和限制类。</w:t>
                  </w:r>
                </w:p>
              </w:tc>
            </w:tr>
            <w:tr w14:paraId="6A14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7ECA9F2A">
                  <w:pPr>
                    <w:pStyle w:val="73"/>
                    <w:rPr>
                      <w:rFonts w:hint="default"/>
                      <w:color w:val="auto"/>
                      <w:sz w:val="18"/>
                      <w:szCs w:val="16"/>
                      <w:lang w:val="en-US" w:eastAsia="zh-CN"/>
                    </w:rPr>
                  </w:pPr>
                  <w:r>
                    <w:rPr>
                      <w:rFonts w:hint="eastAsia"/>
                      <w:color w:val="auto"/>
                      <w:sz w:val="18"/>
                      <w:szCs w:val="16"/>
                      <w:lang w:val="en-US" w:eastAsia="zh-CN"/>
                    </w:rPr>
                    <w:t>产品质量与品种</w:t>
                  </w:r>
                </w:p>
              </w:tc>
              <w:tc>
                <w:tcPr>
                  <w:tcW w:w="3099" w:type="pct"/>
                  <w:noWrap w:val="0"/>
                  <w:vAlign w:val="center"/>
                </w:tcPr>
                <w:p w14:paraId="3A3E9AD4">
                  <w:pPr>
                    <w:pStyle w:val="73"/>
                    <w:jc w:val="left"/>
                    <w:rPr>
                      <w:rFonts w:hint="default"/>
                      <w:color w:val="auto"/>
                      <w:sz w:val="18"/>
                      <w:szCs w:val="16"/>
                      <w:lang w:val="en-US" w:eastAsia="zh-CN"/>
                    </w:rPr>
                  </w:pPr>
                  <w:r>
                    <w:rPr>
                      <w:color w:val="auto"/>
                      <w:sz w:val="18"/>
                      <w:szCs w:val="16"/>
                      <w:lang w:val="en-GB" w:eastAsia="zh-CN"/>
                    </w:rPr>
                    <w:t>（十二）产品质量</w:t>
                  </w:r>
                  <w:r>
                    <w:rPr>
                      <w:rFonts w:hint="eastAsia"/>
                      <w:color w:val="auto"/>
                      <w:sz w:val="18"/>
                      <w:szCs w:val="16"/>
                      <w:lang w:val="en-US" w:eastAsia="zh-CN"/>
                    </w:rPr>
                    <w:t xml:space="preserve"> 产品质量应符合相应标准要求。企业应建立产品可追溯、质量有保证、质量责任可追究、质量安全可控制的质量保障机制。鼓励企业按照《质量管理体系 要求》（GB/T19001）的要求，进行质量管理体系认证。</w:t>
                  </w:r>
                </w:p>
              </w:tc>
              <w:tc>
                <w:tcPr>
                  <w:tcW w:w="1387" w:type="pct"/>
                  <w:noWrap w:val="0"/>
                  <w:vAlign w:val="center"/>
                </w:tcPr>
                <w:p w14:paraId="75FD2424">
                  <w:pPr>
                    <w:pStyle w:val="73"/>
                    <w:rPr>
                      <w:rFonts w:hint="default"/>
                      <w:color w:val="auto"/>
                      <w:sz w:val="18"/>
                      <w:szCs w:val="16"/>
                      <w:lang w:val="en-US" w:eastAsia="zh-CN"/>
                    </w:rPr>
                  </w:pPr>
                  <w:r>
                    <w:rPr>
                      <w:rFonts w:hint="eastAsia" w:ascii="Times New Roman" w:hAnsi="Times New Roman" w:eastAsia="宋体" w:cs="Times New Roman"/>
                      <w:color w:val="auto"/>
                      <w:kern w:val="2"/>
                      <w:sz w:val="18"/>
                      <w:szCs w:val="18"/>
                      <w:lang w:val="en-US" w:eastAsia="zh-CN" w:bidi="ar-SA"/>
                    </w:rPr>
                    <w:t>本项目生产玻璃器皿执行</w:t>
                  </w:r>
                  <w:r>
                    <w:rPr>
                      <w:rFonts w:ascii="Times New Roman" w:hAnsi="Times New Roman" w:eastAsia="宋体" w:cs="Times New Roman"/>
                      <w:color w:val="auto"/>
                      <w:kern w:val="2"/>
                      <w:sz w:val="18"/>
                      <w:szCs w:val="18"/>
                      <w:lang w:val="en-US" w:eastAsia="zh-CN" w:bidi="ar-SA"/>
                    </w:rPr>
                    <w:t>QB/T4162—2021《玻璃器皿玻璃杯》</w:t>
                  </w:r>
                  <w:r>
                    <w:rPr>
                      <w:rFonts w:hint="eastAsia" w:ascii="Times New Roman" w:hAnsi="Times New Roman" w:eastAsia="宋体" w:cs="Times New Roman"/>
                      <w:color w:val="auto"/>
                      <w:kern w:val="2"/>
                      <w:sz w:val="18"/>
                      <w:szCs w:val="18"/>
                      <w:lang w:val="en-US" w:eastAsia="zh-CN" w:bidi="ar-SA"/>
                    </w:rPr>
                    <w:t>质量标准要求。</w:t>
                  </w:r>
                </w:p>
              </w:tc>
            </w:tr>
            <w:tr w14:paraId="5530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restart"/>
                  <w:noWrap w:val="0"/>
                  <w:vAlign w:val="center"/>
                </w:tcPr>
                <w:p w14:paraId="7EE86BEE">
                  <w:pPr>
                    <w:pStyle w:val="73"/>
                    <w:rPr>
                      <w:rFonts w:hint="default"/>
                      <w:color w:val="auto"/>
                      <w:sz w:val="18"/>
                      <w:szCs w:val="16"/>
                      <w:lang w:val="en-US" w:eastAsia="zh-CN"/>
                    </w:rPr>
                  </w:pPr>
                  <w:r>
                    <w:rPr>
                      <w:rFonts w:hint="eastAsia"/>
                      <w:color w:val="auto"/>
                      <w:sz w:val="18"/>
                      <w:szCs w:val="16"/>
                      <w:lang w:val="en-US" w:eastAsia="zh-CN"/>
                    </w:rPr>
                    <w:t>能耗和资源综合利用</w:t>
                  </w:r>
                </w:p>
              </w:tc>
              <w:tc>
                <w:tcPr>
                  <w:tcW w:w="3099" w:type="pct"/>
                  <w:noWrap w:val="0"/>
                  <w:vAlign w:val="center"/>
                </w:tcPr>
                <w:p w14:paraId="05CE467B">
                  <w:pPr>
                    <w:pStyle w:val="73"/>
                    <w:jc w:val="left"/>
                    <w:rPr>
                      <w:color w:val="auto"/>
                      <w:sz w:val="18"/>
                      <w:szCs w:val="16"/>
                      <w:lang w:val="en-GB" w:eastAsia="zh-CN"/>
                    </w:rPr>
                  </w:pPr>
                  <w:r>
                    <w:rPr>
                      <w:color w:val="auto"/>
                      <w:sz w:val="18"/>
                      <w:szCs w:val="16"/>
                      <w:lang w:val="en-GB" w:eastAsia="zh-CN"/>
                    </w:rPr>
                    <w:t>（十四）日用玻璃单位产品主要资源消耗限额应符合《日用玻璃生产主要资源消耗限额指标》</w:t>
                  </w:r>
                  <w:r>
                    <w:rPr>
                      <w:rFonts w:hint="eastAsia"/>
                      <w:color w:val="auto"/>
                      <w:sz w:val="18"/>
                      <w:szCs w:val="16"/>
                      <w:lang w:val="en-GB" w:eastAsia="zh-CN"/>
                    </w:rPr>
                    <w:t>的要求。</w:t>
                  </w:r>
                </w:p>
              </w:tc>
              <w:tc>
                <w:tcPr>
                  <w:tcW w:w="1387" w:type="pct"/>
                  <w:noWrap w:val="0"/>
                  <w:vAlign w:val="center"/>
                </w:tcPr>
                <w:p w14:paraId="5C9DB989">
                  <w:pPr>
                    <w:pStyle w:val="73"/>
                    <w:rPr>
                      <w:rFonts w:hint="default"/>
                      <w:color w:val="auto"/>
                      <w:sz w:val="18"/>
                      <w:szCs w:val="16"/>
                      <w:lang w:val="en-US" w:eastAsia="zh-CN"/>
                    </w:rPr>
                  </w:pPr>
                  <w:r>
                    <w:rPr>
                      <w:rFonts w:hint="eastAsia"/>
                      <w:color w:val="auto"/>
                      <w:sz w:val="18"/>
                      <w:szCs w:val="16"/>
                      <w:lang w:val="en-US" w:eastAsia="zh-CN"/>
                    </w:rPr>
                    <w:t>本项目纯碱211kg/t-产品，用水0.572</w:t>
                  </w:r>
                  <w:r>
                    <w:rPr>
                      <w:rFonts w:hint="eastAsia"/>
                      <w:color w:val="auto"/>
                      <w:sz w:val="18"/>
                      <w:szCs w:val="16"/>
                      <w:lang w:val="en-GB" w:eastAsia="zh-CN"/>
                    </w:rPr>
                    <w:t>m</w:t>
                  </w:r>
                  <w:r>
                    <w:rPr>
                      <w:rFonts w:hint="eastAsia"/>
                      <w:color w:val="auto"/>
                      <w:sz w:val="18"/>
                      <w:szCs w:val="16"/>
                      <w:vertAlign w:val="superscript"/>
                      <w:lang w:val="en-GB" w:eastAsia="zh-CN"/>
                    </w:rPr>
                    <w:t>3</w:t>
                  </w:r>
                  <w:r>
                    <w:rPr>
                      <w:rFonts w:hint="eastAsia"/>
                      <w:color w:val="auto"/>
                      <w:sz w:val="18"/>
                      <w:szCs w:val="16"/>
                      <w:lang w:val="en-GB" w:eastAsia="zh-CN"/>
                    </w:rPr>
                    <w:t>/t-产品，</w:t>
                  </w:r>
                  <w:r>
                    <w:rPr>
                      <w:rFonts w:hint="eastAsia"/>
                      <w:color w:val="auto"/>
                      <w:sz w:val="18"/>
                      <w:szCs w:val="16"/>
                      <w:lang w:val="en-US" w:eastAsia="zh-CN"/>
                    </w:rPr>
                    <w:t>满足</w:t>
                  </w:r>
                  <w:r>
                    <w:rPr>
                      <w:rFonts w:hint="eastAsia"/>
                      <w:color w:val="auto"/>
                      <w:sz w:val="18"/>
                      <w:szCs w:val="16"/>
                      <w:lang w:val="en-GB" w:eastAsia="zh-CN"/>
                    </w:rPr>
                    <w:t>玻璃器皿机压≤225kg纯碱/t-产品，≤0.62水m</w:t>
                  </w:r>
                  <w:r>
                    <w:rPr>
                      <w:rFonts w:hint="eastAsia"/>
                      <w:color w:val="auto"/>
                      <w:sz w:val="18"/>
                      <w:szCs w:val="16"/>
                      <w:vertAlign w:val="superscript"/>
                      <w:lang w:val="en-GB" w:eastAsia="zh-CN"/>
                    </w:rPr>
                    <w:t>3</w:t>
                  </w:r>
                  <w:r>
                    <w:rPr>
                      <w:rFonts w:hint="eastAsia"/>
                      <w:color w:val="auto"/>
                      <w:sz w:val="18"/>
                      <w:szCs w:val="16"/>
                      <w:lang w:val="en-GB" w:eastAsia="zh-CN"/>
                    </w:rPr>
                    <w:t>/t-产品</w:t>
                  </w:r>
                  <w:r>
                    <w:rPr>
                      <w:rFonts w:hint="eastAsia"/>
                      <w:color w:val="auto"/>
                      <w:sz w:val="18"/>
                      <w:szCs w:val="16"/>
                      <w:lang w:val="en-US" w:eastAsia="zh-CN"/>
                    </w:rPr>
                    <w:t>能耗限额要求。</w:t>
                  </w:r>
                </w:p>
              </w:tc>
            </w:tr>
            <w:tr w14:paraId="7B95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1DBCA6B6">
                  <w:pPr>
                    <w:pStyle w:val="73"/>
                    <w:rPr>
                      <w:rFonts w:hint="eastAsia"/>
                      <w:color w:val="auto"/>
                      <w:sz w:val="18"/>
                      <w:szCs w:val="16"/>
                      <w:lang w:val="en-US" w:eastAsia="zh-CN"/>
                    </w:rPr>
                  </w:pPr>
                </w:p>
              </w:tc>
              <w:tc>
                <w:tcPr>
                  <w:tcW w:w="3099" w:type="pct"/>
                  <w:noWrap w:val="0"/>
                  <w:vAlign w:val="center"/>
                </w:tcPr>
                <w:p w14:paraId="491A8B15">
                  <w:pPr>
                    <w:pStyle w:val="73"/>
                    <w:jc w:val="left"/>
                    <w:rPr>
                      <w:color w:val="auto"/>
                      <w:sz w:val="18"/>
                      <w:szCs w:val="16"/>
                      <w:lang w:val="en-GB" w:eastAsia="zh-CN"/>
                    </w:rPr>
                  </w:pPr>
                  <w:r>
                    <w:rPr>
                      <w:color w:val="auto"/>
                      <w:sz w:val="18"/>
                      <w:szCs w:val="16"/>
                      <w:lang w:val="en-GB" w:eastAsia="zh-CN"/>
                    </w:rPr>
                    <w:t>（十五）依据生产的产品和所用的燃料，单位产品能源消耗限额鼓励分别符合行业标准《玻璃保温瓶胆单位产品能源消耗限额》（QB/T5360</w:t>
                  </w:r>
                  <w:r>
                    <w:rPr>
                      <w:rFonts w:hint="eastAsia"/>
                      <w:color w:val="auto"/>
                      <w:sz w:val="18"/>
                      <w:szCs w:val="16"/>
                      <w:lang w:val="en-GB" w:eastAsia="zh-CN"/>
                    </w:rPr>
                    <w:t>）、《玻璃瓶罐单位产品能源消耗限额》（</w:t>
                  </w:r>
                  <w:r>
                    <w:rPr>
                      <w:rFonts w:hint="default"/>
                      <w:color w:val="auto"/>
                      <w:sz w:val="18"/>
                      <w:szCs w:val="16"/>
                      <w:lang w:val="en-GB" w:eastAsia="zh-CN"/>
                    </w:rPr>
                    <w:t>QB/T5361</w:t>
                  </w:r>
                  <w:r>
                    <w:rPr>
                      <w:rFonts w:hint="eastAsia"/>
                      <w:color w:val="auto"/>
                      <w:sz w:val="18"/>
                      <w:szCs w:val="16"/>
                      <w:lang w:val="en-GB" w:eastAsia="zh-CN"/>
                    </w:rPr>
                    <w:t>）、《玻璃器皿单位产品能源消耗限额》（QB/T5362）中相应的要求。玻璃仪器单位产品能源消耗限额鼓励参照执行《玻璃器皿单位产品能源消耗限额》（QB/T5362）中对硼硅玻璃器皿的要求。</w:t>
                  </w:r>
                </w:p>
              </w:tc>
              <w:tc>
                <w:tcPr>
                  <w:tcW w:w="1387" w:type="pct"/>
                  <w:noWrap w:val="0"/>
                  <w:vAlign w:val="center"/>
                </w:tcPr>
                <w:p w14:paraId="75C12C46">
                  <w:pPr>
                    <w:pStyle w:val="73"/>
                    <w:rPr>
                      <w:color w:val="auto"/>
                      <w:sz w:val="18"/>
                      <w:szCs w:val="16"/>
                      <w:lang w:val="en-GB" w:eastAsia="zh-CN"/>
                    </w:rPr>
                  </w:pPr>
                  <w:r>
                    <w:rPr>
                      <w:rFonts w:hint="eastAsia"/>
                      <w:color w:val="auto"/>
                      <w:sz w:val="18"/>
                      <w:szCs w:val="16"/>
                      <w:lang w:val="en-US" w:eastAsia="zh-CN"/>
                    </w:rPr>
                    <w:t>本项目能耗符合</w:t>
                  </w:r>
                  <w:r>
                    <w:rPr>
                      <w:rFonts w:hint="eastAsia"/>
                      <w:color w:val="auto"/>
                      <w:sz w:val="18"/>
                      <w:szCs w:val="16"/>
                      <w:lang w:val="en-GB" w:eastAsia="zh-CN"/>
                    </w:rPr>
                    <w:t>《玻璃器皿单位产品能源消耗限额》（QB/T5362）中相应的要求</w:t>
                  </w:r>
                </w:p>
              </w:tc>
            </w:tr>
            <w:tr w14:paraId="0714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63A8D78F">
                  <w:pPr>
                    <w:pStyle w:val="73"/>
                    <w:rPr>
                      <w:rFonts w:hint="eastAsia"/>
                      <w:color w:val="auto"/>
                      <w:sz w:val="18"/>
                      <w:szCs w:val="16"/>
                      <w:lang w:val="en-US" w:eastAsia="zh-CN"/>
                    </w:rPr>
                  </w:pPr>
                </w:p>
              </w:tc>
              <w:tc>
                <w:tcPr>
                  <w:tcW w:w="3099" w:type="pct"/>
                  <w:noWrap w:val="0"/>
                  <w:vAlign w:val="center"/>
                </w:tcPr>
                <w:p w14:paraId="26ECECF9">
                  <w:pPr>
                    <w:pStyle w:val="73"/>
                    <w:jc w:val="left"/>
                    <w:rPr>
                      <w:color w:val="auto"/>
                      <w:sz w:val="18"/>
                      <w:szCs w:val="16"/>
                      <w:lang w:val="en-GB" w:eastAsia="zh-CN"/>
                    </w:rPr>
                  </w:pPr>
                  <w:r>
                    <w:rPr>
                      <w:color w:val="auto"/>
                      <w:sz w:val="18"/>
                      <w:szCs w:val="16"/>
                      <w:lang w:val="en-GB" w:eastAsia="zh-CN"/>
                    </w:rPr>
                    <w:t>（十六）日用玻璃生产项目资源能源综合利用水平应符 合《日用玻璃生产项目资源能源综合利用指标》（见附表3</w:t>
                  </w:r>
                  <w:r>
                    <w:rPr>
                      <w:rFonts w:hint="eastAsia"/>
                      <w:color w:val="auto"/>
                      <w:sz w:val="18"/>
                      <w:szCs w:val="16"/>
                      <w:lang w:val="en-GB" w:eastAsia="zh-CN"/>
                    </w:rPr>
                    <w:t>）的要求。鼓励生产企业大力提高玻璃熟料掺入比例。</w:t>
                  </w:r>
                </w:p>
              </w:tc>
              <w:tc>
                <w:tcPr>
                  <w:tcW w:w="1387" w:type="pct"/>
                  <w:noWrap w:val="0"/>
                  <w:vAlign w:val="center"/>
                </w:tcPr>
                <w:p w14:paraId="5BDEDC99">
                  <w:pPr>
                    <w:pStyle w:val="73"/>
                    <w:rPr>
                      <w:rFonts w:hint="default"/>
                      <w:color w:val="auto"/>
                      <w:sz w:val="18"/>
                      <w:szCs w:val="16"/>
                      <w:lang w:val="en-US" w:eastAsia="zh-CN"/>
                    </w:rPr>
                  </w:pPr>
                  <w:r>
                    <w:rPr>
                      <w:rFonts w:hint="eastAsia"/>
                      <w:color w:val="auto"/>
                      <w:sz w:val="18"/>
                      <w:szCs w:val="16"/>
                      <w:lang w:val="en-US" w:eastAsia="zh-CN"/>
                    </w:rPr>
                    <w:t>废玻璃及不合格品全部回用，窑炉余热收集后置余热锅炉利用，工业生产用水全部回用不外排</w:t>
                  </w:r>
                </w:p>
              </w:tc>
            </w:tr>
            <w:tr w14:paraId="729E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restart"/>
                  <w:noWrap w:val="0"/>
                  <w:vAlign w:val="center"/>
                </w:tcPr>
                <w:p w14:paraId="7A65FBE5">
                  <w:pPr>
                    <w:pStyle w:val="73"/>
                    <w:rPr>
                      <w:rFonts w:hint="default"/>
                      <w:color w:val="auto"/>
                      <w:sz w:val="18"/>
                      <w:szCs w:val="16"/>
                      <w:lang w:val="en-US" w:eastAsia="zh-CN"/>
                    </w:rPr>
                  </w:pPr>
                  <w:r>
                    <w:rPr>
                      <w:rFonts w:hint="eastAsia"/>
                      <w:color w:val="auto"/>
                      <w:sz w:val="18"/>
                      <w:szCs w:val="16"/>
                      <w:lang w:val="en-US" w:eastAsia="zh-CN"/>
                    </w:rPr>
                    <w:t>环境保护与绿色生产</w:t>
                  </w:r>
                </w:p>
              </w:tc>
              <w:tc>
                <w:tcPr>
                  <w:tcW w:w="3099" w:type="pct"/>
                  <w:noWrap w:val="0"/>
                  <w:vAlign w:val="center"/>
                </w:tcPr>
                <w:p w14:paraId="4110B559">
                  <w:pPr>
                    <w:pStyle w:val="73"/>
                    <w:jc w:val="left"/>
                    <w:rPr>
                      <w:color w:val="auto"/>
                      <w:sz w:val="18"/>
                      <w:szCs w:val="16"/>
                      <w:lang w:val="en-GB" w:eastAsia="zh-CN"/>
                    </w:rPr>
                  </w:pPr>
                  <w:r>
                    <w:rPr>
                      <w:color w:val="auto"/>
                      <w:sz w:val="18"/>
                      <w:szCs w:val="16"/>
                      <w:lang w:val="en-GB" w:eastAsia="zh-CN"/>
                    </w:rPr>
                    <w:t>（十八）清洁生产 企业应努力构建高效、清洁、低碳、循环的绿色制造体系，积极推进用地集约化、生产洁净化、废物资源化和能源低碳化。坚持源头控制与末端治理并举，选用清洁能源，优选玻璃料方，严格控制配合料质量，控制硫酸盐和硝酸盐原料的使用，禁止使用白砒、三氧化二锑、铬矿渣、含铅、含镉、含氟（全电熔窑除外）等有害原辅材料，产品后加工工序应使用环保型颜料和制剂；加强有毒有害原材料替代，从源头降低污染物排放和碳排放强度，削减污染负荷，提高资源利用效率。用清洁生产适用技术等，降低玻璃熔化能耗，减少熔窑吨玻璃液烟气量，有效降低熔窑吨玻璃液污染物产生量。</w:t>
                  </w:r>
                </w:p>
              </w:tc>
              <w:tc>
                <w:tcPr>
                  <w:tcW w:w="1387" w:type="pct"/>
                  <w:noWrap w:val="0"/>
                  <w:vAlign w:val="center"/>
                </w:tcPr>
                <w:p w14:paraId="1507C107">
                  <w:pPr>
                    <w:pStyle w:val="73"/>
                    <w:rPr>
                      <w:rFonts w:hint="default"/>
                      <w:color w:val="auto"/>
                      <w:sz w:val="18"/>
                      <w:szCs w:val="16"/>
                      <w:lang w:val="en-US" w:eastAsia="zh-CN"/>
                    </w:rPr>
                  </w:pPr>
                  <w:r>
                    <w:rPr>
                      <w:rFonts w:hint="eastAsia"/>
                      <w:color w:val="auto"/>
                      <w:sz w:val="18"/>
                      <w:szCs w:val="16"/>
                      <w:lang w:val="en-US" w:eastAsia="zh-CN"/>
                    </w:rPr>
                    <w:t>本项目原料不涉及禁止使用有毒有害原料，能源使用均为清洁能源</w:t>
                  </w:r>
                </w:p>
              </w:tc>
            </w:tr>
            <w:tr w14:paraId="0191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Merge w:val="continue"/>
                  <w:noWrap w:val="0"/>
                  <w:vAlign w:val="center"/>
                </w:tcPr>
                <w:p w14:paraId="356B1E61">
                  <w:pPr>
                    <w:pStyle w:val="73"/>
                    <w:rPr>
                      <w:rFonts w:hint="eastAsia"/>
                      <w:color w:val="auto"/>
                      <w:sz w:val="18"/>
                      <w:szCs w:val="16"/>
                      <w:lang w:val="en-US" w:eastAsia="zh-CN"/>
                    </w:rPr>
                  </w:pPr>
                </w:p>
              </w:tc>
              <w:tc>
                <w:tcPr>
                  <w:tcW w:w="3099" w:type="pct"/>
                  <w:noWrap w:val="0"/>
                  <w:vAlign w:val="center"/>
                </w:tcPr>
                <w:p w14:paraId="358B18B8">
                  <w:pPr>
                    <w:pStyle w:val="73"/>
                    <w:jc w:val="left"/>
                    <w:rPr>
                      <w:color w:val="auto"/>
                      <w:sz w:val="18"/>
                      <w:szCs w:val="16"/>
                      <w:lang w:val="en-GB" w:eastAsia="zh-CN"/>
                    </w:rPr>
                  </w:pPr>
                  <w:r>
                    <w:rPr>
                      <w:color w:val="auto"/>
                      <w:sz w:val="18"/>
                      <w:szCs w:val="16"/>
                      <w:lang w:val="en-GB" w:eastAsia="zh-CN"/>
                    </w:rPr>
                    <w:t>（十九）污染防治与污染物在线监测1.</w:t>
                  </w:r>
                  <w:r>
                    <w:rPr>
                      <w:rFonts w:hint="eastAsia"/>
                      <w:color w:val="auto"/>
                      <w:sz w:val="18"/>
                      <w:szCs w:val="16"/>
                      <w:lang w:val="en-GB" w:eastAsia="zh-CN"/>
                    </w:rPr>
                    <w:t>企业应建立健全环境管理制度和管理机构，建设项目应严格执行环境影响评价制度和“三同时”制度。企业应依 法申领排污许可证并按证排污。</w:t>
                  </w:r>
                  <w:r>
                    <w:rPr>
                      <w:rFonts w:hint="default"/>
                      <w:color w:val="auto"/>
                      <w:sz w:val="18"/>
                      <w:szCs w:val="16"/>
                      <w:lang w:val="en-GB" w:eastAsia="zh-CN"/>
                    </w:rPr>
                    <w:t>2.</w:t>
                  </w:r>
                  <w:r>
                    <w:rPr>
                      <w:rFonts w:hint="eastAsia"/>
                      <w:color w:val="auto"/>
                      <w:sz w:val="18"/>
                      <w:szCs w:val="16"/>
                      <w:lang w:val="en-GB" w:eastAsia="zh-CN"/>
                    </w:rPr>
                    <w:t>企业应严格执行国家和地区有关污染物排放标准。</w:t>
                  </w:r>
                  <w:r>
                    <w:rPr>
                      <w:rFonts w:hint="default"/>
                      <w:color w:val="auto"/>
                      <w:sz w:val="18"/>
                      <w:szCs w:val="16"/>
                      <w:lang w:val="en-GB" w:eastAsia="zh-CN"/>
                    </w:rPr>
                    <w:t>3.</w:t>
                  </w:r>
                  <w:r>
                    <w:rPr>
                      <w:rFonts w:hint="eastAsia"/>
                      <w:color w:val="auto"/>
                      <w:sz w:val="18"/>
                      <w:szCs w:val="16"/>
                      <w:lang w:val="en-GB" w:eastAsia="zh-CN"/>
                    </w:rPr>
                    <w:t>企业应按有关法律和《污染源自动监控管理办法》等相关要求，安装玻璃熔窑烟气污染物排放自动监控设施，其安装、运行、维护、数据采集、记录和上传等应符合相关标准要求。</w:t>
                  </w:r>
                  <w:r>
                    <w:rPr>
                      <w:rFonts w:hint="default"/>
                      <w:color w:val="auto"/>
                      <w:sz w:val="18"/>
                      <w:szCs w:val="16"/>
                      <w:lang w:val="en-GB" w:eastAsia="zh-CN"/>
                    </w:rPr>
                    <w:t>4.</w:t>
                  </w:r>
                  <w:r>
                    <w:rPr>
                      <w:rFonts w:hint="eastAsia"/>
                      <w:color w:val="auto"/>
                      <w:sz w:val="18"/>
                      <w:szCs w:val="16"/>
                      <w:lang w:val="en-GB" w:eastAsia="zh-CN"/>
                    </w:rPr>
                    <w:t>企业应按照“减量化、资源化、无害化”原则对脱硫渣、废脱硝催化剂等固体废物进行利用、处置。一般工业固体废物和危险废物的收集、贮存、利用和处置应符合相关标准要求。</w:t>
                  </w:r>
                </w:p>
              </w:tc>
              <w:tc>
                <w:tcPr>
                  <w:tcW w:w="1387" w:type="pct"/>
                  <w:noWrap w:val="0"/>
                  <w:vAlign w:val="center"/>
                </w:tcPr>
                <w:p w14:paraId="2AD09AAD">
                  <w:pPr>
                    <w:pStyle w:val="73"/>
                    <w:rPr>
                      <w:rFonts w:hint="default"/>
                      <w:color w:val="auto"/>
                      <w:sz w:val="18"/>
                      <w:szCs w:val="16"/>
                      <w:lang w:val="en-US" w:eastAsia="zh-CN"/>
                    </w:rPr>
                  </w:pPr>
                  <w:r>
                    <w:rPr>
                      <w:rFonts w:hint="eastAsia"/>
                      <w:color w:val="auto"/>
                      <w:sz w:val="18"/>
                      <w:szCs w:val="16"/>
                      <w:lang w:val="en-US" w:eastAsia="zh-CN"/>
                    </w:rPr>
                    <w:t>本项目玻璃熔窑烟气安装在线监测仪器，扩建项目目前积极履行环评手续，后续生产过程严格按照管理要求执行，确保污染物达标排放。</w:t>
                  </w:r>
                </w:p>
              </w:tc>
            </w:tr>
          </w:tbl>
          <w:p w14:paraId="6C1185E6">
            <w:pPr>
              <w:pStyle w:val="84"/>
              <w:ind w:firstLineChars="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3、</w:t>
            </w:r>
            <w:r>
              <w:rPr>
                <w:rFonts w:hint="default" w:ascii="Times New Roman" w:hAnsi="Times New Roman" w:eastAsia="宋体" w:cs="Times New Roman"/>
                <w:b/>
                <w:bCs w:val="0"/>
                <w:color w:val="auto"/>
                <w:lang w:val="en-US" w:eastAsia="zh-CN"/>
              </w:rPr>
              <w:t>与《淮河流域水污染防治暂行条例》相符性分析</w:t>
            </w:r>
          </w:p>
          <w:p w14:paraId="542D6005">
            <w:pPr>
              <w:pStyle w:val="84"/>
              <w:ind w:firstLineChars="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《淮河流域水污染防治暂行条例》提出，禁止在淮河流域新建制革、化工、印染、电镀、酿造等污染严重的</w:t>
            </w:r>
            <w:r>
              <w:rPr>
                <w:rFonts w:hint="eastAsia" w:ascii="Times New Roman" w:hAnsi="Times New Roman" w:eastAsia="宋体" w:cs="Times New Roman"/>
                <w:bCs/>
                <w:color w:val="auto"/>
                <w:lang w:val="en-US" w:eastAsia="zh-CN"/>
              </w:rPr>
              <w:t>企业</w:t>
            </w:r>
            <w:r>
              <w:rPr>
                <w:rFonts w:hint="default" w:ascii="Times New Roman" w:hAnsi="Times New Roman" w:eastAsia="宋体" w:cs="Times New Roman"/>
                <w:bCs/>
                <w:color w:val="auto"/>
                <w:lang w:val="en-US" w:eastAsia="zh-CN"/>
              </w:rPr>
              <w:t>，严格限制在淮河流域新建前款所列大中型项目或者其他污染严重的项目。本项目</w:t>
            </w:r>
            <w:r>
              <w:rPr>
                <w:rFonts w:hint="eastAsia" w:ascii="Times New Roman" w:hAnsi="Times New Roman" w:eastAsia="宋体" w:cs="Times New Roman"/>
                <w:bCs/>
                <w:color w:val="auto"/>
                <w:lang w:val="en-US" w:eastAsia="zh-CN"/>
              </w:rPr>
              <w:t>不属于生产企业，采用实验试剂及仪器设备进行环境检测，</w:t>
            </w:r>
            <w:r>
              <w:rPr>
                <w:rFonts w:hint="default" w:ascii="Times New Roman" w:hAnsi="Times New Roman" w:eastAsia="宋体" w:cs="Times New Roman"/>
                <w:bCs/>
                <w:color w:val="auto"/>
                <w:lang w:val="en-US" w:eastAsia="zh-CN"/>
              </w:rPr>
              <w:t>不属于条例中禁止建设的项目；因此本项目符合条例的要求。</w:t>
            </w:r>
          </w:p>
          <w:p w14:paraId="1006A7A8">
            <w:pPr>
              <w:pStyle w:val="84"/>
              <w:ind w:firstLineChars="0"/>
              <w:rPr>
                <w:rFonts w:hint="eastAsia"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《安徽省淮河流域水污染防治条例》中要求：①淮河流域应严格限制发展污水排放量大的制革、化工、印染、造纸、酒精等建设项目；②新建、扩建、改建项目，除执行</w:t>
            </w:r>
            <w:r>
              <w:rPr>
                <w:rFonts w:hint="eastAsia" w:ascii="Times New Roman" w:hAnsi="Times New Roman" w:eastAsia="宋体" w:cs="Times New Roman"/>
                <w:bCs/>
                <w:color w:val="auto"/>
                <w:lang w:val="en-US" w:eastAsia="zh-CN"/>
              </w:rPr>
              <w:t>“</w:t>
            </w:r>
            <w:r>
              <w:rPr>
                <w:rFonts w:hint="default" w:ascii="Times New Roman" w:hAnsi="Times New Roman" w:eastAsia="宋体" w:cs="Times New Roman"/>
                <w:bCs/>
                <w:color w:val="auto"/>
                <w:lang w:val="en-US" w:eastAsia="zh-CN"/>
              </w:rPr>
              <w:t>环境影响报告书（表）</w:t>
            </w:r>
            <w:r>
              <w:rPr>
                <w:rFonts w:hint="eastAsia" w:ascii="Times New Roman" w:hAnsi="Times New Roman" w:eastAsia="宋体" w:cs="Times New Roman"/>
                <w:bCs/>
                <w:color w:val="auto"/>
                <w:lang w:val="en-US" w:eastAsia="zh-CN"/>
              </w:rPr>
              <w:t>”</w:t>
            </w:r>
            <w:r>
              <w:rPr>
                <w:rFonts w:hint="default" w:ascii="Times New Roman" w:hAnsi="Times New Roman" w:eastAsia="宋体" w:cs="Times New Roman"/>
                <w:bCs/>
                <w:color w:val="auto"/>
                <w:lang w:val="en-US" w:eastAsia="zh-CN"/>
              </w:rPr>
              <w:t>和环境保护设施必须与主体工程同时设计、同时施工、同时投产使用外，还必须遵守以下规定：新建项目的选址应符合城市总体规划，避开饮用水源地和对环境有特殊要求的功能区；采取资源利用率高、污染排放量少的先进设备和先进工艺。本项目选址位于</w:t>
            </w:r>
            <w:r>
              <w:rPr>
                <w:rFonts w:hint="eastAsia" w:ascii="Times New Roman" w:hAnsi="Times New Roman" w:eastAsia="宋体" w:cs="Times New Roman"/>
                <w:bCs/>
                <w:color w:val="auto"/>
                <w:lang w:val="en-US" w:eastAsia="zh-CN"/>
              </w:rPr>
              <w:t>安徽淮南谢家集经济开发区，符合园区规划用地要求</w:t>
            </w:r>
            <w:r>
              <w:rPr>
                <w:rFonts w:hint="default" w:ascii="Times New Roman" w:hAnsi="Times New Roman" w:eastAsia="宋体" w:cs="Times New Roman"/>
                <w:bCs/>
                <w:color w:val="auto"/>
                <w:lang w:val="en-US" w:eastAsia="zh-CN"/>
              </w:rPr>
              <w:t>；项目</w:t>
            </w:r>
            <w:r>
              <w:rPr>
                <w:rFonts w:hint="eastAsia" w:ascii="Times New Roman" w:hAnsi="Times New Roman" w:eastAsia="宋体" w:cs="Times New Roman"/>
                <w:bCs/>
                <w:color w:val="auto"/>
                <w:lang w:val="en-US" w:eastAsia="zh-CN"/>
              </w:rPr>
              <w:t>用水主要为员工生活、生产冷却循环保</w:t>
            </w:r>
            <w:r>
              <w:rPr>
                <w:rFonts w:hint="default" w:ascii="Times New Roman" w:hAnsi="Times New Roman" w:eastAsia="宋体" w:cs="Times New Roman"/>
                <w:bCs/>
                <w:color w:val="auto"/>
                <w:lang w:val="en-US" w:eastAsia="zh-CN"/>
              </w:rPr>
              <w:t>，</w:t>
            </w:r>
            <w:r>
              <w:rPr>
                <w:rFonts w:hint="eastAsia" w:ascii="Times New Roman" w:hAnsi="Times New Roman" w:eastAsia="宋体" w:cs="Times New Roman"/>
                <w:bCs/>
                <w:color w:val="auto"/>
                <w:lang w:val="en-US" w:eastAsia="zh-CN"/>
              </w:rPr>
              <w:t>冷却循环水定期补充，不外排。</w:t>
            </w:r>
            <w:r>
              <w:rPr>
                <w:rFonts w:hint="default" w:ascii="Times New Roman" w:hAnsi="Times New Roman" w:eastAsia="宋体" w:cs="Times New Roman"/>
                <w:bCs/>
                <w:color w:val="auto"/>
                <w:lang w:val="en-US" w:eastAsia="zh-CN"/>
              </w:rPr>
              <w:t>生活污水污染物相对简单</w:t>
            </w:r>
            <w:r>
              <w:rPr>
                <w:rFonts w:hint="eastAsia" w:ascii="Times New Roman" w:hAnsi="Times New Roman" w:eastAsia="宋体" w:cs="Times New Roman"/>
                <w:bCs/>
                <w:color w:val="auto"/>
                <w:lang w:val="en-US" w:eastAsia="zh-CN"/>
              </w:rPr>
              <w:t>，本项目不属于前述污染严重项目类型，不属于上述限制类项目。</w:t>
            </w:r>
            <w:r>
              <w:rPr>
                <w:rFonts w:hint="default" w:ascii="Times New Roman" w:hAnsi="Times New Roman" w:eastAsia="宋体" w:cs="Times New Roman"/>
                <w:bCs/>
                <w:color w:val="auto"/>
                <w:lang w:val="en-US" w:eastAsia="zh-CN"/>
              </w:rPr>
              <w:t>因此，本项目符合条例中的要求。</w:t>
            </w:r>
          </w:p>
          <w:p w14:paraId="155A7FFD">
            <w:pPr>
              <w:adjustRightInd w:val="0"/>
              <w:snapToGrid w:val="0"/>
              <w:spacing w:line="360" w:lineRule="auto"/>
              <w:rPr>
                <w:b/>
                <w:bCs/>
                <w:color w:val="auto"/>
                <w:szCs w:val="21"/>
              </w:rPr>
            </w:pPr>
            <w:r>
              <w:rPr>
                <w:rFonts w:hint="eastAsia"/>
                <w:color w:val="auto"/>
                <w:sz w:val="24"/>
                <w:szCs w:val="32"/>
                <w:lang w:val="en-US" w:eastAsia="zh-CN"/>
              </w:rPr>
              <w:t>4</w:t>
            </w:r>
            <w:r>
              <w:rPr>
                <w:color w:val="auto"/>
                <w:sz w:val="24"/>
                <w:szCs w:val="32"/>
              </w:rPr>
              <w:t>、与</w:t>
            </w:r>
            <w:r>
              <w:rPr>
                <w:b/>
                <w:bCs/>
                <w:color w:val="auto"/>
                <w:szCs w:val="21"/>
              </w:rPr>
              <w:t>《安徽省</w:t>
            </w:r>
            <w:r>
              <w:rPr>
                <w:rFonts w:hint="eastAsia"/>
                <w:b/>
                <w:bCs/>
                <w:color w:val="auto"/>
                <w:szCs w:val="21"/>
              </w:rPr>
              <w:t>2022年大气污染防治工作要点</w:t>
            </w:r>
            <w:r>
              <w:rPr>
                <w:b/>
                <w:bCs/>
                <w:color w:val="auto"/>
                <w:szCs w:val="21"/>
              </w:rPr>
              <w:t>》</w:t>
            </w:r>
            <w:r>
              <w:rPr>
                <w:rFonts w:hint="eastAsia"/>
                <w:b/>
                <w:bCs/>
                <w:color w:val="auto"/>
                <w:szCs w:val="21"/>
              </w:rPr>
              <w:t>（安环委办〔2022〕37号）</w:t>
            </w:r>
            <w:r>
              <w:rPr>
                <w:b/>
                <w:bCs/>
                <w:color w:val="auto"/>
                <w:szCs w:val="21"/>
              </w:rPr>
              <w:t>相符性分析</w:t>
            </w:r>
          </w:p>
          <w:p w14:paraId="64183F2D">
            <w:pPr>
              <w:spacing w:line="360" w:lineRule="auto"/>
              <w:jc w:val="center"/>
              <w:rPr>
                <w:b/>
                <w:color w:val="auto"/>
                <w:szCs w:val="21"/>
              </w:rPr>
            </w:pPr>
            <w:r>
              <w:rPr>
                <w:b/>
                <w:color w:val="auto"/>
                <w:szCs w:val="21"/>
              </w:rPr>
              <w:t>表</w:t>
            </w:r>
            <w:r>
              <w:rPr>
                <w:rFonts w:hint="eastAsia"/>
                <w:b/>
                <w:color w:val="auto"/>
                <w:szCs w:val="21"/>
              </w:rPr>
              <w:t>1-</w:t>
            </w:r>
            <w:r>
              <w:rPr>
                <w:rFonts w:hint="eastAsia"/>
                <w:b/>
                <w:color w:val="auto"/>
                <w:szCs w:val="21"/>
                <w:lang w:val="en-US" w:eastAsia="zh-CN"/>
              </w:rPr>
              <w:t xml:space="preserve">5 </w:t>
            </w:r>
            <w:r>
              <w:rPr>
                <w:b/>
                <w:color w:val="auto"/>
                <w:szCs w:val="21"/>
              </w:rPr>
              <w:t xml:space="preserve"> </w:t>
            </w:r>
            <w:r>
              <w:rPr>
                <w:rFonts w:hint="eastAsia"/>
                <w:b/>
                <w:color w:val="auto"/>
                <w:szCs w:val="21"/>
              </w:rPr>
              <w:t>项目与</w:t>
            </w:r>
            <w:r>
              <w:rPr>
                <w:rFonts w:hint="eastAsia"/>
                <w:b/>
                <w:bCs/>
                <w:color w:val="auto"/>
                <w:szCs w:val="21"/>
              </w:rPr>
              <w:t>安环委办〔2022〕37号</w:t>
            </w:r>
            <w:r>
              <w:rPr>
                <w:rFonts w:hint="eastAsia"/>
                <w:b/>
                <w:color w:val="auto"/>
                <w:szCs w:val="21"/>
              </w:rPr>
              <w:t>文件</w:t>
            </w:r>
            <w:r>
              <w:rPr>
                <w:b/>
                <w:color w:val="auto"/>
                <w:szCs w:val="21"/>
              </w:rPr>
              <w:t>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1924"/>
              <w:gridCol w:w="751"/>
            </w:tblGrid>
            <w:tr w14:paraId="1168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7FD4508C">
                  <w:pPr>
                    <w:snapToGrid w:val="0"/>
                    <w:spacing w:line="240" w:lineRule="atLeast"/>
                    <w:jc w:val="center"/>
                    <w:rPr>
                      <w:bCs/>
                      <w:color w:val="auto"/>
                      <w:sz w:val="18"/>
                      <w:szCs w:val="18"/>
                    </w:rPr>
                  </w:pPr>
                  <w:r>
                    <w:rPr>
                      <w:bCs/>
                      <w:color w:val="auto"/>
                      <w:sz w:val="18"/>
                      <w:szCs w:val="18"/>
                    </w:rPr>
                    <w:t>方案要求</w:t>
                  </w:r>
                </w:p>
              </w:tc>
              <w:tc>
                <w:tcPr>
                  <w:tcW w:w="1995" w:type="dxa"/>
                  <w:noWrap w:val="0"/>
                  <w:vAlign w:val="center"/>
                </w:tcPr>
                <w:p w14:paraId="4186D5BE">
                  <w:pPr>
                    <w:snapToGrid w:val="0"/>
                    <w:spacing w:line="240" w:lineRule="atLeast"/>
                    <w:jc w:val="center"/>
                    <w:rPr>
                      <w:bCs/>
                      <w:color w:val="auto"/>
                      <w:sz w:val="18"/>
                      <w:szCs w:val="18"/>
                    </w:rPr>
                  </w:pPr>
                  <w:r>
                    <w:rPr>
                      <w:bCs/>
                      <w:color w:val="auto"/>
                      <w:sz w:val="18"/>
                      <w:szCs w:val="18"/>
                    </w:rPr>
                    <w:t>本项目建设情况</w:t>
                  </w:r>
                </w:p>
              </w:tc>
              <w:tc>
                <w:tcPr>
                  <w:tcW w:w="773" w:type="dxa"/>
                  <w:noWrap w:val="0"/>
                  <w:vAlign w:val="center"/>
                </w:tcPr>
                <w:p w14:paraId="2145E1F7">
                  <w:pPr>
                    <w:snapToGrid w:val="0"/>
                    <w:spacing w:line="240" w:lineRule="atLeast"/>
                    <w:jc w:val="center"/>
                    <w:rPr>
                      <w:bCs/>
                      <w:color w:val="auto"/>
                      <w:sz w:val="18"/>
                      <w:szCs w:val="18"/>
                    </w:rPr>
                  </w:pPr>
                  <w:r>
                    <w:rPr>
                      <w:bCs/>
                      <w:color w:val="auto"/>
                      <w:sz w:val="18"/>
                      <w:szCs w:val="18"/>
                    </w:rPr>
                    <w:t>相符性</w:t>
                  </w:r>
                </w:p>
              </w:tc>
            </w:tr>
            <w:tr w14:paraId="1673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2B87F7B8">
                  <w:pPr>
                    <w:snapToGrid w:val="0"/>
                    <w:spacing w:line="240" w:lineRule="atLeast"/>
                    <w:jc w:val="center"/>
                    <w:rPr>
                      <w:bCs/>
                      <w:color w:val="auto"/>
                      <w:sz w:val="18"/>
                      <w:szCs w:val="18"/>
                    </w:rPr>
                  </w:pPr>
                  <w:r>
                    <w:rPr>
                      <w:rFonts w:hint="eastAsia"/>
                      <w:bCs/>
                      <w:color w:val="auto"/>
                      <w:sz w:val="18"/>
                      <w:szCs w:val="18"/>
                      <w:lang w:val="en"/>
                    </w:rPr>
                    <w:t>加强煤炭消费管理。严控新增耗煤项目，大气污染防治重点区域内新建、改建、扩建用煤项目的严格实施煤炭减量替代。加强商品煤质量监督和管理，确保符合国家和地方标准要求。推进煤炭清洁高效利用，鼓励和支持洁净煤技术的开发和推广。禁止新建企业自备燃煤设施，加快供热管网建设，充分释放燃煤电厂、工业余热等供热能力。</w:t>
                  </w:r>
                </w:p>
              </w:tc>
              <w:tc>
                <w:tcPr>
                  <w:tcW w:w="1995" w:type="dxa"/>
                  <w:noWrap w:val="0"/>
                  <w:vAlign w:val="center"/>
                </w:tcPr>
                <w:p w14:paraId="5D1B1321">
                  <w:pPr>
                    <w:snapToGrid w:val="0"/>
                    <w:spacing w:line="240" w:lineRule="atLeast"/>
                    <w:jc w:val="center"/>
                    <w:rPr>
                      <w:rFonts w:hint="eastAsia"/>
                      <w:bCs/>
                      <w:color w:val="auto"/>
                      <w:sz w:val="18"/>
                      <w:szCs w:val="18"/>
                      <w:lang w:eastAsia="zh-CN"/>
                    </w:rPr>
                  </w:pPr>
                  <w:r>
                    <w:rPr>
                      <w:rFonts w:hint="eastAsia"/>
                      <w:bCs/>
                      <w:color w:val="auto"/>
                      <w:sz w:val="18"/>
                      <w:szCs w:val="18"/>
                    </w:rPr>
                    <w:t>项目生产所需热能采用电能</w:t>
                  </w:r>
                  <w:r>
                    <w:rPr>
                      <w:rFonts w:hint="eastAsia"/>
                      <w:bCs/>
                      <w:color w:val="auto"/>
                      <w:sz w:val="18"/>
                      <w:szCs w:val="18"/>
                      <w:lang w:eastAsia="zh-CN"/>
                    </w:rPr>
                    <w:t>、</w:t>
                  </w:r>
                  <w:r>
                    <w:rPr>
                      <w:rFonts w:hint="eastAsia"/>
                      <w:bCs/>
                      <w:color w:val="auto"/>
                      <w:sz w:val="18"/>
                      <w:szCs w:val="18"/>
                      <w:lang w:val="en-US" w:eastAsia="zh-CN"/>
                    </w:rPr>
                    <w:t>天然气、液化石油气</w:t>
                  </w:r>
                  <w:r>
                    <w:rPr>
                      <w:rFonts w:hint="eastAsia"/>
                      <w:bCs/>
                      <w:color w:val="auto"/>
                      <w:sz w:val="18"/>
                      <w:szCs w:val="18"/>
                    </w:rPr>
                    <w:t>，不建设燃煤设施。</w:t>
                  </w:r>
                </w:p>
              </w:tc>
              <w:tc>
                <w:tcPr>
                  <w:tcW w:w="773" w:type="dxa"/>
                  <w:noWrap w:val="0"/>
                  <w:vAlign w:val="center"/>
                </w:tcPr>
                <w:p w14:paraId="38D0508C">
                  <w:pPr>
                    <w:snapToGrid w:val="0"/>
                    <w:spacing w:line="240" w:lineRule="atLeast"/>
                    <w:jc w:val="center"/>
                    <w:rPr>
                      <w:bCs/>
                      <w:color w:val="auto"/>
                      <w:sz w:val="18"/>
                      <w:szCs w:val="18"/>
                    </w:rPr>
                  </w:pPr>
                  <w:r>
                    <w:rPr>
                      <w:bCs/>
                      <w:color w:val="auto"/>
                      <w:sz w:val="18"/>
                      <w:szCs w:val="18"/>
                    </w:rPr>
                    <w:t>符合</w:t>
                  </w:r>
                </w:p>
              </w:tc>
            </w:tr>
            <w:tr w14:paraId="7613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0392687B">
                  <w:pPr>
                    <w:snapToGrid w:val="0"/>
                    <w:spacing w:line="240" w:lineRule="atLeast"/>
                    <w:jc w:val="center"/>
                    <w:rPr>
                      <w:bCs/>
                      <w:color w:val="auto"/>
                      <w:sz w:val="18"/>
                      <w:szCs w:val="18"/>
                      <w:lang w:val="en"/>
                    </w:rPr>
                  </w:pPr>
                  <w:r>
                    <w:rPr>
                      <w:rFonts w:hint="eastAsia"/>
                      <w:bCs/>
                      <w:color w:val="auto"/>
                      <w:sz w:val="18"/>
                      <w:szCs w:val="18"/>
                      <w:lang w:val="en"/>
                    </w:rPr>
                    <w:t>积极发展清洁能源。坚持实施</w:t>
                  </w:r>
                  <w:r>
                    <w:rPr>
                      <w:rFonts w:hint="eastAsia"/>
                      <w:bCs/>
                      <w:color w:val="auto"/>
                      <w:sz w:val="18"/>
                      <w:szCs w:val="18"/>
                      <w:lang w:val="en" w:eastAsia="zh-CN"/>
                    </w:rPr>
                    <w:t>“</w:t>
                  </w:r>
                  <w:r>
                    <w:rPr>
                      <w:rFonts w:hint="eastAsia"/>
                      <w:bCs/>
                      <w:color w:val="auto"/>
                      <w:sz w:val="18"/>
                      <w:szCs w:val="18"/>
                      <w:lang w:val="en"/>
                    </w:rPr>
                    <w:t>增气减煤</w:t>
                  </w:r>
                  <w:r>
                    <w:rPr>
                      <w:rFonts w:hint="eastAsia"/>
                      <w:bCs/>
                      <w:color w:val="auto"/>
                      <w:sz w:val="18"/>
                      <w:szCs w:val="18"/>
                      <w:lang w:val="en" w:eastAsia="zh-CN"/>
                    </w:rPr>
                    <w:t>”</w:t>
                  </w:r>
                  <w:r>
                    <w:rPr>
                      <w:rFonts w:hint="eastAsia"/>
                      <w:bCs/>
                      <w:color w:val="auto"/>
                      <w:sz w:val="18"/>
                      <w:szCs w:val="18"/>
                      <w:lang w:val="en"/>
                    </w:rPr>
                    <w:t>，提升供应侧非化石能源比重，提高消费侧电力比重，增加天然气供应量、优化天然气使用，2022年底前，新增电能替代电量60亿千瓦时，天然气供气规模达76亿立方米。持续推进以煤为燃料的工业炉窑清洁燃料替代改造，提高以电代煤、以气代煤比例。推进现有机组实施清洁能源替代、功能转换，积极争取</w:t>
                  </w:r>
                  <w:r>
                    <w:rPr>
                      <w:rFonts w:hint="eastAsia"/>
                      <w:bCs/>
                      <w:color w:val="auto"/>
                      <w:sz w:val="18"/>
                      <w:szCs w:val="18"/>
                      <w:lang w:val="en" w:eastAsia="zh-CN"/>
                    </w:rPr>
                    <w:t>“</w:t>
                  </w:r>
                  <w:r>
                    <w:rPr>
                      <w:rFonts w:hint="eastAsia"/>
                      <w:bCs/>
                      <w:color w:val="auto"/>
                      <w:sz w:val="18"/>
                      <w:szCs w:val="18"/>
                      <w:lang w:val="en"/>
                    </w:rPr>
                    <w:t>外电入皖</w:t>
                  </w:r>
                  <w:r>
                    <w:rPr>
                      <w:rFonts w:hint="eastAsia"/>
                      <w:bCs/>
                      <w:color w:val="auto"/>
                      <w:sz w:val="18"/>
                      <w:szCs w:val="18"/>
                      <w:lang w:val="en" w:eastAsia="zh-CN"/>
                    </w:rPr>
                    <w:t>”</w:t>
                  </w:r>
                  <w:r>
                    <w:rPr>
                      <w:rFonts w:hint="eastAsia"/>
                      <w:bCs/>
                      <w:color w:val="auto"/>
                      <w:sz w:val="18"/>
                      <w:szCs w:val="18"/>
                      <w:lang w:val="en"/>
                    </w:rPr>
                    <w:t>。实施可再生能源替代行动，加快建设新型能源供应系统，因地制宜开发风电与光伏发电，鼓励建设风能、太阳能、生物质能等新能源项目，推进生物燃料乙醇项目改造提升。</w:t>
                  </w:r>
                </w:p>
              </w:tc>
              <w:tc>
                <w:tcPr>
                  <w:tcW w:w="1995" w:type="dxa"/>
                  <w:noWrap w:val="0"/>
                  <w:vAlign w:val="center"/>
                </w:tcPr>
                <w:p w14:paraId="1935A2B9">
                  <w:pPr>
                    <w:snapToGrid w:val="0"/>
                    <w:spacing w:line="240" w:lineRule="atLeast"/>
                    <w:jc w:val="center"/>
                    <w:rPr>
                      <w:rFonts w:hint="eastAsia"/>
                      <w:bCs/>
                      <w:color w:val="auto"/>
                      <w:sz w:val="18"/>
                      <w:szCs w:val="18"/>
                      <w:lang w:val="en"/>
                    </w:rPr>
                  </w:pPr>
                  <w:r>
                    <w:rPr>
                      <w:rFonts w:hint="eastAsia"/>
                      <w:bCs/>
                      <w:color w:val="auto"/>
                      <w:sz w:val="18"/>
                      <w:szCs w:val="18"/>
                      <w:lang w:val="en"/>
                    </w:rPr>
                    <w:t>项目各生产环节所采用的能源均为电能</w:t>
                  </w:r>
                  <w:r>
                    <w:rPr>
                      <w:rFonts w:hint="eastAsia"/>
                      <w:bCs/>
                      <w:color w:val="auto"/>
                      <w:sz w:val="18"/>
                      <w:szCs w:val="18"/>
                      <w:lang w:val="en" w:eastAsia="zh-CN"/>
                    </w:rPr>
                    <w:t>、</w:t>
                  </w:r>
                  <w:r>
                    <w:rPr>
                      <w:rFonts w:hint="eastAsia"/>
                      <w:bCs/>
                      <w:color w:val="auto"/>
                      <w:sz w:val="18"/>
                      <w:szCs w:val="18"/>
                      <w:lang w:val="en-US" w:eastAsia="zh-CN"/>
                    </w:rPr>
                    <w:t>天然气、液化石油气</w:t>
                  </w:r>
                  <w:r>
                    <w:rPr>
                      <w:rFonts w:hint="eastAsia"/>
                      <w:bCs/>
                      <w:color w:val="auto"/>
                      <w:sz w:val="18"/>
                      <w:szCs w:val="18"/>
                      <w:lang w:val="en"/>
                    </w:rPr>
                    <w:t>，不使用煤。</w:t>
                  </w:r>
                </w:p>
              </w:tc>
              <w:tc>
                <w:tcPr>
                  <w:tcW w:w="773" w:type="dxa"/>
                  <w:noWrap w:val="0"/>
                  <w:vAlign w:val="center"/>
                </w:tcPr>
                <w:p w14:paraId="60458332">
                  <w:pPr>
                    <w:snapToGrid w:val="0"/>
                    <w:spacing w:line="240" w:lineRule="atLeast"/>
                    <w:jc w:val="center"/>
                    <w:rPr>
                      <w:bCs/>
                      <w:color w:val="auto"/>
                      <w:sz w:val="18"/>
                      <w:szCs w:val="18"/>
                    </w:rPr>
                  </w:pPr>
                  <w:r>
                    <w:rPr>
                      <w:bCs/>
                      <w:color w:val="auto"/>
                      <w:sz w:val="18"/>
                      <w:szCs w:val="18"/>
                    </w:rPr>
                    <w:t>符合</w:t>
                  </w:r>
                </w:p>
              </w:tc>
            </w:tr>
            <w:tr w14:paraId="5129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0165A6C3">
                  <w:pPr>
                    <w:snapToGrid w:val="0"/>
                    <w:spacing w:line="240" w:lineRule="atLeast"/>
                    <w:jc w:val="center"/>
                    <w:rPr>
                      <w:rFonts w:hint="eastAsia"/>
                      <w:bCs/>
                      <w:color w:val="auto"/>
                      <w:sz w:val="18"/>
                      <w:szCs w:val="18"/>
                      <w:lang w:val="en"/>
                    </w:rPr>
                  </w:pPr>
                  <w:r>
                    <w:rPr>
                      <w:rFonts w:hint="eastAsia"/>
                      <w:bCs/>
                      <w:color w:val="auto"/>
                      <w:sz w:val="18"/>
                      <w:szCs w:val="18"/>
                      <w:lang w:val="en"/>
                    </w:rPr>
                    <w:t>加快产业结构转型升级。严格执行《产业结构调整指导目录》《产业发展与转移指导目录》，落实国家产业结构调整指导目录中碳排放控制要求。有序开展产业承接和重点行业省内调整优化，高水平打造皖北承接产业转移集聚区。全面排查</w:t>
                  </w:r>
                  <w:r>
                    <w:rPr>
                      <w:rFonts w:hint="eastAsia"/>
                      <w:bCs/>
                      <w:color w:val="auto"/>
                      <w:sz w:val="18"/>
                      <w:szCs w:val="18"/>
                      <w:lang w:val="en" w:eastAsia="zh-CN"/>
                    </w:rPr>
                    <w:t>“</w:t>
                  </w:r>
                  <w:r>
                    <w:rPr>
                      <w:rFonts w:hint="eastAsia"/>
                      <w:bCs/>
                      <w:color w:val="auto"/>
                      <w:sz w:val="18"/>
                      <w:szCs w:val="18"/>
                      <w:lang w:val="en"/>
                    </w:rPr>
                    <w:t>两高</w:t>
                  </w:r>
                  <w:r>
                    <w:rPr>
                      <w:rFonts w:hint="eastAsia"/>
                      <w:bCs/>
                      <w:color w:val="auto"/>
                      <w:sz w:val="18"/>
                      <w:szCs w:val="18"/>
                      <w:lang w:val="en" w:eastAsia="zh-CN"/>
                    </w:rPr>
                    <w:t>”</w:t>
                  </w:r>
                  <w:r>
                    <w:rPr>
                      <w:rFonts w:hint="eastAsia"/>
                      <w:bCs/>
                      <w:color w:val="auto"/>
                      <w:sz w:val="18"/>
                      <w:szCs w:val="18"/>
                      <w:lang w:val="en"/>
                    </w:rPr>
                    <w:t>项目，实施清单管理、分类处置、动态监控，对不符合规定的坚决停批停建，科学稳妥推进符合要求的拟建项目。依法依规淘汰落后产能和化解过剩产能，严禁新增钢铁、焦化、水泥熟料、平板玻璃、电解铝等产能。</w:t>
                  </w:r>
                </w:p>
              </w:tc>
              <w:tc>
                <w:tcPr>
                  <w:tcW w:w="1995" w:type="dxa"/>
                  <w:noWrap w:val="0"/>
                  <w:vAlign w:val="center"/>
                </w:tcPr>
                <w:p w14:paraId="7E49A03F">
                  <w:pPr>
                    <w:snapToGrid w:val="0"/>
                    <w:spacing w:line="240" w:lineRule="atLeast"/>
                    <w:jc w:val="center"/>
                    <w:rPr>
                      <w:rFonts w:hint="eastAsia"/>
                      <w:bCs/>
                      <w:color w:val="auto"/>
                      <w:sz w:val="18"/>
                      <w:szCs w:val="18"/>
                      <w:lang w:val="en"/>
                    </w:rPr>
                  </w:pPr>
                  <w:r>
                    <w:rPr>
                      <w:rFonts w:hint="eastAsia"/>
                      <w:bCs/>
                      <w:color w:val="auto"/>
                      <w:sz w:val="18"/>
                      <w:szCs w:val="18"/>
                      <w:lang w:val="en"/>
                    </w:rPr>
                    <w:t>根据《产业结构调整指导目录（2024年版）》，本项目不属于鼓励类、限制类和淘汰类，视为允许类。对照《安徽省</w:t>
                  </w:r>
                  <w:r>
                    <w:rPr>
                      <w:rFonts w:hint="eastAsia"/>
                      <w:bCs/>
                      <w:color w:val="auto"/>
                      <w:sz w:val="18"/>
                      <w:szCs w:val="18"/>
                      <w:lang w:val="en" w:eastAsia="zh-CN"/>
                    </w:rPr>
                    <w:t>“</w:t>
                  </w:r>
                  <w:r>
                    <w:rPr>
                      <w:rFonts w:hint="eastAsia"/>
                      <w:bCs/>
                      <w:color w:val="auto"/>
                      <w:sz w:val="18"/>
                      <w:szCs w:val="18"/>
                      <w:lang w:val="en"/>
                    </w:rPr>
                    <w:t>两高</w:t>
                  </w:r>
                  <w:r>
                    <w:rPr>
                      <w:rFonts w:hint="eastAsia"/>
                      <w:bCs/>
                      <w:color w:val="auto"/>
                      <w:sz w:val="18"/>
                      <w:szCs w:val="18"/>
                      <w:lang w:val="en" w:eastAsia="zh-CN"/>
                    </w:rPr>
                    <w:t>”</w:t>
                  </w:r>
                  <w:r>
                    <w:rPr>
                      <w:rFonts w:hint="eastAsia"/>
                      <w:bCs/>
                      <w:color w:val="auto"/>
                      <w:sz w:val="18"/>
                      <w:szCs w:val="18"/>
                      <w:lang w:val="en"/>
                    </w:rPr>
                    <w:t>项目管理目录（试行）》，本项目所涉及行业类别不属于两高行业。</w:t>
                  </w:r>
                </w:p>
              </w:tc>
              <w:tc>
                <w:tcPr>
                  <w:tcW w:w="773" w:type="dxa"/>
                  <w:noWrap w:val="0"/>
                  <w:vAlign w:val="center"/>
                </w:tcPr>
                <w:p w14:paraId="268B8E6A">
                  <w:pPr>
                    <w:snapToGrid w:val="0"/>
                    <w:spacing w:line="240" w:lineRule="atLeast"/>
                    <w:jc w:val="center"/>
                    <w:rPr>
                      <w:bCs/>
                      <w:color w:val="auto"/>
                      <w:sz w:val="18"/>
                      <w:szCs w:val="18"/>
                    </w:rPr>
                  </w:pPr>
                  <w:r>
                    <w:rPr>
                      <w:bCs/>
                      <w:color w:val="auto"/>
                      <w:sz w:val="18"/>
                      <w:szCs w:val="18"/>
                    </w:rPr>
                    <w:t>符合</w:t>
                  </w:r>
                </w:p>
              </w:tc>
            </w:tr>
            <w:tr w14:paraId="3D6F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52D988BF">
                  <w:pPr>
                    <w:snapToGrid w:val="0"/>
                    <w:spacing w:line="240" w:lineRule="atLeast"/>
                    <w:jc w:val="center"/>
                    <w:rPr>
                      <w:rFonts w:hint="eastAsia"/>
                      <w:bCs/>
                      <w:color w:val="auto"/>
                      <w:sz w:val="18"/>
                      <w:szCs w:val="18"/>
                      <w:lang w:val="en"/>
                    </w:rPr>
                  </w:pPr>
                  <w:r>
                    <w:rPr>
                      <w:rFonts w:hint="eastAsia"/>
                      <w:bCs/>
                      <w:color w:val="auto"/>
                      <w:sz w:val="18"/>
                      <w:szCs w:val="18"/>
                      <w:lang w:val="en"/>
                    </w:rPr>
                    <w:t>实施工业锅炉和炉窑提标改造和清洁能源替代，推动焦化、玻璃等行业深度治理。加快推进马钢等钢铁企业超低排放改造，力争2022年底前基本完成。全面摸排现有工业燃煤锅炉，明确超低排放改造时间表。</w:t>
                  </w:r>
                </w:p>
              </w:tc>
              <w:tc>
                <w:tcPr>
                  <w:tcW w:w="1995" w:type="dxa"/>
                  <w:noWrap w:val="0"/>
                  <w:vAlign w:val="center"/>
                </w:tcPr>
                <w:p w14:paraId="4F2334CA">
                  <w:pPr>
                    <w:snapToGrid w:val="0"/>
                    <w:spacing w:line="240" w:lineRule="atLeast"/>
                    <w:jc w:val="center"/>
                    <w:rPr>
                      <w:rFonts w:hint="default" w:eastAsia="宋体"/>
                      <w:bCs/>
                      <w:color w:val="auto"/>
                      <w:sz w:val="18"/>
                      <w:szCs w:val="18"/>
                      <w:lang w:val="en-US" w:eastAsia="zh-CN"/>
                    </w:rPr>
                  </w:pPr>
                  <w:r>
                    <w:rPr>
                      <w:rFonts w:hint="eastAsia"/>
                      <w:bCs/>
                      <w:color w:val="auto"/>
                      <w:sz w:val="18"/>
                      <w:szCs w:val="18"/>
                      <w:lang w:val="en"/>
                    </w:rPr>
                    <w:t>本项目</w:t>
                  </w:r>
                  <w:r>
                    <w:rPr>
                      <w:rFonts w:hint="eastAsia"/>
                      <w:bCs/>
                      <w:color w:val="auto"/>
                      <w:sz w:val="18"/>
                      <w:szCs w:val="18"/>
                      <w:lang w:val="en-US" w:eastAsia="zh-CN"/>
                    </w:rPr>
                    <w:t>所使用能源为液化天然气，属于清洁能源</w:t>
                  </w:r>
                  <w:r>
                    <w:rPr>
                      <w:rFonts w:hint="eastAsia"/>
                      <w:bCs/>
                      <w:color w:val="auto"/>
                      <w:sz w:val="18"/>
                      <w:szCs w:val="18"/>
                      <w:lang w:val="en"/>
                    </w:rPr>
                    <w:t>。</w:t>
                  </w:r>
                  <w:r>
                    <w:rPr>
                      <w:rFonts w:hint="eastAsia"/>
                      <w:bCs/>
                      <w:color w:val="auto"/>
                      <w:sz w:val="18"/>
                      <w:szCs w:val="18"/>
                      <w:lang w:val="en-US" w:eastAsia="zh-CN"/>
                    </w:rPr>
                    <w:t>燃烧废气采用陶瓷纤维脱硝除尘一体烟气净化系统（调质脱硫塔+陶瓷滤筒脱硝除尘），确保废气达标排放。</w:t>
                  </w:r>
                </w:p>
              </w:tc>
              <w:tc>
                <w:tcPr>
                  <w:tcW w:w="773" w:type="dxa"/>
                  <w:noWrap w:val="0"/>
                  <w:vAlign w:val="center"/>
                </w:tcPr>
                <w:p w14:paraId="789F16A9">
                  <w:pPr>
                    <w:snapToGrid w:val="0"/>
                    <w:spacing w:line="240" w:lineRule="atLeast"/>
                    <w:jc w:val="center"/>
                    <w:rPr>
                      <w:bCs/>
                      <w:color w:val="auto"/>
                      <w:sz w:val="18"/>
                      <w:szCs w:val="18"/>
                    </w:rPr>
                  </w:pPr>
                  <w:r>
                    <w:rPr>
                      <w:bCs/>
                      <w:color w:val="auto"/>
                      <w:sz w:val="18"/>
                      <w:szCs w:val="18"/>
                    </w:rPr>
                    <w:t>符合</w:t>
                  </w:r>
                </w:p>
              </w:tc>
            </w:tr>
            <w:tr w14:paraId="09AD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7" w:type="dxa"/>
                  <w:noWrap w:val="0"/>
                  <w:vAlign w:val="center"/>
                </w:tcPr>
                <w:p w14:paraId="1A92175A">
                  <w:pPr>
                    <w:snapToGrid w:val="0"/>
                    <w:spacing w:line="240" w:lineRule="atLeast"/>
                    <w:jc w:val="center"/>
                    <w:rPr>
                      <w:rFonts w:hint="eastAsia"/>
                      <w:bCs/>
                      <w:color w:val="auto"/>
                      <w:sz w:val="18"/>
                      <w:szCs w:val="18"/>
                      <w:lang w:val="en"/>
                    </w:rPr>
                  </w:pPr>
                  <w:r>
                    <w:rPr>
                      <w:rFonts w:hint="eastAsia"/>
                      <w:bCs/>
                      <w:color w:val="auto"/>
                      <w:sz w:val="18"/>
                      <w:szCs w:val="18"/>
                      <w:lang w:val="en"/>
                    </w:rPr>
                    <w:t>加强大气面源污染治理。聚焦PM</w:t>
                  </w:r>
                  <w:r>
                    <w:rPr>
                      <w:rFonts w:hint="eastAsia"/>
                      <w:bCs/>
                      <w:color w:val="auto"/>
                      <w:sz w:val="18"/>
                      <w:szCs w:val="18"/>
                      <w:vertAlign w:val="subscript"/>
                      <w:lang w:val="en"/>
                    </w:rPr>
                    <w:t>10</w:t>
                  </w:r>
                  <w:r>
                    <w:rPr>
                      <w:rFonts w:hint="eastAsia"/>
                      <w:bCs/>
                      <w:color w:val="auto"/>
                      <w:sz w:val="18"/>
                      <w:szCs w:val="18"/>
                      <w:lang w:val="en"/>
                    </w:rPr>
                    <w:t>治理，研究制订建筑施工颗粒物控制地方标准，强化施工、道路等扬尘管控，积极推行绿色施工。加强城市保洁和清扫，持续推进道路清扫保洁机械化作业向乡镇延伸。推行绿色矿山建设，对现存各类露天矿山加强执法检查，杜绝环境违法行为。加强降尘监测，定期公布降尘结果，皖北6市降尘量不高于7吨/月•平方公里，其他10市不高于5吨/月•平方公里。加大餐饮油烟污染、恶臭异味治理力度，实施餐饮业环境保护技术规范，对群众反映强烈的恶臭异味扰民问题强化排查整治。强化秸秆综合利用和禁烧管控。全力推进烟花爆竹禁限放，提前谋划部署，研究扩大禁燃禁放范围，切实减轻烟花爆竹燃放污染。对使用消耗臭氧层物质和氢氟碳化物的企业加强监督检查。</w:t>
                  </w:r>
                </w:p>
              </w:tc>
              <w:tc>
                <w:tcPr>
                  <w:tcW w:w="1995" w:type="dxa"/>
                  <w:noWrap w:val="0"/>
                  <w:vAlign w:val="center"/>
                </w:tcPr>
                <w:p w14:paraId="5C4C93AC">
                  <w:pPr>
                    <w:snapToGrid w:val="0"/>
                    <w:spacing w:line="240" w:lineRule="atLeast"/>
                    <w:jc w:val="center"/>
                    <w:rPr>
                      <w:rFonts w:hint="eastAsia"/>
                      <w:bCs/>
                      <w:color w:val="auto"/>
                      <w:sz w:val="18"/>
                      <w:szCs w:val="18"/>
                      <w:lang w:val="en"/>
                    </w:rPr>
                  </w:pPr>
                  <w:r>
                    <w:rPr>
                      <w:rFonts w:hint="eastAsia"/>
                      <w:bCs/>
                      <w:color w:val="auto"/>
                      <w:sz w:val="18"/>
                      <w:szCs w:val="18"/>
                      <w:lang w:val="en"/>
                    </w:rPr>
                    <w:t>本项目施工期</w:t>
                  </w:r>
                  <w:r>
                    <w:rPr>
                      <w:rFonts w:hint="eastAsia"/>
                      <w:bCs/>
                      <w:color w:val="auto"/>
                      <w:sz w:val="18"/>
                      <w:szCs w:val="18"/>
                      <w:lang w:val="en-US" w:eastAsia="zh-CN"/>
                    </w:rPr>
                    <w:t>严格执行“六个百分百”</w:t>
                  </w:r>
                  <w:r>
                    <w:rPr>
                      <w:rFonts w:hint="eastAsia"/>
                      <w:bCs/>
                      <w:color w:val="auto"/>
                      <w:sz w:val="18"/>
                      <w:szCs w:val="18"/>
                      <w:lang w:val="en"/>
                    </w:rPr>
                    <w:t>。</w:t>
                  </w:r>
                </w:p>
              </w:tc>
              <w:tc>
                <w:tcPr>
                  <w:tcW w:w="773" w:type="dxa"/>
                  <w:noWrap w:val="0"/>
                  <w:vAlign w:val="center"/>
                </w:tcPr>
                <w:p w14:paraId="6B6612DD">
                  <w:pPr>
                    <w:snapToGrid w:val="0"/>
                    <w:spacing w:line="240" w:lineRule="atLeast"/>
                    <w:jc w:val="center"/>
                    <w:rPr>
                      <w:bCs/>
                      <w:color w:val="auto"/>
                      <w:sz w:val="18"/>
                      <w:szCs w:val="18"/>
                    </w:rPr>
                  </w:pPr>
                  <w:r>
                    <w:rPr>
                      <w:bCs/>
                      <w:color w:val="auto"/>
                      <w:sz w:val="18"/>
                      <w:szCs w:val="18"/>
                    </w:rPr>
                    <w:t>符合</w:t>
                  </w:r>
                </w:p>
              </w:tc>
            </w:tr>
          </w:tbl>
          <w:p w14:paraId="73AE2A83">
            <w:pPr>
              <w:spacing w:line="360" w:lineRule="auto"/>
              <w:ind w:firstLine="371" w:firstLineChars="177"/>
              <w:rPr>
                <w:color w:val="auto"/>
                <w:szCs w:val="21"/>
              </w:rPr>
            </w:pPr>
            <w:r>
              <w:rPr>
                <w:rFonts w:hint="eastAsia"/>
                <w:color w:val="auto"/>
                <w:szCs w:val="21"/>
              </w:rPr>
              <w:t>由表1-</w:t>
            </w:r>
            <w:r>
              <w:rPr>
                <w:rFonts w:hint="eastAsia"/>
                <w:color w:val="auto"/>
                <w:szCs w:val="21"/>
                <w:lang w:val="en-US" w:eastAsia="zh-CN"/>
              </w:rPr>
              <w:t>5</w:t>
            </w:r>
            <w:r>
              <w:rPr>
                <w:rFonts w:hint="eastAsia"/>
                <w:color w:val="auto"/>
                <w:szCs w:val="21"/>
              </w:rPr>
              <w:t>可知</w:t>
            </w:r>
            <w:r>
              <w:rPr>
                <w:color w:val="auto"/>
                <w:szCs w:val="21"/>
              </w:rPr>
              <w:t>，项目建设符合《</w:t>
            </w:r>
            <w:r>
              <w:rPr>
                <w:bCs/>
                <w:color w:val="auto"/>
                <w:szCs w:val="21"/>
              </w:rPr>
              <w:t>安徽省</w:t>
            </w:r>
            <w:r>
              <w:rPr>
                <w:rFonts w:hint="eastAsia"/>
                <w:bCs/>
                <w:color w:val="auto"/>
                <w:szCs w:val="21"/>
              </w:rPr>
              <w:t>2022年大气污染防治工作要点</w:t>
            </w:r>
            <w:r>
              <w:rPr>
                <w:bCs/>
                <w:color w:val="auto"/>
                <w:szCs w:val="21"/>
              </w:rPr>
              <w:t>》</w:t>
            </w:r>
            <w:r>
              <w:rPr>
                <w:rFonts w:hint="eastAsia"/>
                <w:bCs/>
                <w:color w:val="auto"/>
                <w:szCs w:val="21"/>
              </w:rPr>
              <w:t>（安环委办〔2022〕37号）</w:t>
            </w:r>
            <w:r>
              <w:rPr>
                <w:color w:val="auto"/>
                <w:szCs w:val="21"/>
              </w:rPr>
              <w:t>的要求。</w:t>
            </w:r>
          </w:p>
          <w:p w14:paraId="5E59D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5、与《关于印发淮南市涉气建设项目环评审批负面清单的通知》相符性分析</w:t>
            </w:r>
          </w:p>
          <w:p w14:paraId="7C068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表</w:t>
            </w:r>
            <w:r>
              <w:rPr>
                <w:rFonts w:hint="default" w:ascii="Times New Roman" w:hAnsi="Times New Roman" w:eastAsia="宋体" w:cs="Times New Roman"/>
                <w:b/>
                <w:bCs w:val="0"/>
                <w:color w:val="auto"/>
                <w:kern w:val="0"/>
                <w:sz w:val="21"/>
                <w:szCs w:val="21"/>
                <w:lang w:val="en-US" w:eastAsia="zh-CN" w:bidi="ar"/>
              </w:rPr>
              <w:t>1-</w:t>
            </w:r>
            <w:r>
              <w:rPr>
                <w:rFonts w:hint="eastAsia" w:ascii="Times New Roman" w:hAnsi="Times New Roman" w:eastAsia="宋体" w:cs="Times New Roman"/>
                <w:b/>
                <w:bCs w:val="0"/>
                <w:color w:val="auto"/>
                <w:kern w:val="0"/>
                <w:sz w:val="21"/>
                <w:szCs w:val="21"/>
                <w:lang w:val="en-US" w:eastAsia="zh-CN" w:bidi="ar"/>
              </w:rPr>
              <w:t xml:space="preserve">6 </w:t>
            </w:r>
            <w:r>
              <w:rPr>
                <w:rFonts w:hint="default" w:ascii="Times New Roman" w:hAnsi="Times New Roman" w:eastAsia="宋体" w:cs="Times New Roman"/>
                <w:b/>
                <w:bCs w:val="0"/>
                <w:color w:val="auto"/>
                <w:kern w:val="0"/>
                <w:sz w:val="21"/>
                <w:szCs w:val="21"/>
                <w:lang w:val="en-US" w:eastAsia="zh-CN" w:bidi="ar"/>
              </w:rPr>
              <w:t xml:space="preserve"> </w:t>
            </w:r>
            <w:r>
              <w:rPr>
                <w:rFonts w:hint="eastAsia" w:ascii="宋体" w:hAnsi="宋体" w:eastAsia="宋体" w:cs="宋体"/>
                <w:b/>
                <w:bCs w:val="0"/>
                <w:color w:val="auto"/>
                <w:kern w:val="0"/>
                <w:sz w:val="21"/>
                <w:szCs w:val="21"/>
                <w:lang w:val="en-US" w:eastAsia="zh-CN" w:bidi="ar"/>
              </w:rPr>
              <w:t>“</w:t>
            </w:r>
            <w:r>
              <w:rPr>
                <w:rFonts w:hint="eastAsia" w:ascii="宋体" w:hAnsi="宋体" w:eastAsia="宋体" w:cs="宋体"/>
                <w:b/>
                <w:bCs w:val="0"/>
                <w:color w:val="auto"/>
                <w:kern w:val="2"/>
                <w:sz w:val="21"/>
                <w:szCs w:val="21"/>
                <w:lang w:val="en-US" w:eastAsia="zh-CN" w:bidi="ar"/>
              </w:rPr>
              <w:t>淮南市涉气建设项目环评审批负面清单</w:t>
            </w:r>
            <w:r>
              <w:rPr>
                <w:rFonts w:hint="eastAsia" w:ascii="宋体" w:hAnsi="宋体" w:eastAsia="宋体" w:cs="宋体"/>
                <w:b/>
                <w:bCs w:val="0"/>
                <w:color w:val="auto"/>
                <w:kern w:val="0"/>
                <w:sz w:val="21"/>
                <w:szCs w:val="21"/>
                <w:lang w:val="en-US" w:eastAsia="zh-CN" w:bidi="ar"/>
              </w:rPr>
              <w:t>”符合性分析</w:t>
            </w:r>
          </w:p>
          <w:tbl>
            <w:tblPr>
              <w:tblStyle w:val="35"/>
              <w:tblW w:w="721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69"/>
              <w:gridCol w:w="1367"/>
              <w:gridCol w:w="2001"/>
              <w:gridCol w:w="1961"/>
              <w:gridCol w:w="1220"/>
            </w:tblGrid>
            <w:tr w14:paraId="30227D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6"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5623A8F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18"/>
                      <w:szCs w:val="18"/>
                    </w:rPr>
                  </w:pPr>
                  <w:r>
                    <w:rPr>
                      <w:rFonts w:hint="eastAsia" w:ascii="宋体" w:hAnsi="宋体" w:eastAsia="宋体" w:cs="宋体"/>
                      <w:b/>
                      <w:bCs/>
                      <w:color w:val="auto"/>
                      <w:kern w:val="2"/>
                      <w:sz w:val="18"/>
                      <w:szCs w:val="18"/>
                      <w:lang w:val="en-US" w:eastAsia="zh-CN" w:bidi="ar"/>
                    </w:rPr>
                    <w:t>序号</w:t>
                  </w:r>
                </w:p>
              </w:tc>
              <w:tc>
                <w:tcPr>
                  <w:tcW w:w="1367" w:type="dxa"/>
                  <w:tcBorders>
                    <w:top w:val="single" w:color="auto" w:sz="2" w:space="0"/>
                    <w:left w:val="single" w:color="auto" w:sz="2" w:space="0"/>
                    <w:bottom w:val="single" w:color="auto" w:sz="2" w:space="0"/>
                    <w:right w:val="single" w:color="auto" w:sz="2" w:space="0"/>
                  </w:tcBorders>
                  <w:noWrap/>
                  <w:vAlign w:val="center"/>
                </w:tcPr>
                <w:p w14:paraId="1BECB19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18"/>
                      <w:szCs w:val="18"/>
                    </w:rPr>
                  </w:pPr>
                  <w:r>
                    <w:rPr>
                      <w:rFonts w:hint="eastAsia" w:ascii="宋体" w:hAnsi="宋体" w:eastAsia="宋体" w:cs="宋体"/>
                      <w:b/>
                      <w:bCs/>
                      <w:color w:val="auto"/>
                      <w:kern w:val="2"/>
                      <w:sz w:val="18"/>
                      <w:szCs w:val="18"/>
                      <w:lang w:val="en-US" w:eastAsia="zh-CN" w:bidi="ar"/>
                    </w:rPr>
                    <w:t>重点工作任务</w:t>
                  </w:r>
                </w:p>
              </w:tc>
              <w:tc>
                <w:tcPr>
                  <w:tcW w:w="2001" w:type="dxa"/>
                  <w:tcBorders>
                    <w:top w:val="single" w:color="auto" w:sz="2" w:space="0"/>
                    <w:left w:val="single" w:color="auto" w:sz="2" w:space="0"/>
                    <w:bottom w:val="single" w:color="auto" w:sz="2" w:space="0"/>
                    <w:right w:val="single" w:color="auto" w:sz="2" w:space="0"/>
                  </w:tcBorders>
                  <w:noWrap/>
                  <w:vAlign w:val="center"/>
                </w:tcPr>
                <w:p w14:paraId="39EF6BA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18"/>
                      <w:szCs w:val="18"/>
                    </w:rPr>
                  </w:pPr>
                  <w:r>
                    <w:rPr>
                      <w:rFonts w:hint="eastAsia" w:ascii="宋体" w:hAnsi="宋体" w:eastAsia="宋体" w:cs="宋体"/>
                      <w:b/>
                      <w:bCs/>
                      <w:color w:val="auto"/>
                      <w:kern w:val="2"/>
                      <w:sz w:val="18"/>
                      <w:szCs w:val="18"/>
                      <w:lang w:val="en-US" w:eastAsia="zh-CN" w:bidi="ar"/>
                    </w:rPr>
                    <w:t>推进举措</w:t>
                  </w:r>
                </w:p>
              </w:tc>
              <w:tc>
                <w:tcPr>
                  <w:tcW w:w="1961" w:type="dxa"/>
                  <w:tcBorders>
                    <w:top w:val="single" w:color="auto" w:sz="2" w:space="0"/>
                    <w:left w:val="single" w:color="auto" w:sz="2" w:space="0"/>
                    <w:bottom w:val="single" w:color="auto" w:sz="2" w:space="0"/>
                    <w:right w:val="single" w:color="auto" w:sz="2" w:space="0"/>
                  </w:tcBorders>
                  <w:noWrap/>
                  <w:vAlign w:val="center"/>
                </w:tcPr>
                <w:p w14:paraId="3A4E7BE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18"/>
                      <w:szCs w:val="18"/>
                    </w:rPr>
                  </w:pPr>
                  <w:r>
                    <w:rPr>
                      <w:rFonts w:hint="eastAsia" w:ascii="宋体" w:hAnsi="宋体" w:eastAsia="宋体" w:cs="宋体"/>
                      <w:b/>
                      <w:bCs/>
                      <w:color w:val="auto"/>
                      <w:kern w:val="2"/>
                      <w:sz w:val="18"/>
                      <w:szCs w:val="18"/>
                      <w:lang w:val="en-US" w:eastAsia="zh-CN" w:bidi="ar"/>
                    </w:rPr>
                    <w:t>环评审批的负面清单</w:t>
                  </w:r>
                </w:p>
              </w:tc>
              <w:tc>
                <w:tcPr>
                  <w:tcW w:w="1220" w:type="dxa"/>
                  <w:tcBorders>
                    <w:top w:val="single" w:color="auto" w:sz="2" w:space="0"/>
                    <w:left w:val="single" w:color="auto" w:sz="2" w:space="0"/>
                    <w:bottom w:val="single" w:color="auto" w:sz="2" w:space="0"/>
                    <w:right w:val="single" w:color="auto" w:sz="2" w:space="0"/>
                  </w:tcBorders>
                  <w:noWrap/>
                  <w:vAlign w:val="center"/>
                </w:tcPr>
                <w:p w14:paraId="2295F78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18"/>
                      <w:szCs w:val="18"/>
                    </w:rPr>
                  </w:pPr>
                  <w:r>
                    <w:rPr>
                      <w:rFonts w:hint="eastAsia" w:ascii="宋体" w:hAnsi="宋体" w:eastAsia="宋体" w:cs="宋体"/>
                      <w:b/>
                      <w:bCs/>
                      <w:color w:val="auto"/>
                      <w:kern w:val="2"/>
                      <w:sz w:val="18"/>
                      <w:szCs w:val="18"/>
                      <w:lang w:val="en-US" w:eastAsia="zh-CN" w:bidi="ar"/>
                    </w:rPr>
                    <w:t>本项目情况</w:t>
                  </w:r>
                </w:p>
              </w:tc>
            </w:tr>
            <w:tr w14:paraId="4521BD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jc w:val="center"/>
              </w:trPr>
              <w:tc>
                <w:tcPr>
                  <w:tcW w:w="7218" w:type="dxa"/>
                  <w:gridSpan w:val="5"/>
                  <w:tcBorders>
                    <w:top w:val="single" w:color="auto" w:sz="2" w:space="0"/>
                    <w:left w:val="single" w:color="auto" w:sz="2" w:space="0"/>
                    <w:bottom w:val="single" w:color="auto" w:sz="2" w:space="0"/>
                    <w:right w:val="single" w:color="auto" w:sz="4" w:space="0"/>
                  </w:tcBorders>
                  <w:noWrap/>
                  <w:vAlign w:val="center"/>
                </w:tcPr>
                <w:p w14:paraId="3D41537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（一）坚决遏制高耗能、高排放、低水平项目盲目上马</w:t>
                  </w:r>
                </w:p>
              </w:tc>
            </w:tr>
            <w:tr w14:paraId="63355E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1"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0D7966B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1</w:t>
                  </w:r>
                </w:p>
              </w:tc>
              <w:tc>
                <w:tcPr>
                  <w:tcW w:w="1367" w:type="dxa"/>
                  <w:tcBorders>
                    <w:top w:val="single" w:color="auto" w:sz="2" w:space="0"/>
                    <w:left w:val="single" w:color="auto" w:sz="2" w:space="0"/>
                    <w:bottom w:val="single" w:color="auto" w:sz="2" w:space="0"/>
                    <w:right w:val="single" w:color="auto" w:sz="2" w:space="0"/>
                  </w:tcBorders>
                  <w:noWrap/>
                  <w:vAlign w:val="center"/>
                </w:tcPr>
                <w:p w14:paraId="350B893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新改扩建项目严格落实国家产业政策要求，严把</w:t>
                  </w:r>
                  <w:r>
                    <w:rPr>
                      <w:rFonts w:hint="default"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两高</w:t>
                  </w:r>
                  <w:r>
                    <w:rPr>
                      <w:rFonts w:hint="default"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项目审批。</w:t>
                  </w:r>
                </w:p>
              </w:tc>
              <w:tc>
                <w:tcPr>
                  <w:tcW w:w="2001" w:type="dxa"/>
                  <w:tcBorders>
                    <w:top w:val="single" w:color="auto" w:sz="2" w:space="0"/>
                    <w:left w:val="single" w:color="auto" w:sz="2" w:space="0"/>
                    <w:bottom w:val="single" w:color="auto" w:sz="2" w:space="0"/>
                    <w:right w:val="single" w:color="auto" w:sz="2" w:space="0"/>
                  </w:tcBorders>
                  <w:noWrap/>
                  <w:vAlign w:val="center"/>
                </w:tcPr>
                <w:p w14:paraId="346FE04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高污染、高耗能</w:t>
                  </w:r>
                  <w:r>
                    <w:rPr>
                      <w:rFonts w:hint="eastAsia"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项目部门联审，严格论证项目建设必要性、可行性，推动行业集约发展和绿色转型。</w:t>
                  </w:r>
                </w:p>
              </w:tc>
              <w:tc>
                <w:tcPr>
                  <w:tcW w:w="1961" w:type="dxa"/>
                  <w:tcBorders>
                    <w:top w:val="single" w:color="auto" w:sz="2" w:space="0"/>
                    <w:left w:val="single" w:color="auto" w:sz="2" w:space="0"/>
                    <w:bottom w:val="single" w:color="auto" w:sz="2" w:space="0"/>
                    <w:right w:val="single" w:color="auto" w:sz="2" w:space="0"/>
                  </w:tcBorders>
                  <w:noWrap/>
                  <w:vAlign w:val="center"/>
                </w:tcPr>
                <w:p w14:paraId="2AAA19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1</w:t>
                  </w:r>
                  <w:r>
                    <w:rPr>
                      <w:rFonts w:hint="eastAsia" w:ascii="宋体" w:hAnsi="宋体" w:eastAsia="宋体" w:cs="宋体"/>
                      <w:b w:val="0"/>
                      <w:bCs w:val="0"/>
                      <w:color w:val="auto"/>
                      <w:kern w:val="2"/>
                      <w:sz w:val="18"/>
                      <w:szCs w:val="18"/>
                      <w:lang w:val="en-US" w:eastAsia="zh-CN" w:bidi="ar"/>
                    </w:rPr>
                    <w:t>、新改扩建项目严格落实国家产业规划、产业政策、生态环境分区管控方案、规划环评、项目环评、节能审查、产能置换、重点污染物总量控制、污染物排放区域削减、碳排放达峰目标等相关要求；</w:t>
                  </w:r>
                </w:p>
                <w:p w14:paraId="22522D3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w:t>
                  </w:r>
                  <w:r>
                    <w:rPr>
                      <w:rFonts w:hint="eastAsia" w:ascii="宋体" w:hAnsi="宋体" w:eastAsia="宋体" w:cs="宋体"/>
                      <w:color w:val="auto"/>
                      <w:kern w:val="2"/>
                      <w:sz w:val="18"/>
                      <w:szCs w:val="18"/>
                      <w:lang w:val="en-US" w:eastAsia="zh-CN" w:bidi="ar"/>
                    </w:rPr>
                    <w:t>、两高项目应实施部门联审。</w:t>
                  </w:r>
                </w:p>
              </w:tc>
              <w:tc>
                <w:tcPr>
                  <w:tcW w:w="1220" w:type="dxa"/>
                  <w:tcBorders>
                    <w:top w:val="single" w:color="auto" w:sz="2" w:space="0"/>
                    <w:left w:val="single" w:color="auto" w:sz="2" w:space="0"/>
                    <w:bottom w:val="single" w:color="auto" w:sz="2" w:space="0"/>
                    <w:right w:val="single" w:color="auto" w:sz="2" w:space="0"/>
                  </w:tcBorders>
                  <w:noWrap/>
                  <w:vAlign w:val="center"/>
                </w:tcPr>
                <w:p w14:paraId="23B99ED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本项目不属于“两高”项目</w:t>
                  </w:r>
                </w:p>
              </w:tc>
            </w:tr>
            <w:tr w14:paraId="6302A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2" w:hRule="atLeast"/>
                <w:jc w:val="center"/>
              </w:trPr>
              <w:tc>
                <w:tcPr>
                  <w:tcW w:w="669" w:type="dxa"/>
                  <w:vMerge w:val="restart"/>
                  <w:tcBorders>
                    <w:top w:val="nil"/>
                    <w:left w:val="single" w:color="auto" w:sz="2" w:space="0"/>
                    <w:bottom w:val="single" w:color="auto" w:sz="2" w:space="0"/>
                    <w:right w:val="single" w:color="auto" w:sz="2" w:space="0"/>
                  </w:tcBorders>
                  <w:noWrap/>
                  <w:vAlign w:val="center"/>
                </w:tcPr>
                <w:p w14:paraId="1B04DB7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w:t>
                  </w:r>
                </w:p>
              </w:tc>
              <w:tc>
                <w:tcPr>
                  <w:tcW w:w="1367" w:type="dxa"/>
                  <w:vMerge w:val="restart"/>
                  <w:tcBorders>
                    <w:top w:val="nil"/>
                    <w:left w:val="single" w:color="auto" w:sz="2" w:space="0"/>
                    <w:bottom w:val="single" w:color="auto" w:sz="2" w:space="0"/>
                    <w:right w:val="single" w:color="auto" w:sz="2" w:space="0"/>
                  </w:tcBorders>
                  <w:noWrap/>
                  <w:vAlign w:val="center"/>
                </w:tcPr>
                <w:p w14:paraId="50360ED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严格落实产能置换要求。</w:t>
                  </w:r>
                </w:p>
              </w:tc>
              <w:tc>
                <w:tcPr>
                  <w:tcW w:w="2001" w:type="dxa"/>
                  <w:tcBorders>
                    <w:top w:val="single" w:color="auto" w:sz="2" w:space="0"/>
                    <w:left w:val="single" w:color="auto" w:sz="2" w:space="0"/>
                    <w:bottom w:val="single" w:color="auto" w:sz="2" w:space="0"/>
                    <w:right w:val="single" w:color="auto" w:sz="2" w:space="0"/>
                  </w:tcBorders>
                  <w:noWrap/>
                  <w:vAlign w:val="center"/>
                </w:tcPr>
                <w:p w14:paraId="40816B1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推动产能过剩行业减量发展、优化布局。不以任何名义、任何方式核准、备案产能严重过剩行业新增产能项目。</w:t>
                  </w:r>
                </w:p>
              </w:tc>
              <w:tc>
                <w:tcPr>
                  <w:tcW w:w="1961" w:type="dxa"/>
                  <w:tcBorders>
                    <w:top w:val="single" w:color="auto" w:sz="2" w:space="0"/>
                    <w:left w:val="single" w:color="auto" w:sz="2" w:space="0"/>
                    <w:bottom w:val="single" w:color="auto" w:sz="2" w:space="0"/>
                    <w:right w:val="single" w:color="auto" w:sz="2" w:space="0"/>
                  </w:tcBorders>
                  <w:noWrap/>
                  <w:vAlign w:val="center"/>
                </w:tcPr>
                <w:p w14:paraId="5A0833C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严重过剩行业新增产能项目环评不予审批。</w:t>
                  </w:r>
                </w:p>
              </w:tc>
              <w:tc>
                <w:tcPr>
                  <w:tcW w:w="1220" w:type="dxa"/>
                  <w:tcBorders>
                    <w:top w:val="single" w:color="auto" w:sz="2" w:space="0"/>
                    <w:left w:val="single" w:color="auto" w:sz="2" w:space="0"/>
                    <w:bottom w:val="single" w:color="auto" w:sz="2" w:space="0"/>
                    <w:right w:val="single" w:color="auto" w:sz="2" w:space="0"/>
                  </w:tcBorders>
                  <w:noWrap/>
                  <w:vAlign w:val="center"/>
                </w:tcPr>
                <w:p w14:paraId="5D52F4C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本项目进行日用玻璃生产加工，不进行平板玻璃生产，不属于过程产能。</w:t>
                  </w:r>
                </w:p>
              </w:tc>
            </w:tr>
            <w:tr w14:paraId="1B34F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52" w:hRule="atLeast"/>
                <w:jc w:val="center"/>
              </w:trPr>
              <w:tc>
                <w:tcPr>
                  <w:tcW w:w="669" w:type="dxa"/>
                  <w:vMerge w:val="continue"/>
                  <w:tcBorders>
                    <w:top w:val="nil"/>
                    <w:left w:val="single" w:color="auto" w:sz="2" w:space="0"/>
                    <w:bottom w:val="single" w:color="auto" w:sz="2" w:space="0"/>
                    <w:right w:val="single" w:color="auto" w:sz="2" w:space="0"/>
                  </w:tcBorders>
                  <w:noWrap/>
                  <w:vAlign w:val="center"/>
                </w:tcPr>
                <w:p w14:paraId="5290476F">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c>
                <w:tcPr>
                  <w:tcW w:w="1367" w:type="dxa"/>
                  <w:vMerge w:val="continue"/>
                  <w:tcBorders>
                    <w:top w:val="nil"/>
                    <w:left w:val="single" w:color="auto" w:sz="2" w:space="0"/>
                    <w:bottom w:val="single" w:color="auto" w:sz="2" w:space="0"/>
                    <w:right w:val="single" w:color="auto" w:sz="2" w:space="0"/>
                  </w:tcBorders>
                  <w:noWrap/>
                  <w:vAlign w:val="center"/>
                </w:tcPr>
                <w:p w14:paraId="57936860">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c>
                <w:tcPr>
                  <w:tcW w:w="2001" w:type="dxa"/>
                  <w:tcBorders>
                    <w:top w:val="single" w:color="auto" w:sz="2" w:space="0"/>
                    <w:left w:val="single" w:color="auto" w:sz="2" w:space="0"/>
                    <w:bottom w:val="single" w:color="auto" w:sz="2" w:space="0"/>
                    <w:right w:val="single" w:color="auto" w:sz="2" w:space="0"/>
                  </w:tcBorders>
                  <w:noWrap/>
                  <w:vAlign w:val="center"/>
                </w:tcPr>
                <w:p w14:paraId="39A8BEE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被置换产能及其配套设施关停后，新建项目方可投产。</w:t>
                  </w:r>
                </w:p>
              </w:tc>
              <w:tc>
                <w:tcPr>
                  <w:tcW w:w="1961" w:type="dxa"/>
                  <w:tcBorders>
                    <w:top w:val="single" w:color="auto" w:sz="2" w:space="0"/>
                    <w:left w:val="single" w:color="auto" w:sz="2" w:space="0"/>
                    <w:bottom w:val="single" w:color="auto" w:sz="2" w:space="0"/>
                    <w:right w:val="single" w:color="auto" w:sz="2" w:space="0"/>
                  </w:tcBorders>
                  <w:noWrap/>
                  <w:vAlign w:val="center"/>
                </w:tcPr>
                <w:p w14:paraId="4E6FB4B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涉及产能置换项目环评阶段应取得置换产能。</w:t>
                  </w:r>
                </w:p>
              </w:tc>
              <w:tc>
                <w:tcPr>
                  <w:tcW w:w="1220" w:type="dxa"/>
                  <w:tcBorders>
                    <w:top w:val="single" w:color="auto" w:sz="2" w:space="0"/>
                    <w:left w:val="single" w:color="auto" w:sz="2" w:space="0"/>
                    <w:bottom w:val="single" w:color="auto" w:sz="2" w:space="0"/>
                    <w:right w:val="single" w:color="auto" w:sz="2" w:space="0"/>
                  </w:tcBorders>
                  <w:noWrap/>
                  <w:vAlign w:val="center"/>
                </w:tcPr>
                <w:p w14:paraId="712A723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本项目不涉及产能置换</w:t>
                  </w:r>
                </w:p>
              </w:tc>
            </w:tr>
            <w:tr w14:paraId="3A5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5" w:hRule="atLeast"/>
                <w:jc w:val="center"/>
              </w:trPr>
              <w:tc>
                <w:tcPr>
                  <w:tcW w:w="7218" w:type="dxa"/>
                  <w:gridSpan w:val="5"/>
                  <w:tcBorders>
                    <w:top w:val="single" w:color="auto" w:sz="2" w:space="0"/>
                    <w:left w:val="single" w:color="auto" w:sz="2" w:space="0"/>
                    <w:bottom w:val="single" w:color="auto" w:sz="2" w:space="0"/>
                    <w:right w:val="single" w:color="auto" w:sz="4" w:space="0"/>
                  </w:tcBorders>
                  <w:noWrap/>
                  <w:vAlign w:val="center"/>
                </w:tcPr>
                <w:p w14:paraId="78E779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（二）有序推动落后产能淘汰</w:t>
                  </w:r>
                </w:p>
              </w:tc>
            </w:tr>
            <w:tr w14:paraId="40C6D4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07" w:hRule="atLeast"/>
                <w:jc w:val="center"/>
              </w:trPr>
              <w:tc>
                <w:tcPr>
                  <w:tcW w:w="669" w:type="dxa"/>
                  <w:vMerge w:val="restart"/>
                  <w:tcBorders>
                    <w:top w:val="nil"/>
                    <w:left w:val="single" w:color="auto" w:sz="2" w:space="0"/>
                    <w:bottom w:val="single" w:color="auto" w:sz="2" w:space="0"/>
                    <w:right w:val="single" w:color="auto" w:sz="2" w:space="0"/>
                  </w:tcBorders>
                  <w:noWrap/>
                  <w:vAlign w:val="center"/>
                </w:tcPr>
                <w:p w14:paraId="2E15EC8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5</w:t>
                  </w:r>
                </w:p>
              </w:tc>
              <w:tc>
                <w:tcPr>
                  <w:tcW w:w="1367" w:type="dxa"/>
                  <w:vMerge w:val="restart"/>
                  <w:tcBorders>
                    <w:top w:val="single" w:color="auto" w:sz="2" w:space="0"/>
                    <w:left w:val="single" w:color="auto" w:sz="2" w:space="0"/>
                    <w:bottom w:val="single" w:color="auto" w:sz="2" w:space="0"/>
                    <w:right w:val="single" w:color="auto" w:sz="2" w:space="0"/>
                  </w:tcBorders>
                  <w:noWrap/>
                  <w:vAlign w:val="center"/>
                </w:tcPr>
                <w:p w14:paraId="1E800F8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有序推动生产设施老旧、工艺水平落后、环境管理水平低下等企业退出市场。</w:t>
                  </w:r>
                </w:p>
              </w:tc>
              <w:tc>
                <w:tcPr>
                  <w:tcW w:w="2001" w:type="dxa"/>
                  <w:tcBorders>
                    <w:top w:val="single" w:color="auto" w:sz="2" w:space="0"/>
                    <w:left w:val="single" w:color="auto" w:sz="2" w:space="0"/>
                    <w:bottom w:val="single" w:color="auto" w:sz="2" w:space="0"/>
                    <w:right w:val="single" w:color="auto" w:sz="2" w:space="0"/>
                  </w:tcBorders>
                  <w:noWrap/>
                  <w:vAlign w:val="center"/>
                </w:tcPr>
                <w:p w14:paraId="61C27B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逐步淘汰步进式烧结机和球团竖炉以及半封闭式硅锰合金、镍铁、高碳铬铁、高碳锰铁电炉。</w:t>
                  </w:r>
                </w:p>
              </w:tc>
              <w:tc>
                <w:tcPr>
                  <w:tcW w:w="1961" w:type="dxa"/>
                  <w:tcBorders>
                    <w:top w:val="single" w:color="auto" w:sz="2" w:space="0"/>
                    <w:left w:val="single" w:color="auto" w:sz="2" w:space="0"/>
                    <w:bottom w:val="single" w:color="auto" w:sz="2" w:space="0"/>
                    <w:right w:val="single" w:color="auto" w:sz="2" w:space="0"/>
                  </w:tcBorders>
                  <w:noWrap/>
                  <w:vAlign w:val="center"/>
                </w:tcPr>
                <w:p w14:paraId="6B4FD52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采用步进式烧结机和球团竖炉以及半封闭式硅锰合金、镍铁、高碳铬铁、高碳锰铁电炉新建项目环评不予审批。</w:t>
                  </w:r>
                </w:p>
              </w:tc>
              <w:tc>
                <w:tcPr>
                  <w:tcW w:w="1220" w:type="dxa"/>
                  <w:vMerge w:val="restart"/>
                  <w:tcBorders>
                    <w:top w:val="single" w:color="auto" w:sz="2" w:space="0"/>
                    <w:left w:val="single" w:color="auto" w:sz="2" w:space="0"/>
                    <w:bottom w:val="single" w:color="auto" w:sz="2" w:space="0"/>
                    <w:right w:val="single" w:color="auto" w:sz="2" w:space="0"/>
                  </w:tcBorders>
                  <w:noWrap/>
                  <w:vAlign w:val="center"/>
                </w:tcPr>
                <w:p w14:paraId="5931450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本项目不涉及落后产能。不进行钢铁、铝、水泥等过剩产能产品加工。</w:t>
                  </w:r>
                </w:p>
              </w:tc>
            </w:tr>
            <w:tr w14:paraId="1FF450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4" w:hRule="atLeast"/>
                <w:jc w:val="center"/>
              </w:trPr>
              <w:tc>
                <w:tcPr>
                  <w:tcW w:w="669" w:type="dxa"/>
                  <w:vMerge w:val="continue"/>
                  <w:tcBorders>
                    <w:top w:val="nil"/>
                    <w:left w:val="single" w:color="auto" w:sz="2" w:space="0"/>
                    <w:bottom w:val="single" w:color="auto" w:sz="2" w:space="0"/>
                    <w:right w:val="single" w:color="auto" w:sz="2" w:space="0"/>
                  </w:tcBorders>
                  <w:noWrap/>
                  <w:vAlign w:val="center"/>
                </w:tcPr>
                <w:p w14:paraId="0058E18C">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367" w:type="dxa"/>
                  <w:vMerge w:val="continue"/>
                  <w:tcBorders>
                    <w:top w:val="single" w:color="auto" w:sz="2" w:space="0"/>
                    <w:left w:val="single" w:color="auto" w:sz="2" w:space="0"/>
                    <w:bottom w:val="single" w:color="auto" w:sz="2" w:space="0"/>
                    <w:right w:val="single" w:color="auto" w:sz="2" w:space="0"/>
                  </w:tcBorders>
                  <w:noWrap/>
                  <w:vAlign w:val="center"/>
                </w:tcPr>
                <w:p w14:paraId="643A2081">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c>
                <w:tcPr>
                  <w:tcW w:w="2001" w:type="dxa"/>
                  <w:tcBorders>
                    <w:top w:val="single" w:color="auto" w:sz="2" w:space="0"/>
                    <w:left w:val="single" w:color="auto" w:sz="2" w:space="0"/>
                    <w:bottom w:val="single" w:color="auto" w:sz="2" w:space="0"/>
                    <w:right w:val="single" w:color="auto" w:sz="2" w:space="0"/>
                  </w:tcBorders>
                  <w:noWrap/>
                  <w:vAlign w:val="center"/>
                </w:tcPr>
                <w:p w14:paraId="03E7E3E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有序推动落后煤炭洗选企业退出市场。</w:t>
                  </w:r>
                </w:p>
              </w:tc>
              <w:tc>
                <w:tcPr>
                  <w:tcW w:w="1961" w:type="dxa"/>
                  <w:tcBorders>
                    <w:top w:val="single" w:color="auto" w:sz="2" w:space="0"/>
                    <w:left w:val="single" w:color="auto" w:sz="2" w:space="0"/>
                    <w:bottom w:val="single" w:color="auto" w:sz="2" w:space="0"/>
                    <w:right w:val="single" w:color="auto" w:sz="2" w:space="0"/>
                  </w:tcBorders>
                  <w:noWrap/>
                  <w:vAlign w:val="center"/>
                </w:tcPr>
                <w:p w14:paraId="321DDD6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落后煤炭洗选项目不予审批。</w:t>
                  </w:r>
                </w:p>
              </w:tc>
              <w:tc>
                <w:tcPr>
                  <w:tcW w:w="1220" w:type="dxa"/>
                  <w:vMerge w:val="continue"/>
                  <w:tcBorders>
                    <w:top w:val="single" w:color="auto" w:sz="2" w:space="0"/>
                    <w:left w:val="single" w:color="auto" w:sz="2" w:space="0"/>
                    <w:bottom w:val="single" w:color="auto" w:sz="2" w:space="0"/>
                    <w:right w:val="single" w:color="auto" w:sz="2" w:space="0"/>
                  </w:tcBorders>
                  <w:noWrap/>
                  <w:vAlign w:val="center"/>
                </w:tcPr>
                <w:p w14:paraId="4DEC67BE">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r>
            <w:tr w14:paraId="02FB4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8" w:hRule="atLeast"/>
                <w:jc w:val="center"/>
              </w:trPr>
              <w:tc>
                <w:tcPr>
                  <w:tcW w:w="669" w:type="dxa"/>
                  <w:vMerge w:val="continue"/>
                  <w:tcBorders>
                    <w:top w:val="nil"/>
                    <w:left w:val="single" w:color="auto" w:sz="2" w:space="0"/>
                    <w:bottom w:val="single" w:color="auto" w:sz="2" w:space="0"/>
                    <w:right w:val="single" w:color="auto" w:sz="2" w:space="0"/>
                  </w:tcBorders>
                  <w:noWrap/>
                  <w:vAlign w:val="center"/>
                </w:tcPr>
                <w:p w14:paraId="2FC30326">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367" w:type="dxa"/>
                  <w:vMerge w:val="continue"/>
                  <w:tcBorders>
                    <w:top w:val="single" w:color="auto" w:sz="2" w:space="0"/>
                    <w:left w:val="single" w:color="auto" w:sz="2" w:space="0"/>
                    <w:bottom w:val="single" w:color="auto" w:sz="2" w:space="0"/>
                    <w:right w:val="single" w:color="auto" w:sz="2" w:space="0"/>
                  </w:tcBorders>
                  <w:noWrap/>
                  <w:vAlign w:val="center"/>
                </w:tcPr>
                <w:p w14:paraId="22DBFB94">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c>
                <w:tcPr>
                  <w:tcW w:w="2001" w:type="dxa"/>
                  <w:tcBorders>
                    <w:top w:val="single" w:color="auto" w:sz="2" w:space="0"/>
                    <w:left w:val="single" w:color="auto" w:sz="2" w:space="0"/>
                    <w:bottom w:val="single" w:color="auto" w:sz="2" w:space="0"/>
                    <w:right w:val="single" w:color="auto" w:sz="2" w:space="0"/>
                  </w:tcBorders>
                  <w:noWrap/>
                  <w:vAlign w:val="center"/>
                </w:tcPr>
                <w:p w14:paraId="6689085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禁止铝加工（深井铸造）企业新改扩建项目采用固定式保温炉组、钢丝绳铸造机。</w:t>
                  </w:r>
                </w:p>
              </w:tc>
              <w:tc>
                <w:tcPr>
                  <w:tcW w:w="1961" w:type="dxa"/>
                  <w:tcBorders>
                    <w:top w:val="single" w:color="auto" w:sz="2" w:space="0"/>
                    <w:left w:val="single" w:color="auto" w:sz="2" w:space="0"/>
                    <w:bottom w:val="single" w:color="auto" w:sz="2" w:space="0"/>
                    <w:right w:val="single" w:color="auto" w:sz="2" w:space="0"/>
                  </w:tcBorders>
                  <w:noWrap/>
                  <w:vAlign w:val="center"/>
                </w:tcPr>
                <w:p w14:paraId="7D6C4E9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采用固定式保温炉组、钢丝绳铸造机的新改扩建铝加工（深井铸造）项目环评不予审批。</w:t>
                  </w:r>
                </w:p>
              </w:tc>
              <w:tc>
                <w:tcPr>
                  <w:tcW w:w="1220" w:type="dxa"/>
                  <w:vMerge w:val="continue"/>
                  <w:tcBorders>
                    <w:top w:val="single" w:color="auto" w:sz="2" w:space="0"/>
                    <w:left w:val="single" w:color="auto" w:sz="2" w:space="0"/>
                    <w:bottom w:val="single" w:color="auto" w:sz="2" w:space="0"/>
                    <w:right w:val="single" w:color="auto" w:sz="2" w:space="0"/>
                  </w:tcBorders>
                  <w:noWrap/>
                  <w:vAlign w:val="center"/>
                </w:tcPr>
                <w:p w14:paraId="6B26890E">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r>
            <w:tr w14:paraId="51D26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59"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3106055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6</w:t>
                  </w:r>
                </w:p>
              </w:tc>
              <w:tc>
                <w:tcPr>
                  <w:tcW w:w="1367" w:type="dxa"/>
                  <w:tcBorders>
                    <w:top w:val="single" w:color="auto" w:sz="2" w:space="0"/>
                    <w:left w:val="single" w:color="auto" w:sz="2" w:space="0"/>
                    <w:bottom w:val="single" w:color="auto" w:sz="2" w:space="0"/>
                    <w:right w:val="single" w:color="auto" w:sz="2" w:space="0"/>
                  </w:tcBorders>
                  <w:noWrap/>
                  <w:vAlign w:val="center"/>
                </w:tcPr>
                <w:p w14:paraId="7CD0EF0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严禁违规新增产能。</w:t>
                  </w:r>
                </w:p>
              </w:tc>
              <w:tc>
                <w:tcPr>
                  <w:tcW w:w="2001" w:type="dxa"/>
                  <w:tcBorders>
                    <w:top w:val="single" w:color="auto" w:sz="2" w:space="0"/>
                    <w:left w:val="single" w:color="auto" w:sz="2" w:space="0"/>
                    <w:bottom w:val="single" w:color="auto" w:sz="2" w:space="0"/>
                    <w:right w:val="single" w:color="auto" w:sz="2" w:space="0"/>
                  </w:tcBorders>
                  <w:noWrap/>
                  <w:vAlign w:val="center"/>
                </w:tcPr>
                <w:p w14:paraId="2C939CC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严禁违规新增钢铁、水泥（熟料）、焦化、电解铝、平板玻璃（不含光伏压延玻璃）产能。</w:t>
                  </w:r>
                </w:p>
              </w:tc>
              <w:tc>
                <w:tcPr>
                  <w:tcW w:w="1961" w:type="dxa"/>
                  <w:tcBorders>
                    <w:top w:val="single" w:color="auto" w:sz="2" w:space="0"/>
                    <w:left w:val="single" w:color="auto" w:sz="2" w:space="0"/>
                    <w:bottom w:val="single" w:color="auto" w:sz="2" w:space="0"/>
                    <w:right w:val="single" w:color="auto" w:sz="2" w:space="0"/>
                  </w:tcBorders>
                  <w:noWrap/>
                  <w:vAlign w:val="center"/>
                </w:tcPr>
                <w:p w14:paraId="139F5B0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违规新增钢铁、水泥（熟料）、焦化、电解铝、平板玻璃（不含光伏压延玻璃）产能项目环评不予审批。</w:t>
                  </w:r>
                </w:p>
              </w:tc>
              <w:tc>
                <w:tcPr>
                  <w:tcW w:w="1220" w:type="dxa"/>
                  <w:vMerge w:val="continue"/>
                  <w:tcBorders>
                    <w:top w:val="single" w:color="auto" w:sz="2" w:space="0"/>
                    <w:left w:val="single" w:color="auto" w:sz="2" w:space="0"/>
                    <w:bottom w:val="single" w:color="auto" w:sz="2" w:space="0"/>
                    <w:right w:val="single" w:color="auto" w:sz="2" w:space="0"/>
                  </w:tcBorders>
                  <w:noWrap/>
                  <w:vAlign w:val="center"/>
                </w:tcPr>
                <w:p w14:paraId="3B23B77C">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r>
            <w:tr w14:paraId="01166A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jc w:val="center"/>
              </w:trPr>
              <w:tc>
                <w:tcPr>
                  <w:tcW w:w="7218" w:type="dxa"/>
                  <w:gridSpan w:val="5"/>
                  <w:tcBorders>
                    <w:top w:val="single" w:color="auto" w:sz="2" w:space="0"/>
                    <w:left w:val="single" w:color="auto" w:sz="2" w:space="0"/>
                    <w:bottom w:val="single" w:color="auto" w:sz="2" w:space="0"/>
                    <w:right w:val="single" w:color="auto" w:sz="2" w:space="0"/>
                  </w:tcBorders>
                  <w:noWrap/>
                  <w:vAlign w:val="center"/>
                </w:tcPr>
                <w:p w14:paraId="77E6C8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（六）推动煤炭消费减量替代</w:t>
                  </w:r>
                </w:p>
              </w:tc>
            </w:tr>
            <w:tr w14:paraId="5752B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682"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3D657B7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16</w:t>
                  </w:r>
                </w:p>
              </w:tc>
              <w:tc>
                <w:tcPr>
                  <w:tcW w:w="1367" w:type="dxa"/>
                  <w:tcBorders>
                    <w:top w:val="single" w:color="auto" w:sz="2" w:space="0"/>
                    <w:left w:val="single" w:color="auto" w:sz="2" w:space="0"/>
                    <w:bottom w:val="single" w:color="auto" w:sz="2" w:space="0"/>
                    <w:right w:val="single" w:color="auto" w:sz="2" w:space="0"/>
                  </w:tcBorders>
                  <w:noWrap/>
                  <w:vAlign w:val="center"/>
                </w:tcPr>
                <w:p w14:paraId="109F02A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推动煤炭等量或减量替代。</w:t>
                  </w:r>
                </w:p>
              </w:tc>
              <w:tc>
                <w:tcPr>
                  <w:tcW w:w="2001" w:type="dxa"/>
                  <w:tcBorders>
                    <w:top w:val="single" w:color="auto" w:sz="2" w:space="0"/>
                    <w:left w:val="single" w:color="auto" w:sz="2" w:space="0"/>
                    <w:bottom w:val="single" w:color="auto" w:sz="2" w:space="0"/>
                    <w:right w:val="single" w:color="auto" w:sz="2" w:space="0"/>
                  </w:tcBorders>
                  <w:noWrap/>
                  <w:vAlign w:val="center"/>
                </w:tcPr>
                <w:p w14:paraId="3D0CA1B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重点区域新改扩建用煤项目，依法实行煤炭等量或减量替代，替代方案不完善的能评、环评等不予审批；不得使用石油焦、焦炭、兰炭等高污染燃料作为煤炭减量替代措施。</w:t>
                  </w:r>
                </w:p>
              </w:tc>
              <w:tc>
                <w:tcPr>
                  <w:tcW w:w="1961" w:type="dxa"/>
                  <w:tcBorders>
                    <w:top w:val="single" w:color="auto" w:sz="2" w:space="0"/>
                    <w:left w:val="single" w:color="auto" w:sz="2" w:space="0"/>
                    <w:bottom w:val="single" w:color="auto" w:sz="2" w:space="0"/>
                    <w:right w:val="single" w:color="auto" w:sz="2" w:space="0"/>
                  </w:tcBorders>
                  <w:noWrap/>
                  <w:vAlign w:val="center"/>
                </w:tcPr>
                <w:p w14:paraId="7DB668D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重点区域新改扩建用煤项目，依法实行煤炭等量或减量替代，替代方案不完善的环评不予审批；不得使用石油焦、焦炭、兰炭等高污染燃料作为煤炭减量替代措施。</w:t>
                  </w:r>
                </w:p>
              </w:tc>
              <w:tc>
                <w:tcPr>
                  <w:tcW w:w="1220" w:type="dxa"/>
                  <w:tcBorders>
                    <w:top w:val="single" w:color="auto" w:sz="2" w:space="0"/>
                    <w:left w:val="single" w:color="auto" w:sz="2" w:space="0"/>
                    <w:bottom w:val="single" w:color="auto" w:sz="2" w:space="0"/>
                    <w:right w:val="single" w:color="auto" w:sz="2" w:space="0"/>
                  </w:tcBorders>
                  <w:noWrap/>
                  <w:vAlign w:val="center"/>
                </w:tcPr>
                <w:p w14:paraId="4CB8F8A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本项目主要生产采用电、天然气、液化石油气作为能源，不涉及煤等资源能源</w:t>
                  </w:r>
                </w:p>
              </w:tc>
            </w:tr>
            <w:tr w14:paraId="4A8945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7" w:hRule="atLeast"/>
                <w:jc w:val="center"/>
              </w:trPr>
              <w:tc>
                <w:tcPr>
                  <w:tcW w:w="7218" w:type="dxa"/>
                  <w:gridSpan w:val="5"/>
                  <w:tcBorders>
                    <w:top w:val="single" w:color="auto" w:sz="2" w:space="0"/>
                    <w:left w:val="single" w:color="auto" w:sz="2" w:space="0"/>
                    <w:bottom w:val="single" w:color="auto" w:sz="2" w:space="0"/>
                    <w:right w:val="single" w:color="auto" w:sz="4" w:space="0"/>
                  </w:tcBorders>
                  <w:noWrap/>
                  <w:vAlign w:val="center"/>
                </w:tcPr>
                <w:p w14:paraId="6DCED44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（七）加快推动燃煤锅炉机组升级改造</w:t>
                  </w:r>
                </w:p>
              </w:tc>
            </w:tr>
            <w:tr w14:paraId="1ECCDC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89"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1DFEFFD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19</w:t>
                  </w:r>
                </w:p>
              </w:tc>
              <w:tc>
                <w:tcPr>
                  <w:tcW w:w="1367" w:type="dxa"/>
                  <w:tcBorders>
                    <w:top w:val="single" w:color="auto" w:sz="2" w:space="0"/>
                    <w:left w:val="single" w:color="auto" w:sz="2" w:space="0"/>
                    <w:bottom w:val="single" w:color="auto" w:sz="2" w:space="0"/>
                    <w:right w:val="single" w:color="auto" w:sz="2" w:space="0"/>
                  </w:tcBorders>
                  <w:noWrap/>
                  <w:vAlign w:val="center"/>
                </w:tcPr>
                <w:p w14:paraId="0CBE38E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严控热源性燃煤设施建设。</w:t>
                  </w:r>
                </w:p>
              </w:tc>
              <w:tc>
                <w:tcPr>
                  <w:tcW w:w="2001" w:type="dxa"/>
                  <w:tcBorders>
                    <w:top w:val="single" w:color="auto" w:sz="2" w:space="0"/>
                    <w:left w:val="single" w:color="auto" w:sz="2" w:space="0"/>
                    <w:bottom w:val="single" w:color="auto" w:sz="2" w:space="0"/>
                    <w:right w:val="single" w:color="auto" w:sz="2" w:space="0"/>
                  </w:tcBorders>
                  <w:noWrap/>
                  <w:vAlign w:val="center"/>
                </w:tcPr>
                <w:p w14:paraId="121FDBE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重点区域原则上不再新建除集中供暖外的燃煤锅炉。</w:t>
                  </w:r>
                </w:p>
              </w:tc>
              <w:tc>
                <w:tcPr>
                  <w:tcW w:w="1961" w:type="dxa"/>
                  <w:tcBorders>
                    <w:top w:val="single" w:color="auto" w:sz="2" w:space="0"/>
                    <w:left w:val="single" w:color="auto" w:sz="2" w:space="0"/>
                    <w:bottom w:val="single" w:color="auto" w:sz="2" w:space="0"/>
                    <w:right w:val="single" w:color="auto" w:sz="2" w:space="0"/>
                  </w:tcBorders>
                  <w:noWrap/>
                  <w:vAlign w:val="center"/>
                </w:tcPr>
                <w:p w14:paraId="21ACB01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原则上不得审批除集中供暖外的燃煤锅炉。</w:t>
                  </w:r>
                </w:p>
              </w:tc>
              <w:tc>
                <w:tcPr>
                  <w:tcW w:w="1220" w:type="dxa"/>
                  <w:vMerge w:val="restart"/>
                  <w:tcBorders>
                    <w:top w:val="single" w:color="auto" w:sz="2" w:space="0"/>
                    <w:left w:val="single" w:color="auto" w:sz="2" w:space="0"/>
                    <w:bottom w:val="single" w:color="auto" w:sz="2" w:space="0"/>
                    <w:right w:val="single" w:color="auto" w:sz="2" w:space="0"/>
                  </w:tcBorders>
                  <w:noWrap/>
                  <w:vAlign w:val="center"/>
                </w:tcPr>
                <w:p w14:paraId="60B178A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本项目不建设燃煤锅炉</w:t>
                  </w:r>
                </w:p>
              </w:tc>
            </w:tr>
            <w:tr w14:paraId="3BBB96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744D6F0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21</w:t>
                  </w:r>
                </w:p>
              </w:tc>
              <w:tc>
                <w:tcPr>
                  <w:tcW w:w="1367" w:type="dxa"/>
                  <w:tcBorders>
                    <w:top w:val="single" w:color="auto" w:sz="2" w:space="0"/>
                    <w:left w:val="single" w:color="auto" w:sz="2" w:space="0"/>
                    <w:bottom w:val="single" w:color="auto" w:sz="2" w:space="0"/>
                    <w:right w:val="single" w:color="auto" w:sz="2" w:space="0"/>
                  </w:tcBorders>
                  <w:noWrap/>
                  <w:vAlign w:val="center"/>
                </w:tcPr>
                <w:p w14:paraId="08BB843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推动现有燃煤机组升级改造。</w:t>
                  </w:r>
                </w:p>
              </w:tc>
              <w:tc>
                <w:tcPr>
                  <w:tcW w:w="2001" w:type="dxa"/>
                  <w:tcBorders>
                    <w:top w:val="single" w:color="auto" w:sz="2" w:space="0"/>
                    <w:left w:val="single" w:color="auto" w:sz="2" w:space="0"/>
                    <w:bottom w:val="single" w:color="auto" w:sz="2" w:space="0"/>
                    <w:right w:val="single" w:color="auto" w:sz="2" w:space="0"/>
                  </w:tcBorders>
                  <w:noWrap/>
                  <w:vAlign w:val="center"/>
                </w:tcPr>
                <w:p w14:paraId="74AA163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禁止新建自备燃煤机组，鼓励自备燃煤机组积极开展清洁能源替代。大力推动现有煤电机组开展节能降碳改造、灵活性改造、供热改造</w:t>
                  </w:r>
                  <w:r>
                    <w:rPr>
                      <w:rFonts w:hint="default"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三改联动</w:t>
                  </w:r>
                  <w:r>
                    <w:rPr>
                      <w:rFonts w:hint="default" w:ascii="Times New Roman" w:hAnsi="Times New Roman" w:eastAsia="宋体" w:cs="Times New Roman"/>
                      <w:color w:val="auto"/>
                      <w:kern w:val="2"/>
                      <w:sz w:val="18"/>
                      <w:szCs w:val="18"/>
                      <w:lang w:val="en-US" w:eastAsia="zh-CN" w:bidi="ar"/>
                    </w:rPr>
                    <w:t>”</w:t>
                  </w:r>
                  <w:r>
                    <w:rPr>
                      <w:rFonts w:hint="eastAsia" w:ascii="宋体" w:hAnsi="宋体" w:eastAsia="宋体" w:cs="宋体"/>
                      <w:color w:val="auto"/>
                      <w:kern w:val="2"/>
                      <w:sz w:val="18"/>
                      <w:szCs w:val="18"/>
                      <w:lang w:val="en-US" w:eastAsia="zh-CN" w:bidi="ar"/>
                    </w:rPr>
                    <w:t>。</w:t>
                  </w:r>
                </w:p>
              </w:tc>
              <w:tc>
                <w:tcPr>
                  <w:tcW w:w="1961" w:type="dxa"/>
                  <w:tcBorders>
                    <w:top w:val="single" w:color="auto" w:sz="2" w:space="0"/>
                    <w:left w:val="single" w:color="auto" w:sz="2" w:space="0"/>
                    <w:bottom w:val="single" w:color="auto" w:sz="2" w:space="0"/>
                    <w:right w:val="single" w:color="auto" w:sz="2" w:space="0"/>
                  </w:tcBorders>
                  <w:noWrap/>
                  <w:vAlign w:val="center"/>
                </w:tcPr>
                <w:p w14:paraId="11811B8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新建自备燃煤机组环评项目不予审批。</w:t>
                  </w:r>
                </w:p>
              </w:tc>
              <w:tc>
                <w:tcPr>
                  <w:tcW w:w="1220" w:type="dxa"/>
                  <w:vMerge w:val="continue"/>
                  <w:tcBorders>
                    <w:top w:val="single" w:color="auto" w:sz="2" w:space="0"/>
                    <w:left w:val="single" w:color="auto" w:sz="2" w:space="0"/>
                    <w:bottom w:val="single" w:color="auto" w:sz="2" w:space="0"/>
                    <w:right w:val="single" w:color="auto" w:sz="2" w:space="0"/>
                  </w:tcBorders>
                  <w:noWrap/>
                  <w:vAlign w:val="center"/>
                </w:tcPr>
                <w:p w14:paraId="0E372618">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rPr>
                  </w:pPr>
                </w:p>
              </w:tc>
            </w:tr>
            <w:tr w14:paraId="5865DD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6" w:hRule="atLeast"/>
                <w:jc w:val="center"/>
              </w:trPr>
              <w:tc>
                <w:tcPr>
                  <w:tcW w:w="7218" w:type="dxa"/>
                  <w:gridSpan w:val="5"/>
                  <w:tcBorders>
                    <w:top w:val="single" w:color="auto" w:sz="2" w:space="0"/>
                    <w:left w:val="single" w:color="auto" w:sz="2" w:space="0"/>
                    <w:bottom w:val="single" w:color="auto" w:sz="2" w:space="0"/>
                    <w:right w:val="single" w:color="auto" w:sz="4" w:space="0"/>
                  </w:tcBorders>
                  <w:noWrap/>
                  <w:vAlign w:val="center"/>
                </w:tcPr>
                <w:p w14:paraId="6EE60A7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（八）推动工业炉窑清洁能源替代</w:t>
                  </w:r>
                </w:p>
              </w:tc>
            </w:tr>
            <w:tr w14:paraId="38A41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7"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0EB58BA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23</w:t>
                  </w:r>
                </w:p>
              </w:tc>
              <w:tc>
                <w:tcPr>
                  <w:tcW w:w="1367" w:type="dxa"/>
                  <w:tcBorders>
                    <w:top w:val="single" w:color="auto" w:sz="2" w:space="0"/>
                    <w:left w:val="single" w:color="auto" w:sz="2" w:space="0"/>
                    <w:bottom w:val="single" w:color="auto" w:sz="2" w:space="0"/>
                    <w:right w:val="single" w:color="auto" w:sz="2" w:space="0"/>
                  </w:tcBorders>
                  <w:noWrap/>
                  <w:vAlign w:val="center"/>
                </w:tcPr>
                <w:p w14:paraId="204C3B6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推动煤气发生炉清洁能源替代。</w:t>
                  </w:r>
                </w:p>
              </w:tc>
              <w:tc>
                <w:tcPr>
                  <w:tcW w:w="2001" w:type="dxa"/>
                  <w:tcBorders>
                    <w:top w:val="single" w:color="auto" w:sz="2" w:space="0"/>
                    <w:left w:val="single" w:color="auto" w:sz="2" w:space="0"/>
                    <w:bottom w:val="single" w:color="auto" w:sz="2" w:space="0"/>
                    <w:right w:val="single" w:color="auto" w:sz="2" w:space="0"/>
                  </w:tcBorders>
                  <w:noWrap/>
                  <w:vAlign w:val="center"/>
                </w:tcPr>
                <w:p w14:paraId="1431EAC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重点区域不再新增燃料类煤气发生炉。</w:t>
                  </w:r>
                </w:p>
              </w:tc>
              <w:tc>
                <w:tcPr>
                  <w:tcW w:w="1961" w:type="dxa"/>
                  <w:tcBorders>
                    <w:top w:val="single" w:color="auto" w:sz="2" w:space="0"/>
                    <w:left w:val="single" w:color="auto" w:sz="2" w:space="0"/>
                    <w:bottom w:val="single" w:color="auto" w:sz="2" w:space="0"/>
                    <w:right w:val="single" w:color="auto" w:sz="2" w:space="0"/>
                  </w:tcBorders>
                  <w:noWrap/>
                  <w:vAlign w:val="center"/>
                </w:tcPr>
                <w:p w14:paraId="22B9BB8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新增燃煤类煤气发生炉项目不予审批。</w:t>
                  </w:r>
                </w:p>
              </w:tc>
              <w:tc>
                <w:tcPr>
                  <w:tcW w:w="1220" w:type="dxa"/>
                  <w:tcBorders>
                    <w:top w:val="single" w:color="auto" w:sz="2" w:space="0"/>
                    <w:left w:val="single" w:color="auto" w:sz="2" w:space="0"/>
                    <w:bottom w:val="single" w:color="auto" w:sz="2" w:space="0"/>
                    <w:right w:val="single" w:color="auto" w:sz="2" w:space="0"/>
                  </w:tcBorders>
                  <w:noWrap/>
                  <w:vAlign w:val="center"/>
                </w:tcPr>
                <w:p w14:paraId="50BA6F4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本项目玻璃熔窑采用主要管道天然气、液化天然气作为能源，不涉及煤等能源使用</w:t>
                  </w:r>
                </w:p>
              </w:tc>
            </w:tr>
            <w:tr w14:paraId="24BEF0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1" w:hRule="atLeast"/>
                <w:jc w:val="center"/>
              </w:trPr>
              <w:tc>
                <w:tcPr>
                  <w:tcW w:w="7218" w:type="dxa"/>
                  <w:gridSpan w:val="5"/>
                  <w:tcBorders>
                    <w:top w:val="single" w:color="auto" w:sz="2" w:space="0"/>
                    <w:left w:val="single" w:color="auto" w:sz="2" w:space="0"/>
                    <w:bottom w:val="single" w:color="auto" w:sz="2" w:space="0"/>
                    <w:right w:val="single" w:color="auto" w:sz="4" w:space="0"/>
                  </w:tcBorders>
                  <w:noWrap/>
                  <w:vAlign w:val="center"/>
                </w:tcPr>
                <w:p w14:paraId="4740EBD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（九）推动货物运输清洁化</w:t>
                  </w:r>
                </w:p>
              </w:tc>
            </w:tr>
            <w:tr w14:paraId="60F8D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62" w:hRule="atLeast"/>
                <w:jc w:val="center"/>
              </w:trPr>
              <w:tc>
                <w:tcPr>
                  <w:tcW w:w="669" w:type="dxa"/>
                  <w:tcBorders>
                    <w:top w:val="single" w:color="auto" w:sz="2" w:space="0"/>
                    <w:left w:val="single" w:color="auto" w:sz="2" w:space="0"/>
                    <w:bottom w:val="single" w:color="auto" w:sz="2" w:space="0"/>
                    <w:right w:val="single" w:color="auto" w:sz="2" w:space="0"/>
                  </w:tcBorders>
                  <w:noWrap/>
                  <w:vAlign w:val="center"/>
                </w:tcPr>
                <w:p w14:paraId="16D82AD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27</w:t>
                  </w:r>
                </w:p>
              </w:tc>
              <w:tc>
                <w:tcPr>
                  <w:tcW w:w="1367" w:type="dxa"/>
                  <w:tcBorders>
                    <w:top w:val="single" w:color="auto" w:sz="2" w:space="0"/>
                    <w:left w:val="single" w:color="auto" w:sz="2" w:space="0"/>
                    <w:bottom w:val="single" w:color="auto" w:sz="2" w:space="0"/>
                    <w:right w:val="single" w:color="auto" w:sz="2" w:space="0"/>
                  </w:tcBorders>
                  <w:noWrap/>
                  <w:vAlign w:val="center"/>
                </w:tcPr>
                <w:p w14:paraId="4DA4E46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提高重点行业清洁运输比例。</w:t>
                  </w:r>
                </w:p>
              </w:tc>
              <w:tc>
                <w:tcPr>
                  <w:tcW w:w="2001" w:type="dxa"/>
                  <w:tcBorders>
                    <w:top w:val="single" w:color="auto" w:sz="2" w:space="0"/>
                    <w:left w:val="single" w:color="auto" w:sz="2" w:space="0"/>
                    <w:bottom w:val="single" w:color="auto" w:sz="2" w:space="0"/>
                    <w:right w:val="single" w:color="auto" w:sz="2" w:space="0"/>
                  </w:tcBorders>
                  <w:noWrap/>
                  <w:vAlign w:val="center"/>
                </w:tcPr>
                <w:p w14:paraId="6E84CD3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将清洁运输作为煤矿、钢铁、火电、水泥、有色、焦化、煤化工等行业新改扩建项目审核和监管重点。</w:t>
                  </w:r>
                </w:p>
              </w:tc>
              <w:tc>
                <w:tcPr>
                  <w:tcW w:w="1961" w:type="dxa"/>
                  <w:tcBorders>
                    <w:top w:val="single" w:color="auto" w:sz="2" w:space="0"/>
                    <w:left w:val="single" w:color="auto" w:sz="2" w:space="0"/>
                    <w:bottom w:val="single" w:color="auto" w:sz="2" w:space="0"/>
                    <w:right w:val="single" w:color="auto" w:sz="2" w:space="0"/>
                  </w:tcBorders>
                  <w:noWrap/>
                  <w:vAlign w:val="center"/>
                </w:tcPr>
                <w:p w14:paraId="529974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煤矿、钢铁、火电、水泥、有色、焦化、煤化工等行业新改扩建项目环评审核中重点关注清洁运输。</w:t>
                  </w:r>
                </w:p>
              </w:tc>
              <w:tc>
                <w:tcPr>
                  <w:tcW w:w="1220" w:type="dxa"/>
                  <w:tcBorders>
                    <w:top w:val="single" w:color="auto" w:sz="2" w:space="0"/>
                    <w:left w:val="single" w:color="auto" w:sz="2" w:space="0"/>
                    <w:bottom w:val="single" w:color="auto" w:sz="2" w:space="0"/>
                    <w:right w:val="single" w:color="auto" w:sz="2" w:space="0"/>
                  </w:tcBorders>
                  <w:noWrap/>
                  <w:vAlign w:val="center"/>
                </w:tcPr>
                <w:p w14:paraId="459CBA2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本项目进行日用玻璃器皿生产，不属于前述重点行业。本项目物料运输采用符合国六要求的车辆。</w:t>
                  </w:r>
                </w:p>
              </w:tc>
            </w:tr>
          </w:tbl>
          <w:p w14:paraId="6CF20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b/>
                <w:bCs/>
                <w:color w:val="auto"/>
                <w:sz w:val="21"/>
                <w:szCs w:val="21"/>
              </w:rPr>
            </w:pPr>
            <w:r>
              <w:rPr>
                <w:rFonts w:hint="eastAsia"/>
                <w:b/>
                <w:bCs/>
                <w:color w:val="auto"/>
                <w:sz w:val="21"/>
                <w:szCs w:val="21"/>
                <w:lang w:val="en-US" w:eastAsia="zh-CN"/>
              </w:rPr>
              <w:t>6</w:t>
            </w:r>
            <w:r>
              <w:rPr>
                <w:rFonts w:hint="eastAsia"/>
                <w:b/>
                <w:bCs/>
                <w:color w:val="auto"/>
                <w:sz w:val="21"/>
                <w:szCs w:val="21"/>
              </w:rPr>
              <w:t>、与《工业炉窑大气污染综合治理方案》环大气〔2019〕56号相符性</w:t>
            </w:r>
          </w:p>
          <w:p w14:paraId="16D14C0C">
            <w:pPr>
              <w:pStyle w:val="113"/>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w:t>
            </w:r>
            <w:r>
              <w:rPr>
                <w:rFonts w:hint="eastAsia"/>
                <w:color w:val="auto"/>
                <w:sz w:val="21"/>
                <w:szCs w:val="21"/>
              </w:rPr>
              <w:t>1-</w:t>
            </w:r>
            <w:r>
              <w:rPr>
                <w:rFonts w:hint="eastAsia"/>
                <w:color w:val="auto"/>
                <w:sz w:val="21"/>
                <w:szCs w:val="21"/>
                <w:lang w:val="en-US" w:eastAsia="zh-CN"/>
              </w:rPr>
              <w:t xml:space="preserve">7 </w:t>
            </w:r>
            <w:r>
              <w:rPr>
                <w:rFonts w:hint="default"/>
                <w:color w:val="auto"/>
                <w:sz w:val="21"/>
                <w:szCs w:val="21"/>
              </w:rPr>
              <w:t xml:space="preserve"> </w:t>
            </w:r>
            <w:r>
              <w:rPr>
                <w:rFonts w:hint="eastAsia"/>
                <w:color w:val="auto"/>
                <w:sz w:val="21"/>
                <w:szCs w:val="21"/>
                <w:lang w:eastAsia="zh-CN"/>
              </w:rPr>
              <w:t>“</w:t>
            </w:r>
            <w:r>
              <w:rPr>
                <w:rFonts w:hint="eastAsia"/>
                <w:b/>
                <w:bCs/>
                <w:color w:val="auto"/>
                <w:sz w:val="21"/>
                <w:szCs w:val="21"/>
              </w:rPr>
              <w:t>环大气〔2019〕56号</w:t>
            </w:r>
            <w:r>
              <w:rPr>
                <w:rFonts w:hint="eastAsia"/>
                <w:color w:val="auto"/>
                <w:sz w:val="21"/>
                <w:szCs w:val="21"/>
                <w:lang w:eastAsia="zh-CN"/>
              </w:rPr>
              <w:t>”</w:t>
            </w:r>
            <w:r>
              <w:rPr>
                <w:rFonts w:hint="default"/>
                <w:color w:val="auto"/>
                <w:sz w:val="21"/>
                <w:szCs w:val="21"/>
              </w:rPr>
              <w:t>符合性分析</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2"/>
              <w:gridCol w:w="1912"/>
              <w:gridCol w:w="695"/>
            </w:tblGrid>
            <w:tr w14:paraId="2DBA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1" w:type="pct"/>
                  <w:noWrap w:val="0"/>
                  <w:vAlign w:val="center"/>
                </w:tcPr>
                <w:p w14:paraId="5E6F92CB">
                  <w:pPr>
                    <w:pStyle w:val="147"/>
                    <w:keepNext w:val="0"/>
                    <w:keepLines w:val="0"/>
                    <w:suppressLineNumbers w:val="0"/>
                    <w:bidi w:val="0"/>
                    <w:spacing w:before="0" w:beforeAutospacing="0" w:after="0" w:afterAutospacing="0"/>
                    <w:ind w:left="0" w:right="0"/>
                    <w:rPr>
                      <w:b/>
                      <w:bCs/>
                      <w:color w:val="auto"/>
                      <w:sz w:val="18"/>
                      <w:szCs w:val="18"/>
                    </w:rPr>
                  </w:pPr>
                  <w:r>
                    <w:rPr>
                      <w:rFonts w:hint="eastAsia"/>
                      <w:b/>
                      <w:bCs/>
                      <w:color w:val="auto"/>
                      <w:sz w:val="18"/>
                      <w:szCs w:val="18"/>
                    </w:rPr>
                    <w:t>（环大气〔2019〕56号）</w:t>
                  </w:r>
                </w:p>
              </w:tc>
              <w:tc>
                <w:tcPr>
                  <w:tcW w:w="1326" w:type="pct"/>
                  <w:noWrap w:val="0"/>
                  <w:vAlign w:val="center"/>
                </w:tcPr>
                <w:p w14:paraId="7844AEBA">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本项目建设</w:t>
                  </w:r>
                  <w:r>
                    <w:rPr>
                      <w:rFonts w:hint="eastAsia"/>
                      <w:b/>
                      <w:bCs/>
                      <w:color w:val="auto"/>
                      <w:sz w:val="18"/>
                      <w:szCs w:val="18"/>
                    </w:rPr>
                    <w:t>情况</w:t>
                  </w:r>
                </w:p>
              </w:tc>
              <w:tc>
                <w:tcPr>
                  <w:tcW w:w="482" w:type="pct"/>
                  <w:noWrap w:val="0"/>
                  <w:vAlign w:val="center"/>
                </w:tcPr>
                <w:p w14:paraId="41B04BC0">
                  <w:pPr>
                    <w:pStyle w:val="147"/>
                    <w:keepNext w:val="0"/>
                    <w:keepLines w:val="0"/>
                    <w:suppressLineNumbers w:val="0"/>
                    <w:bidi w:val="0"/>
                    <w:spacing w:before="0" w:beforeAutospacing="0" w:after="0" w:afterAutospacing="0"/>
                    <w:ind w:left="0" w:right="0"/>
                    <w:rPr>
                      <w:b/>
                      <w:bCs/>
                      <w:color w:val="auto"/>
                      <w:sz w:val="18"/>
                      <w:szCs w:val="18"/>
                    </w:rPr>
                  </w:pPr>
                  <w:r>
                    <w:rPr>
                      <w:rFonts w:hint="eastAsia"/>
                      <w:b/>
                      <w:bCs/>
                      <w:color w:val="auto"/>
                      <w:sz w:val="18"/>
                      <w:szCs w:val="18"/>
                    </w:rPr>
                    <w:t>相符性</w:t>
                  </w:r>
                </w:p>
              </w:tc>
            </w:tr>
            <w:tr w14:paraId="447D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1" w:type="pct"/>
                  <w:noWrap w:val="0"/>
                  <w:vAlign w:val="center"/>
                </w:tcPr>
                <w:p w14:paraId="6DAE8826">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326" w:type="pct"/>
                  <w:noWrap w:val="0"/>
                  <w:vAlign w:val="center"/>
                </w:tcPr>
                <w:p w14:paraId="6B457AC8">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本项目进行</w:t>
                  </w:r>
                  <w:r>
                    <w:rPr>
                      <w:rFonts w:hint="eastAsia"/>
                      <w:color w:val="auto"/>
                      <w:sz w:val="18"/>
                      <w:szCs w:val="18"/>
                      <w:lang w:val="en-US" w:eastAsia="zh-CN"/>
                    </w:rPr>
                    <w:t>日用玻璃器皿生产加工，不进行平板玻璃生产，废气配套在线监测设备，废气处理装置配套</w:t>
                  </w:r>
                  <w:r>
                    <w:rPr>
                      <w:rFonts w:hint="eastAsia" w:ascii="Times New Roman" w:hAnsi="Times New Roman" w:eastAsia="宋体" w:cs="Times New Roman"/>
                      <w:bCs/>
                      <w:color w:val="auto"/>
                      <w:sz w:val="18"/>
                      <w:szCs w:val="18"/>
                      <w:lang w:val="en-US" w:eastAsia="zh-CN"/>
                    </w:rPr>
                    <w:t>陶瓷纤维脱硝除尘一体烟气净化系统（调质脱硫塔+陶瓷滤筒SCR脱硝除尘）</w:t>
                  </w:r>
                  <w:r>
                    <w:rPr>
                      <w:rFonts w:hint="eastAsia"/>
                      <w:color w:val="auto"/>
                      <w:sz w:val="18"/>
                      <w:szCs w:val="18"/>
                      <w:lang w:val="en-US" w:eastAsia="zh-CN"/>
                    </w:rPr>
                    <w:t>装置</w:t>
                  </w:r>
                  <w:r>
                    <w:rPr>
                      <w:rFonts w:hint="eastAsia"/>
                      <w:color w:val="auto"/>
                      <w:sz w:val="18"/>
                      <w:szCs w:val="18"/>
                    </w:rPr>
                    <w:t>，确保达标排放。</w:t>
                  </w:r>
                </w:p>
              </w:tc>
              <w:tc>
                <w:tcPr>
                  <w:tcW w:w="482" w:type="pct"/>
                  <w:noWrap w:val="0"/>
                  <w:vAlign w:val="center"/>
                </w:tcPr>
                <w:p w14:paraId="6C5B09ED">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符合</w:t>
                  </w:r>
                </w:p>
              </w:tc>
            </w:tr>
            <w:tr w14:paraId="4E53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1" w:type="pct"/>
                  <w:noWrap w:val="0"/>
                  <w:vAlign w:val="center"/>
                </w:tcPr>
                <w:p w14:paraId="34BAF637">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326" w:type="pct"/>
                  <w:noWrap w:val="0"/>
                  <w:vAlign w:val="center"/>
                </w:tcPr>
                <w:p w14:paraId="4C28FCD2">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项目生产原料、能源均不涉及煤</w:t>
                  </w:r>
                  <w:r>
                    <w:rPr>
                      <w:rFonts w:hint="eastAsia"/>
                      <w:color w:val="auto"/>
                      <w:sz w:val="18"/>
                      <w:szCs w:val="18"/>
                      <w:lang w:eastAsia="zh-CN"/>
                    </w:rPr>
                    <w:t>，</w:t>
                  </w:r>
                  <w:r>
                    <w:rPr>
                      <w:rFonts w:hint="eastAsia"/>
                      <w:color w:val="auto"/>
                      <w:sz w:val="18"/>
                      <w:szCs w:val="18"/>
                      <w:lang w:val="en-US" w:eastAsia="zh-CN"/>
                    </w:rPr>
                    <w:t>生产环节主要使用清洁能源天然气和电</w:t>
                  </w:r>
                  <w:r>
                    <w:rPr>
                      <w:rFonts w:hint="eastAsia"/>
                      <w:color w:val="auto"/>
                      <w:sz w:val="18"/>
                      <w:szCs w:val="18"/>
                    </w:rPr>
                    <w:t>。</w:t>
                  </w:r>
                </w:p>
              </w:tc>
              <w:tc>
                <w:tcPr>
                  <w:tcW w:w="482" w:type="pct"/>
                  <w:noWrap w:val="0"/>
                  <w:vAlign w:val="center"/>
                </w:tcPr>
                <w:p w14:paraId="0212306A">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符合</w:t>
                  </w:r>
                </w:p>
              </w:tc>
            </w:tr>
            <w:tr w14:paraId="2700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1" w:type="pct"/>
                  <w:noWrap w:val="0"/>
                  <w:vAlign w:val="center"/>
                </w:tcPr>
                <w:p w14:paraId="097AC8CD">
                  <w:pPr>
                    <w:pStyle w:val="147"/>
                    <w:keepNext w:val="0"/>
                    <w:keepLines w:val="0"/>
                    <w:suppressLineNumbers w:val="0"/>
                    <w:bidi w:val="0"/>
                    <w:spacing w:before="0" w:beforeAutospacing="0" w:after="0" w:afterAutospacing="0"/>
                    <w:ind w:left="0" w:right="0"/>
                    <w:jc w:val="left"/>
                    <w:rPr>
                      <w:color w:val="auto"/>
                      <w:sz w:val="18"/>
                      <w:szCs w:val="18"/>
                    </w:rPr>
                  </w:pPr>
                  <w:r>
                    <w:rPr>
                      <w:rFonts w:hint="eastAsia"/>
                      <w:color w:val="auto"/>
                      <w:sz w:val="18"/>
                      <w:szCs w:val="18"/>
                    </w:rPr>
                    <w:t>实施污染深度治理。推进工业炉窑全面达标排放。已有行业排放标准的工业炉窑（见附件3），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见附件4），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tc>
              <w:tc>
                <w:tcPr>
                  <w:tcW w:w="1326" w:type="pct"/>
                  <w:noWrap w:val="0"/>
                  <w:vAlign w:val="center"/>
                </w:tcPr>
                <w:p w14:paraId="0145D7A3">
                  <w:pPr>
                    <w:pStyle w:val="147"/>
                    <w:keepNext w:val="0"/>
                    <w:keepLines w:val="0"/>
                    <w:suppressLineNumbers w:val="0"/>
                    <w:bidi w:val="0"/>
                    <w:spacing w:before="0" w:beforeAutospacing="0" w:after="0" w:afterAutospacing="0"/>
                    <w:ind w:left="0" w:right="0"/>
                    <w:rPr>
                      <w:rFonts w:hint="default" w:eastAsia="宋体"/>
                      <w:color w:val="auto"/>
                      <w:sz w:val="18"/>
                      <w:szCs w:val="18"/>
                      <w:lang w:val="en-US" w:eastAsia="zh-CN"/>
                    </w:rPr>
                  </w:pPr>
                  <w:r>
                    <w:rPr>
                      <w:rFonts w:hint="eastAsia"/>
                      <w:color w:val="auto"/>
                      <w:sz w:val="18"/>
                      <w:szCs w:val="18"/>
                    </w:rPr>
                    <w:t>本项目</w:t>
                  </w:r>
                  <w:r>
                    <w:rPr>
                      <w:rFonts w:hint="eastAsia"/>
                      <w:color w:val="auto"/>
                      <w:sz w:val="18"/>
                      <w:szCs w:val="18"/>
                      <w:lang w:val="en-US" w:eastAsia="zh-CN"/>
                    </w:rPr>
                    <w:t>生产使用玻璃熔窑</w:t>
                  </w:r>
                  <w:r>
                    <w:rPr>
                      <w:rFonts w:hint="eastAsia"/>
                      <w:color w:val="auto"/>
                      <w:sz w:val="18"/>
                      <w:szCs w:val="18"/>
                    </w:rPr>
                    <w:t>，</w:t>
                  </w:r>
                  <w:r>
                    <w:rPr>
                      <w:rFonts w:hint="eastAsia"/>
                      <w:color w:val="auto"/>
                      <w:sz w:val="18"/>
                      <w:szCs w:val="18"/>
                      <w:lang w:val="en-US" w:eastAsia="zh-CN"/>
                    </w:rPr>
                    <w:t>废气排放执行《玻璃工业大气污染物排放标准》(DB34/4295-2022)表1中大气污染物排放限值和表3企业无组织排放浓度限值要求。</w:t>
                  </w:r>
                </w:p>
              </w:tc>
              <w:tc>
                <w:tcPr>
                  <w:tcW w:w="482" w:type="pct"/>
                  <w:noWrap w:val="0"/>
                  <w:vAlign w:val="center"/>
                </w:tcPr>
                <w:p w14:paraId="16CA5625">
                  <w:pPr>
                    <w:pStyle w:val="147"/>
                    <w:keepNext w:val="0"/>
                    <w:keepLines w:val="0"/>
                    <w:suppressLineNumbers w:val="0"/>
                    <w:bidi w:val="0"/>
                    <w:spacing w:before="0" w:beforeAutospacing="0" w:after="0" w:afterAutospacing="0"/>
                    <w:ind w:left="0" w:right="0"/>
                    <w:rPr>
                      <w:color w:val="auto"/>
                      <w:sz w:val="18"/>
                      <w:szCs w:val="18"/>
                    </w:rPr>
                  </w:pPr>
                  <w:r>
                    <w:rPr>
                      <w:rFonts w:hint="eastAsia"/>
                      <w:color w:val="auto"/>
                      <w:sz w:val="18"/>
                      <w:szCs w:val="18"/>
                    </w:rPr>
                    <w:t>符合</w:t>
                  </w:r>
                </w:p>
              </w:tc>
            </w:tr>
          </w:tbl>
          <w:p w14:paraId="17B52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color w:val="auto"/>
              </w:rPr>
            </w:pPr>
            <w:r>
              <w:rPr>
                <w:rFonts w:hint="eastAsia"/>
                <w:b w:val="0"/>
                <w:bCs w:val="0"/>
                <w:color w:val="auto"/>
              </w:rPr>
              <w:t>综上所述，项目建设符合《工业炉窑大气污染综合治理方案》环大气〔2019〕56号的要求。</w:t>
            </w:r>
          </w:p>
          <w:p w14:paraId="06045534">
            <w:pPr>
              <w:pStyle w:val="123"/>
              <w:ind w:firstLine="422"/>
              <w:rPr>
                <w:b/>
                <w:color w:val="auto"/>
                <w:sz w:val="21"/>
                <w:szCs w:val="21"/>
              </w:rPr>
            </w:pPr>
            <w:r>
              <w:rPr>
                <w:rFonts w:hint="eastAsia"/>
                <w:b/>
                <w:bCs/>
                <w:color w:val="auto"/>
                <w:sz w:val="21"/>
                <w:szCs w:val="21"/>
                <w:lang w:val="en-US" w:eastAsia="zh-CN"/>
              </w:rPr>
              <w:t>7</w:t>
            </w:r>
            <w:r>
              <w:rPr>
                <w:rFonts w:hint="eastAsia"/>
                <w:b/>
                <w:bCs/>
                <w:color w:val="auto"/>
                <w:sz w:val="21"/>
                <w:szCs w:val="21"/>
              </w:rPr>
              <w:t>、</w:t>
            </w:r>
            <w:r>
              <w:rPr>
                <w:rFonts w:hint="eastAsia"/>
                <w:b/>
                <w:color w:val="auto"/>
                <w:sz w:val="21"/>
                <w:szCs w:val="21"/>
              </w:rPr>
              <w:t>与《安徽省“两高”项目管理目录（试行）》（皖节能[</w:t>
            </w:r>
            <w:r>
              <w:rPr>
                <w:b/>
                <w:color w:val="auto"/>
                <w:sz w:val="21"/>
                <w:szCs w:val="21"/>
              </w:rPr>
              <w:t>2022]2</w:t>
            </w:r>
            <w:r>
              <w:rPr>
                <w:rFonts w:hint="eastAsia"/>
                <w:b/>
                <w:color w:val="auto"/>
                <w:sz w:val="21"/>
                <w:szCs w:val="21"/>
              </w:rPr>
              <w:t>号）符合性分析</w:t>
            </w:r>
          </w:p>
          <w:p w14:paraId="5A0F9656">
            <w:pPr>
              <w:pStyle w:val="123"/>
              <w:ind w:firstLine="480"/>
              <w:rPr>
                <w:color w:val="auto"/>
                <w:sz w:val="21"/>
                <w:szCs w:val="21"/>
              </w:rPr>
            </w:pPr>
            <w:r>
              <w:rPr>
                <w:rFonts w:hint="default" w:ascii="Times New Roman" w:hAnsi="Times New Roman" w:cs="Times New Roman"/>
                <w:color w:val="auto"/>
                <w:sz w:val="21"/>
                <w:szCs w:val="21"/>
              </w:rPr>
              <w:t>根据《安徽省“两高”项目管理目录（试行）》建材行业“两高”项目如下：C3011水泥熟料、C3012石灰、C3031烧结砖瓦，不包括资源综合利用项目、C3041普通平板玻璃，浮法平板玻璃，压延玻璃，其它平板玻璃，不包括光伏压延玻璃，显示玻璃、C3071建筑陶瓷；本工程属于</w:t>
            </w:r>
            <w:r>
              <w:rPr>
                <w:rFonts w:hint="eastAsia"/>
                <w:color w:val="auto"/>
                <w:sz w:val="21"/>
                <w:szCs w:val="21"/>
              </w:rPr>
              <w:t>C</w:t>
            </w:r>
            <w:r>
              <w:rPr>
                <w:color w:val="auto"/>
                <w:sz w:val="21"/>
                <w:szCs w:val="21"/>
              </w:rPr>
              <w:t>3</w:t>
            </w:r>
            <w:r>
              <w:rPr>
                <w:rFonts w:hint="eastAsia"/>
                <w:color w:val="auto"/>
                <w:sz w:val="21"/>
                <w:szCs w:val="21"/>
                <w:lang w:val="en-US" w:eastAsia="zh-CN"/>
              </w:rPr>
              <w:t>054</w:t>
            </w:r>
            <w:r>
              <w:rPr>
                <w:rFonts w:ascii="宋体" w:hAnsi="宋体" w:eastAsia="宋体" w:cs="宋体"/>
                <w:color w:val="auto"/>
                <w:sz w:val="21"/>
                <w:szCs w:val="21"/>
              </w:rPr>
              <w:t>日用玻璃制品制造</w:t>
            </w:r>
            <w:r>
              <w:rPr>
                <w:rFonts w:hint="default" w:ascii="Times New Roman" w:hAnsi="Times New Roman" w:cs="Times New Roman"/>
                <w:color w:val="auto"/>
                <w:sz w:val="21"/>
                <w:szCs w:val="21"/>
              </w:rPr>
              <w:t>，不属于《安徽省“两高”项目管理目录（试行）》中“两高”类项目。</w:t>
            </w:r>
          </w:p>
          <w:p w14:paraId="49B13CE8">
            <w:pPr>
              <w:pStyle w:val="84"/>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b/>
                <w:bCs w:val="0"/>
                <w:color w:val="auto"/>
                <w:lang w:val="en-US" w:eastAsia="zh-CN"/>
              </w:rPr>
            </w:pPr>
            <w:r>
              <w:rPr>
                <w:rFonts w:hint="eastAsia"/>
                <w:b/>
                <w:bCs w:val="0"/>
                <w:color w:val="auto"/>
                <w:lang w:val="en-US" w:eastAsia="zh-CN"/>
              </w:rPr>
              <w:t>8、</w:t>
            </w:r>
            <w:r>
              <w:rPr>
                <w:b/>
                <w:bCs w:val="0"/>
                <w:color w:val="auto"/>
                <w:lang w:val="en-US" w:eastAsia="zh-CN"/>
              </w:rPr>
              <w:t>“三线一单”相符性分析</w:t>
            </w:r>
          </w:p>
          <w:p w14:paraId="31FB3A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b/>
                <w:bCs/>
                <w:color w:val="auto"/>
              </w:rPr>
            </w:pPr>
            <w:r>
              <w:rPr>
                <w:rFonts w:hint="eastAsia"/>
                <w:b/>
                <w:bCs/>
                <w:color w:val="auto"/>
              </w:rPr>
              <w:t>（1）与以改善环境质量为核心加强环境影响评价管理的通知相符性</w:t>
            </w:r>
          </w:p>
          <w:p w14:paraId="62E41624">
            <w:pPr>
              <w:pStyle w:val="123"/>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2016年10月26日，环境保护部以环环评【2016】150号发布《关于以改善环境质量为核心加强环境影响评价管理的通知》（以下简称</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通知</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），通知中明确应强化</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（即生态保护红线、环境质量底线、资源利用上线和环境准入负面清单）的约束作用。</w:t>
            </w:r>
          </w:p>
          <w:p w14:paraId="4E3F9C24">
            <w:pPr>
              <w:pStyle w:val="123"/>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判定本项目与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三线一单</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相符性如下表。</w:t>
            </w:r>
          </w:p>
          <w:p w14:paraId="0F239772">
            <w:pPr>
              <w:pStyle w:val="113"/>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w:t>
            </w:r>
            <w:r>
              <w:rPr>
                <w:rFonts w:hint="eastAsia"/>
                <w:color w:val="auto"/>
                <w:sz w:val="21"/>
                <w:szCs w:val="21"/>
              </w:rPr>
              <w:t>1-</w:t>
            </w:r>
            <w:r>
              <w:rPr>
                <w:rFonts w:hint="eastAsia"/>
                <w:color w:val="auto"/>
                <w:sz w:val="21"/>
                <w:szCs w:val="21"/>
                <w:lang w:val="en-US" w:eastAsia="zh-CN"/>
              </w:rPr>
              <w:t xml:space="preserve">8 </w:t>
            </w:r>
            <w:r>
              <w:rPr>
                <w:rFonts w:hint="eastAsia"/>
                <w:color w:val="auto"/>
                <w:sz w:val="21"/>
                <w:szCs w:val="21"/>
              </w:rPr>
              <w:t xml:space="preserve"> </w:t>
            </w:r>
            <w:r>
              <w:rPr>
                <w:rFonts w:hint="default"/>
                <w:color w:val="auto"/>
                <w:sz w:val="21"/>
                <w:szCs w:val="21"/>
              </w:rPr>
              <w:t>本项目与</w:t>
            </w:r>
            <w:r>
              <w:rPr>
                <w:rFonts w:hint="eastAsia"/>
                <w:color w:val="auto"/>
                <w:sz w:val="21"/>
                <w:szCs w:val="21"/>
                <w:lang w:eastAsia="zh-CN"/>
              </w:rPr>
              <w:t>“</w:t>
            </w:r>
            <w:r>
              <w:rPr>
                <w:rFonts w:hint="default"/>
                <w:color w:val="auto"/>
                <w:sz w:val="21"/>
                <w:szCs w:val="21"/>
              </w:rPr>
              <w:t>三线一单</w:t>
            </w:r>
            <w:r>
              <w:rPr>
                <w:rFonts w:hint="eastAsia"/>
                <w:color w:val="auto"/>
                <w:sz w:val="21"/>
                <w:szCs w:val="21"/>
                <w:lang w:eastAsia="zh-CN"/>
              </w:rPr>
              <w:t>”</w:t>
            </w:r>
            <w:r>
              <w:rPr>
                <w:rFonts w:hint="default"/>
                <w:color w:val="auto"/>
                <w:sz w:val="21"/>
                <w:szCs w:val="21"/>
              </w:rPr>
              <w:t>相符性</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1" w:type="dxa"/>
                <w:left w:w="28" w:type="dxa"/>
                <w:bottom w:w="11" w:type="dxa"/>
                <w:right w:w="28" w:type="dxa"/>
              </w:tblCellMar>
            </w:tblPr>
            <w:tblGrid>
              <w:gridCol w:w="502"/>
              <w:gridCol w:w="535"/>
              <w:gridCol w:w="1980"/>
              <w:gridCol w:w="3641"/>
              <w:gridCol w:w="549"/>
            </w:tblGrid>
            <w:tr w14:paraId="4DD59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8" w:type="pct"/>
                  <w:noWrap w:val="0"/>
                  <w:vAlign w:val="center"/>
                </w:tcPr>
                <w:p w14:paraId="08D968F9">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序号</w:t>
                  </w:r>
                </w:p>
              </w:tc>
              <w:tc>
                <w:tcPr>
                  <w:tcW w:w="371" w:type="pct"/>
                  <w:noWrap w:val="0"/>
                  <w:vAlign w:val="center"/>
                </w:tcPr>
                <w:p w14:paraId="08C4E282">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内容</w:t>
                  </w:r>
                </w:p>
              </w:tc>
              <w:tc>
                <w:tcPr>
                  <w:tcW w:w="1373" w:type="pct"/>
                  <w:noWrap w:val="0"/>
                  <w:vAlign w:val="center"/>
                </w:tcPr>
                <w:p w14:paraId="6566CEAF">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要求</w:t>
                  </w:r>
                </w:p>
              </w:tc>
              <w:tc>
                <w:tcPr>
                  <w:tcW w:w="2525" w:type="pct"/>
                  <w:noWrap w:val="0"/>
                  <w:vAlign w:val="center"/>
                </w:tcPr>
                <w:p w14:paraId="3E644B9C">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本项目情况</w:t>
                  </w:r>
                </w:p>
              </w:tc>
              <w:tc>
                <w:tcPr>
                  <w:tcW w:w="381" w:type="pct"/>
                  <w:noWrap w:val="0"/>
                  <w:vAlign w:val="center"/>
                </w:tcPr>
                <w:p w14:paraId="7379E29C">
                  <w:pPr>
                    <w:pStyle w:val="147"/>
                    <w:keepNext w:val="0"/>
                    <w:keepLines w:val="0"/>
                    <w:suppressLineNumbers w:val="0"/>
                    <w:bidi w:val="0"/>
                    <w:spacing w:before="0" w:beforeAutospacing="0" w:after="0" w:afterAutospacing="0"/>
                    <w:ind w:left="0" w:right="0"/>
                    <w:rPr>
                      <w:b/>
                      <w:bCs/>
                      <w:color w:val="auto"/>
                      <w:sz w:val="18"/>
                      <w:szCs w:val="18"/>
                    </w:rPr>
                  </w:pPr>
                  <w:r>
                    <w:rPr>
                      <w:b/>
                      <w:bCs/>
                      <w:color w:val="auto"/>
                      <w:sz w:val="18"/>
                      <w:szCs w:val="18"/>
                    </w:rPr>
                    <w:t>相符性</w:t>
                  </w:r>
                </w:p>
              </w:tc>
            </w:tr>
            <w:tr w14:paraId="367C82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8" w:type="pct"/>
                  <w:noWrap w:val="0"/>
                  <w:vAlign w:val="center"/>
                </w:tcPr>
                <w:p w14:paraId="150046A6">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1</w:t>
                  </w:r>
                </w:p>
              </w:tc>
              <w:tc>
                <w:tcPr>
                  <w:tcW w:w="371" w:type="pct"/>
                  <w:noWrap w:val="0"/>
                  <w:vAlign w:val="center"/>
                </w:tcPr>
                <w:p w14:paraId="680AE0A5">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生态保护红线</w:t>
                  </w:r>
                </w:p>
              </w:tc>
              <w:tc>
                <w:tcPr>
                  <w:tcW w:w="1373" w:type="pct"/>
                  <w:noWrap w:val="0"/>
                  <w:vAlign w:val="center"/>
                </w:tcPr>
                <w:p w14:paraId="4F44EBBA">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525" w:type="pct"/>
                  <w:noWrap w:val="0"/>
                  <w:vAlign w:val="center"/>
                </w:tcPr>
                <w:p w14:paraId="21F4B9C8">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项目位于</w:t>
                  </w:r>
                  <w:r>
                    <w:rPr>
                      <w:rFonts w:hint="default" w:ascii="Times New Roman" w:hAnsi="Times New Roman" w:cs="Times New Roman"/>
                      <w:b w:val="0"/>
                      <w:bCs w:val="0"/>
                      <w:color w:val="auto"/>
                      <w:sz w:val="18"/>
                      <w:szCs w:val="18"/>
                      <w:lang w:eastAsia="zh-CN"/>
                    </w:rPr>
                    <w:t>淮南</w:t>
                  </w:r>
                  <w:r>
                    <w:rPr>
                      <w:rFonts w:hint="eastAsia" w:ascii="Times New Roman" w:hAnsi="Times New Roman" w:cs="Times New Roman"/>
                      <w:b w:val="0"/>
                      <w:bCs w:val="0"/>
                      <w:color w:val="auto"/>
                      <w:sz w:val="18"/>
                      <w:szCs w:val="18"/>
                      <w:lang w:val="en-US" w:eastAsia="zh-CN"/>
                    </w:rPr>
                    <w:t>谢家集经济开发区</w:t>
                  </w:r>
                  <w:r>
                    <w:rPr>
                      <w:color w:val="auto"/>
                      <w:sz w:val="18"/>
                      <w:szCs w:val="18"/>
                    </w:rPr>
                    <w:t>，项目用地性质为工业用地，本项目不在生态红线范围内（详见附图</w:t>
                  </w:r>
                  <w:r>
                    <w:rPr>
                      <w:rFonts w:hint="eastAsia"/>
                      <w:color w:val="auto"/>
                      <w:sz w:val="18"/>
                      <w:szCs w:val="18"/>
                      <w:lang w:val="en-US" w:eastAsia="zh-CN"/>
                    </w:rPr>
                    <w:t>5</w:t>
                  </w:r>
                  <w:r>
                    <w:rPr>
                      <w:color w:val="auto"/>
                      <w:sz w:val="18"/>
                      <w:szCs w:val="18"/>
                    </w:rPr>
                    <w:t>），也不在当地饮用水源、风景区、自然保护区等生态保护区内，符合生态保护红线要求。</w:t>
                  </w:r>
                </w:p>
              </w:tc>
              <w:tc>
                <w:tcPr>
                  <w:tcW w:w="381" w:type="pct"/>
                  <w:noWrap w:val="0"/>
                  <w:vAlign w:val="center"/>
                </w:tcPr>
                <w:p w14:paraId="2C01EE9C">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相符</w:t>
                  </w:r>
                </w:p>
              </w:tc>
            </w:tr>
            <w:tr w14:paraId="760616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8" w:type="pct"/>
                  <w:noWrap w:val="0"/>
                  <w:vAlign w:val="center"/>
                </w:tcPr>
                <w:p w14:paraId="29593DBE">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2</w:t>
                  </w:r>
                </w:p>
              </w:tc>
              <w:tc>
                <w:tcPr>
                  <w:tcW w:w="371" w:type="pct"/>
                  <w:noWrap w:val="0"/>
                  <w:vAlign w:val="center"/>
                </w:tcPr>
                <w:p w14:paraId="6349AA7E">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环境质量底线</w:t>
                  </w:r>
                </w:p>
              </w:tc>
              <w:tc>
                <w:tcPr>
                  <w:tcW w:w="1373" w:type="pct"/>
                  <w:noWrap w:val="0"/>
                  <w:vAlign w:val="center"/>
                </w:tcPr>
                <w:p w14:paraId="625EFAA7">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2525" w:type="pct"/>
                  <w:noWrap w:val="0"/>
                  <w:vAlign w:val="center"/>
                </w:tcPr>
                <w:p w14:paraId="4D82A562">
                  <w:pPr>
                    <w:pStyle w:val="14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18"/>
                      <w:szCs w:val="18"/>
                      <w:lang w:val="en" w:eastAsia="zh-CN"/>
                    </w:rPr>
                  </w:pPr>
                  <w:r>
                    <w:rPr>
                      <w:rFonts w:hint="eastAsia" w:ascii="Times New Roman" w:hAnsi="Times New Roman" w:eastAsia="宋体" w:cs="Times New Roman"/>
                      <w:color w:val="auto"/>
                      <w:sz w:val="18"/>
                      <w:szCs w:val="18"/>
                      <w:lang w:val="en" w:eastAsia="zh-CN"/>
                    </w:rPr>
                    <w:t>根据淮南市人民政府网站公布的《202</w:t>
                  </w:r>
                  <w:r>
                    <w:rPr>
                      <w:rFonts w:hint="eastAsia"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lang w:val="en" w:eastAsia="zh-CN"/>
                    </w:rPr>
                    <w:t>年淮南市环境质量状况公报》，项目所在地的环境空气质量不达标，细颗粒物（PM</w:t>
                  </w:r>
                  <w:r>
                    <w:rPr>
                      <w:rFonts w:hint="eastAsia" w:ascii="Times New Roman" w:hAnsi="Times New Roman" w:eastAsia="宋体" w:cs="Times New Roman"/>
                      <w:color w:val="auto"/>
                      <w:sz w:val="18"/>
                      <w:szCs w:val="18"/>
                      <w:vertAlign w:val="subscript"/>
                      <w:lang w:val="en" w:eastAsia="zh-CN"/>
                    </w:rPr>
                    <w:t>2.5</w:t>
                  </w:r>
                  <w:r>
                    <w:rPr>
                      <w:rFonts w:hint="eastAsia" w:ascii="Times New Roman" w:hAnsi="Times New Roman" w:eastAsia="宋体" w:cs="Times New Roman"/>
                      <w:color w:val="auto"/>
                      <w:sz w:val="18"/>
                      <w:szCs w:val="18"/>
                      <w:lang w:val="en" w:eastAsia="zh-CN"/>
                    </w:rPr>
                    <w:t>）年均浓度分别超过《环境空气质量标准》（GB3095-2012）二级标准。</w:t>
                  </w:r>
                  <w:r>
                    <w:rPr>
                      <w:rFonts w:hint="eastAsia" w:ascii="Times New Roman" w:hAnsi="Times New Roman" w:eastAsia="宋体" w:cs="Times New Roman"/>
                      <w:color w:val="auto"/>
                      <w:sz w:val="18"/>
                      <w:szCs w:val="18"/>
                      <w:lang w:val="en-US" w:eastAsia="zh-CN"/>
                    </w:rPr>
                    <w:t>针对环境质量状况，淮南市政府采取了</w:t>
                  </w:r>
                  <w:r>
                    <w:rPr>
                      <w:rFonts w:hint="eastAsia" w:cs="Times New Roman"/>
                      <w:color w:val="auto"/>
                      <w:sz w:val="18"/>
                      <w:szCs w:val="18"/>
                      <w:lang w:val="en-US" w:eastAsia="zh-CN"/>
                    </w:rPr>
                    <w:t>一系列</w:t>
                  </w:r>
                  <w:r>
                    <w:rPr>
                      <w:rFonts w:hint="eastAsia" w:ascii="Times New Roman" w:hAnsi="Times New Roman" w:eastAsia="宋体" w:cs="Times New Roman"/>
                      <w:color w:val="auto"/>
                      <w:sz w:val="18"/>
                      <w:szCs w:val="18"/>
                      <w:lang w:val="en-US" w:eastAsia="zh-CN"/>
                    </w:rPr>
                    <w:t>的措施，</w:t>
                  </w:r>
                  <w:r>
                    <w:rPr>
                      <w:rFonts w:hint="default" w:ascii="Times New Roman" w:hAnsi="Times New Roman" w:eastAsia="宋体" w:cs="Times New Roman"/>
                      <w:color w:val="auto"/>
                      <w:sz w:val="18"/>
                      <w:szCs w:val="18"/>
                      <w:lang w:val="en" w:eastAsia="zh-CN"/>
                    </w:rPr>
                    <w:t>努力打好蓝天保卫战。突出重点时段，实施季节性调控。将夏季臭氧污染纳入监测预警，每天推送涉VOCs企业应急减排清单，累计调整企业生产计划500余家次；在颗粒物污染季，累计管控企业253家次。严格落实《淮南市重污染天气应急预案（2023年版）》，纳入应急减排清单企业853家、施工工地336家。积极应对年初年末两轮次重污染天气，发布2次黄色预警、1次橙色预警。突出重点行业，持续开展挥发性有机物综合治理。制定实施《淮南市涉VOCs重点行业绩效分级技术指南》，全市16个涉VOCs行业实施差异化管控，完成申报评估186家，累计评定C级企业21家。完成23家企业单一低效治理工艺升级改造，6家企业原辅材料替代。突出重点移动源，深化清洁运输。新增使用新能源公交车762辆、出租车443辆，占比分别达到100%、93.1%；淘汰老旧车辆5048辆。</w:t>
                  </w:r>
                </w:p>
                <w:p w14:paraId="537E1649">
                  <w:pPr>
                    <w:pStyle w:val="147"/>
                    <w:keepNext w:val="0"/>
                    <w:keepLines w:val="0"/>
                    <w:suppressLineNumbers w:val="0"/>
                    <w:bidi w:val="0"/>
                    <w:spacing w:before="0" w:beforeAutospacing="0" w:after="0" w:afterAutospacing="0"/>
                    <w:ind w:left="0" w:right="0"/>
                    <w:rPr>
                      <w:color w:val="auto"/>
                      <w:sz w:val="18"/>
                      <w:szCs w:val="18"/>
                    </w:rPr>
                  </w:pPr>
                  <w:r>
                    <w:rPr>
                      <w:rFonts w:hint="eastAsia" w:ascii="Times New Roman" w:hAnsi="Times New Roman" w:eastAsia="宋体" w:cs="Times New Roman"/>
                      <w:color w:val="auto"/>
                      <w:sz w:val="18"/>
                      <w:szCs w:val="18"/>
                      <w:lang w:val="en" w:eastAsia="zh-CN"/>
                    </w:rPr>
                    <w:t>202</w:t>
                  </w:r>
                  <w:r>
                    <w:rPr>
                      <w:rFonts w:hint="eastAsia"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lang w:val="en" w:eastAsia="zh-CN"/>
                    </w:rPr>
                    <w:t>年，全市地表水24个监测断面（点位）中I~III类水质比例为79.2%，比上年增加2.3个百分点，Ⅳ类水质比例20.8%，淮河干流淮南段6个断面，I~II类水质比例为100%，总体水质状况为优。</w:t>
                  </w:r>
                  <w:r>
                    <w:rPr>
                      <w:color w:val="auto"/>
                      <w:sz w:val="18"/>
                      <w:szCs w:val="18"/>
                      <w:lang w:val="en" w:eastAsia="zh-CN"/>
                    </w:rPr>
                    <w:t>区域声环境质量达到《声环境质量标准》（GB3096-2008）3类区标准。本项目运营过程中会产生一定的污染物，通过采取相应的废水、噪声、固废治理措施，污染物排放量较小，对周边环境影响较小；噪声预测结果表明，在采取相应的隔声降噪措施处理后，生产过程中厂内各种设备运转产生的噪声均能满足《工业企业厂界环境噪声排放标准》</w:t>
                  </w:r>
                  <w:r>
                    <w:rPr>
                      <w:rFonts w:hint="eastAsia"/>
                      <w:color w:val="auto"/>
                      <w:sz w:val="18"/>
                      <w:szCs w:val="18"/>
                      <w:lang w:val="en" w:eastAsia="zh-CN"/>
                    </w:rPr>
                    <w:t>（</w:t>
                  </w:r>
                  <w:r>
                    <w:rPr>
                      <w:color w:val="auto"/>
                      <w:sz w:val="18"/>
                      <w:szCs w:val="18"/>
                      <w:lang w:val="en" w:eastAsia="zh-CN"/>
                    </w:rPr>
                    <w:t>GB12348-2008</w:t>
                  </w:r>
                  <w:r>
                    <w:rPr>
                      <w:rFonts w:hint="eastAsia"/>
                      <w:color w:val="auto"/>
                      <w:sz w:val="18"/>
                      <w:szCs w:val="18"/>
                      <w:lang w:val="en" w:eastAsia="zh-CN"/>
                    </w:rPr>
                    <w:t>）</w:t>
                  </w:r>
                  <w:r>
                    <w:rPr>
                      <w:color w:val="auto"/>
                      <w:sz w:val="18"/>
                      <w:szCs w:val="18"/>
                      <w:lang w:val="en" w:eastAsia="zh-CN"/>
                    </w:rPr>
                    <w:t>中3类标准的要求。项目实施后通过采取相应的污染防治措施，废水、噪声可以做到稳定达标排放，不会降低评价区域大气、地表水及声环境质量原有功能级别。</w:t>
                  </w:r>
                </w:p>
              </w:tc>
              <w:tc>
                <w:tcPr>
                  <w:tcW w:w="381" w:type="pct"/>
                  <w:noWrap w:val="0"/>
                  <w:vAlign w:val="center"/>
                </w:tcPr>
                <w:p w14:paraId="4155DAE1">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相符</w:t>
                  </w:r>
                </w:p>
              </w:tc>
            </w:tr>
            <w:tr w14:paraId="7C6A57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8" w:type="pct"/>
                  <w:noWrap w:val="0"/>
                  <w:vAlign w:val="center"/>
                </w:tcPr>
                <w:p w14:paraId="2EBECA0B">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3</w:t>
                  </w:r>
                </w:p>
              </w:tc>
              <w:tc>
                <w:tcPr>
                  <w:tcW w:w="371" w:type="pct"/>
                  <w:noWrap w:val="0"/>
                  <w:vAlign w:val="center"/>
                </w:tcPr>
                <w:p w14:paraId="3C0B239D">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资源利用上线</w:t>
                  </w:r>
                </w:p>
              </w:tc>
              <w:tc>
                <w:tcPr>
                  <w:tcW w:w="1373" w:type="pct"/>
                  <w:noWrap w:val="0"/>
                  <w:vAlign w:val="center"/>
                </w:tcPr>
                <w:p w14:paraId="72843DD8">
                  <w:pPr>
                    <w:pStyle w:val="147"/>
                    <w:keepNext w:val="0"/>
                    <w:keepLines w:val="0"/>
                    <w:suppressLineNumbers w:val="0"/>
                    <w:bidi w:val="0"/>
                    <w:spacing w:before="0" w:beforeAutospacing="0" w:after="0" w:afterAutospacing="0"/>
                    <w:ind w:left="0" w:right="0"/>
                    <w:rPr>
                      <w:rFonts w:hint="eastAsia" w:eastAsia="宋体"/>
                      <w:color w:val="auto"/>
                      <w:sz w:val="18"/>
                      <w:szCs w:val="18"/>
                      <w:lang w:eastAsia="zh-CN"/>
                    </w:rPr>
                  </w:pPr>
                  <w:r>
                    <w:rPr>
                      <w:color w:val="auto"/>
                      <w:sz w:val="18"/>
                      <w:szCs w:val="18"/>
                    </w:rPr>
                    <w:t>依据有关资源利用上线要求，即各地区能源、水、土地等资源消耗是不得突破的</w:t>
                  </w:r>
                  <w:r>
                    <w:rPr>
                      <w:rFonts w:hint="eastAsia"/>
                      <w:color w:val="auto"/>
                      <w:sz w:val="18"/>
                      <w:szCs w:val="18"/>
                      <w:lang w:eastAsia="zh-CN"/>
                    </w:rPr>
                    <w:t>“</w:t>
                  </w:r>
                  <w:r>
                    <w:rPr>
                      <w:color w:val="auto"/>
                      <w:sz w:val="18"/>
                      <w:szCs w:val="18"/>
                    </w:rPr>
                    <w:t>天花板</w:t>
                  </w:r>
                  <w:r>
                    <w:rPr>
                      <w:rFonts w:hint="eastAsia"/>
                      <w:color w:val="auto"/>
                      <w:sz w:val="18"/>
                      <w:szCs w:val="18"/>
                      <w:lang w:eastAsia="zh-CN"/>
                    </w:rPr>
                    <w:t>”</w:t>
                  </w:r>
                </w:p>
              </w:tc>
              <w:tc>
                <w:tcPr>
                  <w:tcW w:w="2525" w:type="pct"/>
                  <w:noWrap w:val="0"/>
                  <w:vAlign w:val="center"/>
                </w:tcPr>
                <w:p w14:paraId="22E1FC04">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本项目</w:t>
                  </w:r>
                  <w:r>
                    <w:rPr>
                      <w:rFonts w:hint="eastAsia"/>
                      <w:color w:val="auto"/>
                      <w:sz w:val="18"/>
                      <w:szCs w:val="18"/>
                      <w:lang w:val="en-US" w:eastAsia="zh-CN"/>
                    </w:rPr>
                    <w:t>利用现有厂区内厂房，新建租赁</w:t>
                  </w:r>
                  <w:r>
                    <w:rPr>
                      <w:rFonts w:hint="default" w:ascii="Times New Roman" w:hAnsi="Times New Roman" w:cs="Times New Roman"/>
                      <w:b w:val="0"/>
                      <w:bCs w:val="0"/>
                      <w:color w:val="auto"/>
                      <w:sz w:val="18"/>
                      <w:szCs w:val="18"/>
                      <w:lang w:eastAsia="zh-CN"/>
                    </w:rPr>
                    <w:t>淮南高新技术产业开发区</w:t>
                  </w:r>
                  <w:r>
                    <w:rPr>
                      <w:rFonts w:hint="eastAsia" w:cs="Times New Roman"/>
                      <w:b w:val="0"/>
                      <w:bCs w:val="0"/>
                      <w:color w:val="auto"/>
                      <w:sz w:val="18"/>
                      <w:szCs w:val="18"/>
                      <w:lang w:val="en-US" w:eastAsia="zh-CN"/>
                    </w:rPr>
                    <w:t>新建工业厂房，</w:t>
                  </w:r>
                  <w:r>
                    <w:rPr>
                      <w:color w:val="auto"/>
                      <w:sz w:val="18"/>
                      <w:szCs w:val="18"/>
                    </w:rPr>
                    <w:t>用地性质为工业用地，</w:t>
                  </w:r>
                  <w:r>
                    <w:rPr>
                      <w:rFonts w:hint="eastAsia"/>
                      <w:color w:val="auto"/>
                      <w:sz w:val="18"/>
                      <w:szCs w:val="18"/>
                      <w:lang w:val="en-US" w:eastAsia="zh-CN"/>
                    </w:rPr>
                    <w:t>本项目已取得</w:t>
                  </w:r>
                  <w:r>
                    <w:rPr>
                      <w:rFonts w:hint="eastAsia"/>
                      <w:color w:val="auto"/>
                      <w:sz w:val="18"/>
                      <w:szCs w:val="18"/>
                    </w:rPr>
                    <w:t>淮南高新区经济发展局</w:t>
                  </w:r>
                  <w:r>
                    <w:rPr>
                      <w:color w:val="auto"/>
                      <w:sz w:val="18"/>
                      <w:szCs w:val="18"/>
                    </w:rPr>
                    <w:t>对本项目予以备案，</w:t>
                  </w:r>
                  <w:r>
                    <w:rPr>
                      <w:rFonts w:hint="eastAsia"/>
                      <w:color w:val="auto"/>
                      <w:sz w:val="18"/>
                      <w:szCs w:val="18"/>
                      <w:lang w:val="en-US" w:eastAsia="zh-CN"/>
                    </w:rPr>
                    <w:t>本项目建设</w:t>
                  </w:r>
                  <w:r>
                    <w:rPr>
                      <w:color w:val="auto"/>
                      <w:sz w:val="18"/>
                      <w:szCs w:val="18"/>
                    </w:rPr>
                    <w:t>不涉及能源、水、土地等资源上线，项目原料均新料，所购买原料不含危险物质。</w:t>
                  </w:r>
                </w:p>
              </w:tc>
              <w:tc>
                <w:tcPr>
                  <w:tcW w:w="381" w:type="pct"/>
                  <w:noWrap w:val="0"/>
                  <w:vAlign w:val="center"/>
                </w:tcPr>
                <w:p w14:paraId="26D62358">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相符</w:t>
                  </w:r>
                </w:p>
              </w:tc>
            </w:tr>
            <w:tr w14:paraId="2BD8E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8" w:type="pct"/>
                  <w:noWrap w:val="0"/>
                  <w:vAlign w:val="center"/>
                </w:tcPr>
                <w:p w14:paraId="6A672C71">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4</w:t>
                  </w:r>
                </w:p>
              </w:tc>
              <w:tc>
                <w:tcPr>
                  <w:tcW w:w="371" w:type="pct"/>
                  <w:noWrap w:val="0"/>
                  <w:vAlign w:val="center"/>
                </w:tcPr>
                <w:p w14:paraId="7A492671">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环境准入负面清单</w:t>
                  </w:r>
                </w:p>
              </w:tc>
              <w:tc>
                <w:tcPr>
                  <w:tcW w:w="1373" w:type="pct"/>
                  <w:noWrap w:val="0"/>
                  <w:vAlign w:val="center"/>
                </w:tcPr>
                <w:p w14:paraId="710C0B7A">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525" w:type="pct"/>
                  <w:noWrap w:val="0"/>
                  <w:vAlign w:val="center"/>
                </w:tcPr>
                <w:p w14:paraId="14019A86">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对照《产业结构调整指导目录（20</w:t>
                  </w:r>
                  <w:r>
                    <w:rPr>
                      <w:rFonts w:hint="eastAsia"/>
                      <w:color w:val="auto"/>
                      <w:sz w:val="18"/>
                      <w:szCs w:val="18"/>
                    </w:rPr>
                    <w:t>24</w:t>
                  </w:r>
                  <w:r>
                    <w:rPr>
                      <w:color w:val="auto"/>
                      <w:sz w:val="18"/>
                      <w:szCs w:val="18"/>
                    </w:rPr>
                    <w:t>年本）》，本项目不属于鼓励类、限制类和淘汰类，视为允许类，同时对照《</w:t>
                  </w:r>
                  <w:r>
                    <w:rPr>
                      <w:rFonts w:hint="eastAsia"/>
                      <w:color w:val="auto"/>
                      <w:sz w:val="18"/>
                      <w:szCs w:val="18"/>
                    </w:rPr>
                    <w:t>安徽淮南谢家集经济开发区总体发展规划（2023-2035年）环境影响报告书</w:t>
                  </w:r>
                  <w:r>
                    <w:rPr>
                      <w:color w:val="auto"/>
                      <w:sz w:val="18"/>
                      <w:szCs w:val="18"/>
                    </w:rPr>
                    <w:t>》中环境准入</w:t>
                  </w:r>
                  <w:r>
                    <w:rPr>
                      <w:rFonts w:hint="eastAsia"/>
                      <w:color w:val="auto"/>
                      <w:sz w:val="18"/>
                      <w:szCs w:val="18"/>
                      <w:lang w:val="en-US" w:eastAsia="zh-CN"/>
                    </w:rPr>
                    <w:t>负面</w:t>
                  </w:r>
                  <w:r>
                    <w:rPr>
                      <w:color w:val="auto"/>
                      <w:sz w:val="18"/>
                      <w:szCs w:val="18"/>
                    </w:rPr>
                    <w:t>清单，本项目不属于负面清单项目。</w:t>
                  </w:r>
                </w:p>
              </w:tc>
              <w:tc>
                <w:tcPr>
                  <w:tcW w:w="381" w:type="pct"/>
                  <w:noWrap w:val="0"/>
                  <w:vAlign w:val="center"/>
                </w:tcPr>
                <w:p w14:paraId="75410F22">
                  <w:pPr>
                    <w:pStyle w:val="147"/>
                    <w:keepNext w:val="0"/>
                    <w:keepLines w:val="0"/>
                    <w:suppressLineNumbers w:val="0"/>
                    <w:bidi w:val="0"/>
                    <w:spacing w:before="0" w:beforeAutospacing="0" w:after="0" w:afterAutospacing="0"/>
                    <w:ind w:left="0" w:right="0"/>
                    <w:rPr>
                      <w:color w:val="auto"/>
                      <w:sz w:val="18"/>
                      <w:szCs w:val="18"/>
                    </w:rPr>
                  </w:pPr>
                  <w:r>
                    <w:rPr>
                      <w:color w:val="auto"/>
                      <w:sz w:val="18"/>
                      <w:szCs w:val="18"/>
                    </w:rPr>
                    <w:t>相符</w:t>
                  </w:r>
                </w:p>
              </w:tc>
            </w:tr>
          </w:tbl>
          <w:p w14:paraId="0DA62F57">
            <w:pPr>
              <w:pStyle w:val="123"/>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综上所述，项目符合《关于以改善环境质量为核心加强环境影响评价管理的通知》（环环评[2016]150号）中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相关要求。</w:t>
            </w:r>
          </w:p>
          <w:p w14:paraId="0E7217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b/>
                <w:bCs/>
                <w:color w:val="auto"/>
              </w:rPr>
            </w:pPr>
            <w:r>
              <w:rPr>
                <w:rFonts w:hint="eastAsia"/>
                <w:b/>
                <w:bCs/>
                <w:color w:val="auto"/>
              </w:rPr>
              <w:t>（2）与</w:t>
            </w:r>
            <w:r>
              <w:rPr>
                <w:rFonts w:hint="eastAsia"/>
                <w:b/>
                <w:bCs/>
                <w:color w:val="auto"/>
                <w:lang w:val="en-US" w:eastAsia="zh-CN"/>
              </w:rPr>
              <w:t>生态环境分区管控</w:t>
            </w:r>
            <w:r>
              <w:rPr>
                <w:rFonts w:hint="eastAsia"/>
                <w:b/>
                <w:bCs/>
                <w:color w:val="auto"/>
              </w:rPr>
              <w:t>相符性</w:t>
            </w:r>
          </w:p>
          <w:p w14:paraId="7DE70FBC">
            <w:pPr>
              <w:pStyle w:val="123"/>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根据安徽省</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公众服务平台查询，本项目所在区域环境管控单元编码为：ZH34040420031，与“三线一单”成果数据分析，与1个环境管控单元存在交叠，其中优先保护类0个，重点管控类1个，一般管控类0个。根据淮南市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图集</w:t>
            </w:r>
            <w:r>
              <w:rPr>
                <w:rFonts w:hint="eastAsia" w:ascii="Times New Roman" w:hAnsi="Times New Roman" w:eastAsia="宋体" w:cs="Times New Roman"/>
                <w:color w:val="auto"/>
                <w:sz w:val="21"/>
                <w:szCs w:val="21"/>
                <w:lang w:val="en-US" w:eastAsia="zh-CN"/>
              </w:rPr>
              <w:t>，对照</w:t>
            </w:r>
            <w:r>
              <w:rPr>
                <w:rFonts w:hint="eastAsia" w:ascii="Times New Roman" w:hAnsi="Times New Roman" w:eastAsia="宋体" w:cs="Times New Roman"/>
                <w:color w:val="auto"/>
                <w:sz w:val="21"/>
                <w:szCs w:val="21"/>
              </w:rPr>
              <w:t>安徽“三线一单”管控要求查询报告</w:t>
            </w:r>
            <w:r>
              <w:rPr>
                <w:rFonts w:hint="eastAsia" w:ascii="Times New Roman" w:hAnsi="Times New Roman" w:eastAsia="宋体" w:cs="Times New Roman"/>
                <w:color w:val="auto"/>
                <w:sz w:val="21"/>
                <w:szCs w:val="21"/>
                <w:lang w:val="en-US" w:eastAsia="zh-CN"/>
              </w:rPr>
              <w:t>内容要求</w:t>
            </w:r>
            <w:r>
              <w:rPr>
                <w:rFonts w:hint="eastAsia" w:ascii="Times New Roman" w:hAnsi="Times New Roman" w:eastAsia="宋体" w:cs="Times New Roman"/>
                <w:color w:val="auto"/>
                <w:sz w:val="21"/>
                <w:szCs w:val="21"/>
              </w:rPr>
              <w:t>，本次环评筛选了与本项目有关的管控</w:t>
            </w:r>
            <w:r>
              <w:rPr>
                <w:rFonts w:hint="eastAsia" w:ascii="Times New Roman" w:hAnsi="Times New Roman" w:eastAsia="宋体" w:cs="Times New Roman"/>
                <w:color w:val="auto"/>
                <w:sz w:val="21"/>
                <w:szCs w:val="21"/>
                <w:lang w:val="en-US" w:eastAsia="zh-CN"/>
              </w:rPr>
              <w:t>要求</w:t>
            </w:r>
            <w:r>
              <w:rPr>
                <w:rFonts w:hint="eastAsia" w:ascii="Times New Roman" w:hAnsi="Times New Roman" w:eastAsia="宋体" w:cs="Times New Roman"/>
                <w:color w:val="auto"/>
                <w:sz w:val="21"/>
                <w:szCs w:val="21"/>
              </w:rPr>
              <w:t>单元生态环境准入清单进行分析，详见下表。</w:t>
            </w:r>
          </w:p>
          <w:p w14:paraId="35436CFD">
            <w:pPr>
              <w:keepNext w:val="0"/>
              <w:keepLines w:val="0"/>
              <w:pageBreakBefore w:val="0"/>
              <w:widowControl w:val="0"/>
              <w:suppressLineNumbers w:val="0"/>
              <w:tabs>
                <w:tab w:val="left" w:pos="7350"/>
              </w:tabs>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eastAsia"/>
                <w:color w:val="auto"/>
                <w:sz w:val="24"/>
              </w:rPr>
            </w:pPr>
            <w:r>
              <w:rPr>
                <w:color w:val="auto"/>
              </w:rPr>
              <w:drawing>
                <wp:inline distT="0" distB="0" distL="114300" distR="114300">
                  <wp:extent cx="4579620" cy="3154045"/>
                  <wp:effectExtent l="0" t="0" r="7620" b="635"/>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7"/>
                          <a:stretch>
                            <a:fillRect/>
                          </a:stretch>
                        </pic:blipFill>
                        <pic:spPr>
                          <a:xfrm>
                            <a:off x="0" y="0"/>
                            <a:ext cx="4579620" cy="3154045"/>
                          </a:xfrm>
                          <a:prstGeom prst="rect">
                            <a:avLst/>
                          </a:prstGeom>
                          <a:noFill/>
                          <a:ln>
                            <a:noFill/>
                          </a:ln>
                        </pic:spPr>
                      </pic:pic>
                    </a:graphicData>
                  </a:graphic>
                </wp:inline>
              </w:drawing>
            </w:r>
          </w:p>
          <w:p w14:paraId="0430231E">
            <w:pPr>
              <w:pStyle w:val="81"/>
              <w:keepNext w:val="0"/>
              <w:keepLines w:val="0"/>
              <w:pageBreakBefore w:val="0"/>
              <w:widowControl/>
              <w:suppressLineNumbers w:val="0"/>
              <w:kinsoku/>
              <w:wordWrap/>
              <w:overflowPunct/>
              <w:topLinePunct w:val="0"/>
              <w:autoSpaceDE/>
              <w:autoSpaceDN/>
              <w:bidi w:val="0"/>
              <w:adjustRightInd/>
              <w:snapToGrid w:val="0"/>
              <w:spacing w:beforeAutospacing="0" w:afterAutospacing="0" w:line="260" w:lineRule="auto"/>
              <w:ind w:left="0" w:right="0" w:firstLine="0"/>
              <w:textAlignment w:val="auto"/>
              <w:rPr>
                <w:rFonts w:hint="default" w:cs="宋体"/>
                <w:color w:val="auto"/>
                <w:kern w:val="2"/>
                <w:szCs w:val="21"/>
                <w:lang w:val="en-US" w:eastAsia="zh-CN"/>
              </w:rPr>
            </w:pPr>
            <w:r>
              <w:rPr>
                <w:rFonts w:hint="eastAsia" w:cs="宋体"/>
                <w:color w:val="auto"/>
                <w:kern w:val="2"/>
                <w:szCs w:val="21"/>
                <w:lang w:val="en-US" w:eastAsia="zh-CN"/>
              </w:rPr>
              <w:t>图1-1  本项目在生态环境分区管控单元的点位图</w:t>
            </w:r>
          </w:p>
          <w:p w14:paraId="17F94022">
            <w:pPr>
              <w:pStyle w:val="81"/>
              <w:keepNext w:val="0"/>
              <w:keepLines w:val="0"/>
              <w:suppressLineNumbers w:val="0"/>
              <w:bidi w:val="0"/>
              <w:spacing w:beforeAutospacing="0" w:afterAutospacing="0"/>
              <w:ind w:left="0"/>
              <w:rPr>
                <w:rFonts w:hint="default"/>
                <w:color w:val="auto"/>
              </w:rPr>
            </w:pPr>
            <w:r>
              <w:rPr>
                <w:rFonts w:hint="eastAsia"/>
                <w:color w:val="auto"/>
                <w:lang w:val="en-US" w:eastAsia="zh-CN"/>
              </w:rPr>
              <w:t>表1-10  本项目与生态管控单元的符合性分析</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34"/>
              <w:gridCol w:w="2866"/>
              <w:gridCol w:w="1980"/>
              <w:gridCol w:w="827"/>
            </w:tblGrid>
            <w:tr w14:paraId="7A4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noWrap w:val="0"/>
                  <w:vAlign w:val="center"/>
                </w:tcPr>
                <w:p w14:paraId="4EBE042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区域管控要求</w:t>
                  </w:r>
                </w:p>
              </w:tc>
              <w:tc>
                <w:tcPr>
                  <w:tcW w:w="509" w:type="pct"/>
                  <w:noWrap w:val="0"/>
                  <w:vAlign w:val="center"/>
                </w:tcPr>
                <w:p w14:paraId="526DBE9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管控</w:t>
                  </w:r>
                </w:p>
                <w:p w14:paraId="4AA5E41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类别</w:t>
                  </w:r>
                </w:p>
              </w:tc>
              <w:tc>
                <w:tcPr>
                  <w:tcW w:w="1988" w:type="pct"/>
                  <w:noWrap w:val="0"/>
                  <w:vAlign w:val="center"/>
                </w:tcPr>
                <w:p w14:paraId="4F81E8B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管控要求</w:t>
                  </w:r>
                </w:p>
              </w:tc>
              <w:tc>
                <w:tcPr>
                  <w:tcW w:w="1373" w:type="pct"/>
                  <w:noWrap w:val="0"/>
                  <w:vAlign w:val="center"/>
                </w:tcPr>
                <w:p w14:paraId="0A0AF24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协调性分析</w:t>
                  </w:r>
                </w:p>
              </w:tc>
              <w:tc>
                <w:tcPr>
                  <w:tcW w:w="573" w:type="pct"/>
                  <w:noWrap w:val="0"/>
                  <w:vAlign w:val="center"/>
                </w:tcPr>
                <w:p w14:paraId="43C0900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符合性分析</w:t>
                  </w:r>
                </w:p>
              </w:tc>
            </w:tr>
            <w:tr w14:paraId="19E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restart"/>
                  <w:noWrap w:val="0"/>
                  <w:vAlign w:val="center"/>
                </w:tcPr>
                <w:p w14:paraId="71563A1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重点管控单元12</w:t>
                  </w:r>
                </w:p>
              </w:tc>
              <w:tc>
                <w:tcPr>
                  <w:tcW w:w="509" w:type="pct"/>
                  <w:vMerge w:val="restart"/>
                  <w:noWrap w:val="0"/>
                  <w:vAlign w:val="center"/>
                </w:tcPr>
                <w:p w14:paraId="71820F8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空间布局约束</w:t>
                  </w:r>
                </w:p>
              </w:tc>
              <w:tc>
                <w:tcPr>
                  <w:tcW w:w="1988" w:type="pct"/>
                  <w:noWrap w:val="0"/>
                  <w:vAlign w:val="center"/>
                </w:tcPr>
                <w:p w14:paraId="42E18C7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1在城市城区及其近郊禁止新建、扩建钢铁、有色、石化、水泥、化工等重污染企业。</w:t>
                  </w:r>
                </w:p>
              </w:tc>
              <w:tc>
                <w:tcPr>
                  <w:tcW w:w="1373" w:type="pct"/>
                  <w:noWrap w:val="0"/>
                  <w:vAlign w:val="center"/>
                </w:tcPr>
                <w:p w14:paraId="1EF759E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本项目</w:t>
                  </w:r>
                  <w:r>
                    <w:rPr>
                      <w:rFonts w:hint="eastAsia" w:cs="Times New Roman"/>
                      <w:color w:val="auto"/>
                      <w:sz w:val="18"/>
                      <w:szCs w:val="18"/>
                      <w:lang w:val="en-US" w:eastAsia="zh-CN"/>
                    </w:rPr>
                    <w:t>进行日用玻璃制品制造，不涉及前述行业</w:t>
                  </w:r>
                  <w:r>
                    <w:rPr>
                      <w:rFonts w:hint="default" w:ascii="Times New Roman" w:hAnsi="Times New Roman" w:cs="Times New Roman"/>
                      <w:color w:val="auto"/>
                      <w:sz w:val="18"/>
                      <w:szCs w:val="18"/>
                      <w:lang w:val="en-US" w:eastAsia="zh-CN"/>
                    </w:rPr>
                    <w:t>。</w:t>
                  </w:r>
                </w:p>
              </w:tc>
              <w:tc>
                <w:tcPr>
                  <w:tcW w:w="573" w:type="pct"/>
                  <w:noWrap w:val="0"/>
                  <w:vAlign w:val="center"/>
                </w:tcPr>
                <w:p w14:paraId="190414A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3937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6A06F11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19BDB07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3AD7BB47">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2禁止新建燃料类煤气发生炉（园区现有企业统一建设的清洁煤制气中心除外）。</w:t>
                  </w:r>
                </w:p>
              </w:tc>
              <w:tc>
                <w:tcPr>
                  <w:tcW w:w="1373" w:type="pct"/>
                  <w:noWrap w:val="0"/>
                  <w:vAlign w:val="center"/>
                </w:tcPr>
                <w:p w14:paraId="30874C9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本项目</w:t>
                  </w:r>
                  <w:r>
                    <w:rPr>
                      <w:rFonts w:hint="eastAsia" w:ascii="Times New Roman" w:cs="Times New Roman"/>
                      <w:color w:val="auto"/>
                      <w:sz w:val="18"/>
                      <w:szCs w:val="18"/>
                      <w:lang w:val="en-US" w:eastAsia="zh-CN"/>
                    </w:rPr>
                    <w:t>不</w:t>
                  </w:r>
                  <w:r>
                    <w:rPr>
                      <w:rFonts w:hint="eastAsia" w:cs="Times New Roman"/>
                      <w:color w:val="auto"/>
                      <w:sz w:val="18"/>
                      <w:szCs w:val="18"/>
                      <w:lang w:val="en-US" w:eastAsia="zh-CN"/>
                    </w:rPr>
                    <w:t>使用煤气发生炉</w:t>
                  </w:r>
                </w:p>
              </w:tc>
              <w:tc>
                <w:tcPr>
                  <w:tcW w:w="573" w:type="pct"/>
                  <w:noWrap w:val="0"/>
                  <w:vAlign w:val="center"/>
                </w:tcPr>
                <w:p w14:paraId="1B62F81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9F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7190B97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50830F4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7AE2FB2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3严禁新增钢铁、焦化、电解铝、铸造、水泥和平板玻璃等产能；严格执行钢铁、水泥、平板玻璃等行业产能置换实施办法。</w:t>
                  </w:r>
                </w:p>
              </w:tc>
              <w:tc>
                <w:tcPr>
                  <w:tcW w:w="1373" w:type="pct"/>
                  <w:noWrap w:val="0"/>
                  <w:vAlign w:val="center"/>
                </w:tcPr>
                <w:p w14:paraId="354C99F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本项目进行日用玻璃制品制造，不生产平板玻璃。</w:t>
                  </w:r>
                </w:p>
              </w:tc>
              <w:tc>
                <w:tcPr>
                  <w:tcW w:w="573" w:type="pct"/>
                  <w:noWrap w:val="0"/>
                  <w:vAlign w:val="center"/>
                </w:tcPr>
                <w:p w14:paraId="62A8A38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7EF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1FD425C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528A804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0A30D12D">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4严格执行国家关于“两高”产业准入目录和产能总量控制政策措施。严禁新增钢铁、焦化、电解铝、铸造、水泥和平板玻璃等产能；新、改、扩建涉及大宗物料运输的建设项目，原则上不得采用公路运输。</w:t>
                  </w:r>
                </w:p>
              </w:tc>
              <w:tc>
                <w:tcPr>
                  <w:tcW w:w="1373" w:type="pct"/>
                  <w:noWrap w:val="0"/>
                  <w:vAlign w:val="center"/>
                </w:tcPr>
                <w:p w14:paraId="6CD0C29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对照《安徽省“两高”项目管理目录（试行）》，本项目不属于“两高”项目。本项目物料运输采用国六标准汽车。</w:t>
                  </w:r>
                </w:p>
              </w:tc>
              <w:tc>
                <w:tcPr>
                  <w:tcW w:w="573" w:type="pct"/>
                  <w:noWrap w:val="0"/>
                  <w:vAlign w:val="center"/>
                </w:tcPr>
                <w:p w14:paraId="0C4BC0F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853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2D0FB2A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65B58C7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41DBCB2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7非电行业新建项目，禁止配套建设自备纯凝、抽凝燃煤电站。</w:t>
                  </w:r>
                </w:p>
              </w:tc>
              <w:tc>
                <w:tcPr>
                  <w:tcW w:w="1373" w:type="pct"/>
                  <w:noWrap w:val="0"/>
                  <w:vAlign w:val="center"/>
                </w:tcPr>
                <w:p w14:paraId="5316EF8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本项目不建设电站</w:t>
                  </w:r>
                </w:p>
              </w:tc>
              <w:tc>
                <w:tcPr>
                  <w:tcW w:w="573" w:type="pct"/>
                  <w:noWrap w:val="0"/>
                  <w:vAlign w:val="center"/>
                </w:tcPr>
                <w:p w14:paraId="6ABDCED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F08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0108F91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7DDF698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00B4A97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tc>
              <w:tc>
                <w:tcPr>
                  <w:tcW w:w="1373" w:type="pct"/>
                  <w:noWrap w:val="0"/>
                  <w:vAlign w:val="center"/>
                </w:tcPr>
                <w:p w14:paraId="5E4292A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本项目</w:t>
                  </w:r>
                  <w:r>
                    <w:rPr>
                      <w:rFonts w:hint="eastAsia" w:cs="Times New Roman"/>
                      <w:color w:val="auto"/>
                      <w:sz w:val="18"/>
                      <w:szCs w:val="18"/>
                      <w:lang w:val="en-US" w:eastAsia="zh-CN"/>
                    </w:rPr>
                    <w:t>不属于两高项目</w:t>
                  </w:r>
                </w:p>
              </w:tc>
              <w:tc>
                <w:tcPr>
                  <w:tcW w:w="573" w:type="pct"/>
                  <w:noWrap w:val="0"/>
                  <w:vAlign w:val="center"/>
                </w:tcPr>
                <w:p w14:paraId="45C6BD1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B75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47CCC83A">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3F49819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58388BF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12禁止新建、扩建分散燃煤供热锅炉。</w:t>
                  </w:r>
                </w:p>
              </w:tc>
              <w:tc>
                <w:tcPr>
                  <w:tcW w:w="1373" w:type="pct"/>
                  <w:noWrap w:val="0"/>
                  <w:vAlign w:val="center"/>
                </w:tcPr>
                <w:p w14:paraId="7ECA05A7">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本项目生产不涉及燃煤</w:t>
                  </w:r>
                </w:p>
              </w:tc>
              <w:tc>
                <w:tcPr>
                  <w:tcW w:w="573" w:type="pct"/>
                  <w:noWrap w:val="0"/>
                  <w:vAlign w:val="center"/>
                </w:tcPr>
                <w:p w14:paraId="5618211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F9D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50DD034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092F9A8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00E0B1F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13在城市规划区内禁止新建、扩建大气污染严重的建设项目。</w:t>
                  </w:r>
                </w:p>
              </w:tc>
              <w:tc>
                <w:tcPr>
                  <w:tcW w:w="1373" w:type="pct"/>
                  <w:noWrap w:val="0"/>
                  <w:vAlign w:val="center"/>
                </w:tcPr>
                <w:p w14:paraId="170BC020">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本项目营运期会产生燃料燃烧废气，配套废气处理设备，确保达标排放，不属于扩建大气污染严重项目。</w:t>
                  </w:r>
                </w:p>
              </w:tc>
              <w:tc>
                <w:tcPr>
                  <w:tcW w:w="573" w:type="pct"/>
                  <w:noWrap w:val="0"/>
                  <w:vAlign w:val="center"/>
                </w:tcPr>
                <w:p w14:paraId="5D6D44B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0DD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1DE7BA5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3854DA7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7C0E38C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373" w:type="pct"/>
                  <w:noWrap w:val="0"/>
                  <w:vAlign w:val="center"/>
                </w:tcPr>
                <w:p w14:paraId="2381EED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本项目燃料和能源不使用煤</w:t>
                  </w:r>
                </w:p>
              </w:tc>
              <w:tc>
                <w:tcPr>
                  <w:tcW w:w="573" w:type="pct"/>
                  <w:noWrap w:val="0"/>
                  <w:vAlign w:val="center"/>
                </w:tcPr>
                <w:p w14:paraId="5004E8A0">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D3F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4C8C014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01C278F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74A433B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15禁止在人口集中地区、机场周围、交通干线附近以及当地人民政府划定的区域露天焚烧秸秆、落叶、垃圾等产生烟尘污染的物质。</w:t>
                  </w:r>
                </w:p>
              </w:tc>
              <w:tc>
                <w:tcPr>
                  <w:tcW w:w="1373" w:type="pct"/>
                  <w:noWrap w:val="0"/>
                  <w:vAlign w:val="center"/>
                </w:tcPr>
                <w:p w14:paraId="5C0DD97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本项目进行日用玻璃制品生产加工，不进行垃圾等焚烧</w:t>
                  </w:r>
                </w:p>
              </w:tc>
              <w:tc>
                <w:tcPr>
                  <w:tcW w:w="573" w:type="pct"/>
                  <w:noWrap w:val="0"/>
                  <w:vAlign w:val="center"/>
                </w:tcPr>
                <w:p w14:paraId="660BC907">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0156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507B6BD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4F1D718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7B6818F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6在燃气管网和集中供热管网覆盖的区域，不得新建、扩建、改建燃烧煤炭、重油、渣油的供热设施；原有分散的中小型燃煤供热锅炉应当限期拆除。</w:t>
                  </w:r>
                </w:p>
              </w:tc>
              <w:tc>
                <w:tcPr>
                  <w:tcW w:w="1373" w:type="pct"/>
                  <w:noWrap w:val="0"/>
                  <w:vAlign w:val="center"/>
                </w:tcPr>
                <w:p w14:paraId="0C0C40D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本项目生产能源主要使用液压天然气、管道天然气、液化石油气，不涉及煤炭、重油、渣油等燃料使用</w:t>
                  </w:r>
                </w:p>
              </w:tc>
              <w:tc>
                <w:tcPr>
                  <w:tcW w:w="573" w:type="pct"/>
                  <w:noWrap w:val="0"/>
                  <w:vAlign w:val="center"/>
                </w:tcPr>
                <w:p w14:paraId="4721AFF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28E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1BDABDE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2F4DBA01">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0D181167">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1373" w:type="pct"/>
                  <w:noWrap w:val="0"/>
                  <w:vAlign w:val="center"/>
                </w:tcPr>
                <w:p w14:paraId="3F53D13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本项目不属于禁止新增项目</w:t>
                  </w:r>
                </w:p>
              </w:tc>
              <w:tc>
                <w:tcPr>
                  <w:tcW w:w="573" w:type="pct"/>
                  <w:noWrap w:val="0"/>
                  <w:vAlign w:val="center"/>
                </w:tcPr>
                <w:p w14:paraId="417F1FB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07E3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091AF1A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77EFCF2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17630B9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13严把“两高”项目审批，严格落实区域削减措施，对不符合规定的坚决停批停建。17禁止新建焦化、有色金属、制革、农药等行业企业。</w:t>
                  </w:r>
                </w:p>
              </w:tc>
              <w:tc>
                <w:tcPr>
                  <w:tcW w:w="1373" w:type="pct"/>
                  <w:noWrap w:val="0"/>
                  <w:vAlign w:val="center"/>
                </w:tcPr>
                <w:p w14:paraId="08DB21B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本项目不属于两高项目，不属于焦化、有色金属、制革、农药等行业。</w:t>
                  </w:r>
                </w:p>
              </w:tc>
              <w:tc>
                <w:tcPr>
                  <w:tcW w:w="573" w:type="pct"/>
                  <w:noWrap w:val="0"/>
                  <w:vAlign w:val="center"/>
                </w:tcPr>
                <w:p w14:paraId="20834F8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66F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393EEBE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5B043B2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38EAF67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28重点区域钢铁、水泥、焦化、石化、化工、有色等行业，二氧化硫、氮氧化物、颗粒物、挥发性有机物（VOCs）排放全面执行大气污染物特别排放限值。</w:t>
                  </w:r>
                </w:p>
              </w:tc>
              <w:tc>
                <w:tcPr>
                  <w:tcW w:w="1373" w:type="pct"/>
                  <w:noWrap w:val="0"/>
                  <w:vAlign w:val="center"/>
                </w:tcPr>
                <w:p w14:paraId="189D5B2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olor w:val="auto"/>
                      <w:sz w:val="18"/>
                      <w:szCs w:val="18"/>
                      <w:lang w:val="en-US" w:eastAsia="zh-CN"/>
                    </w:rPr>
                    <w:t>本项目</w:t>
                  </w:r>
                  <w:r>
                    <w:rPr>
                      <w:rFonts w:hint="default" w:ascii="Times New Roman" w:hAnsi="Times New Roman" w:cs="Times New Roman"/>
                      <w:color w:val="auto"/>
                      <w:sz w:val="18"/>
                      <w:szCs w:val="18"/>
                    </w:rPr>
                    <w:t>二氧化硫、氮氧化物、颗粒物</w:t>
                  </w:r>
                  <w:r>
                    <w:rPr>
                      <w:rFonts w:hint="eastAsia" w:ascii="Times New Roman" w:hAnsi="Times New Roman" w:cs="Times New Roman"/>
                      <w:color w:val="auto"/>
                      <w:sz w:val="18"/>
                      <w:szCs w:val="18"/>
                      <w:lang w:val="en-US" w:eastAsia="zh-CN"/>
                    </w:rPr>
                    <w:t>执行</w:t>
                  </w:r>
                  <w:r>
                    <w:rPr>
                      <w:rFonts w:hint="eastAsia"/>
                      <w:color w:val="auto"/>
                      <w:sz w:val="18"/>
                      <w:szCs w:val="18"/>
                      <w:lang w:val="en-US" w:eastAsia="zh-CN"/>
                    </w:rPr>
                    <w:t>《玻璃工业大气污染物排放标准》(DB34/4295-2022)表1中大气污染物排放限值和表3企业无组织排放浓度限值要求</w:t>
                  </w:r>
                </w:p>
              </w:tc>
              <w:tc>
                <w:tcPr>
                  <w:tcW w:w="573" w:type="pct"/>
                  <w:noWrap w:val="0"/>
                  <w:vAlign w:val="center"/>
                </w:tcPr>
                <w:p w14:paraId="3FEC9F8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1A0F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0118CE9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4AB4757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2262A11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79引导石化、化工、钢铁、建材、有色金属等重点行业合理布局，提高化工、有色金属、农副食品加工、印染、制革、原料药制造、电镀等行业集聚水平。</w:t>
                  </w:r>
                </w:p>
              </w:tc>
              <w:tc>
                <w:tcPr>
                  <w:tcW w:w="1373" w:type="pct"/>
                  <w:vMerge w:val="restart"/>
                  <w:noWrap w:val="0"/>
                  <w:vAlign w:val="center"/>
                </w:tcPr>
                <w:p w14:paraId="6EA975B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本项目选址位于谢家集经济开发区，布局满足园区要求</w:t>
                  </w:r>
                </w:p>
              </w:tc>
              <w:tc>
                <w:tcPr>
                  <w:tcW w:w="573" w:type="pct"/>
                  <w:noWrap w:val="0"/>
                  <w:vAlign w:val="center"/>
                </w:tcPr>
                <w:p w14:paraId="0F48490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384E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55FFA69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26DD395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1B0C9D4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83推动污染企业退出。城市建成区内现有钢铁、有色金属、造纸、印染、原料药制造、化工等污染较重的企业应有序搬迁改造或依法关闭。</w:t>
                  </w:r>
                </w:p>
              </w:tc>
              <w:tc>
                <w:tcPr>
                  <w:tcW w:w="1373" w:type="pct"/>
                  <w:vMerge w:val="continue"/>
                  <w:noWrap w:val="0"/>
                  <w:vAlign w:val="center"/>
                </w:tcPr>
                <w:p w14:paraId="096C727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p>
              </w:tc>
              <w:tc>
                <w:tcPr>
                  <w:tcW w:w="573" w:type="pct"/>
                  <w:noWrap w:val="0"/>
                  <w:vAlign w:val="center"/>
                </w:tcPr>
                <w:p w14:paraId="192F94B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14:paraId="76C1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642DFF4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1BFA281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16E4CA8A">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85国家禁止新建不符合国家产业政策的小型造纸、制革、印染、染料、炼焦、炼硫、炼砷、炼汞、炼油、电镀、农药、石棉、水泥、玻璃、钢铁、火电以及其他严重污染水环境的生产项目；</w:t>
                  </w:r>
                </w:p>
              </w:tc>
              <w:tc>
                <w:tcPr>
                  <w:tcW w:w="1373" w:type="pct"/>
                  <w:noWrap w:val="0"/>
                  <w:vAlign w:val="center"/>
                </w:tcPr>
                <w:p w14:paraId="4465C63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本项目属于扩建项目，进行日用玻璃制品生产，不选用落后、淘汰设备，不进行平板玻璃生产，符合国家产业政策</w:t>
                  </w:r>
                </w:p>
              </w:tc>
              <w:tc>
                <w:tcPr>
                  <w:tcW w:w="573" w:type="pct"/>
                  <w:noWrap w:val="0"/>
                  <w:vAlign w:val="center"/>
                </w:tcPr>
                <w:p w14:paraId="2C81A53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86B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40854EF7">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49148B2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428925D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33加快城市建成区、重点流域的重污染企业和危险化学品企业搬迁改造，加快推进危险化学品生产企业搬迁改造工程。</w:t>
                  </w:r>
                </w:p>
              </w:tc>
              <w:tc>
                <w:tcPr>
                  <w:tcW w:w="1373" w:type="pct"/>
                  <w:noWrap w:val="0"/>
                  <w:vAlign w:val="center"/>
                </w:tcPr>
                <w:p w14:paraId="4D8D866D">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本项目不进行危险化学品生产，不属于重污染企业</w:t>
                  </w:r>
                </w:p>
              </w:tc>
              <w:tc>
                <w:tcPr>
                  <w:tcW w:w="573" w:type="pct"/>
                  <w:noWrap w:val="0"/>
                  <w:vAlign w:val="center"/>
                </w:tcPr>
                <w:p w14:paraId="4D49E1F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133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5A9DFC9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7E2865E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7831410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40对热效率低下、敞开未封闭，装备简易落后、自动化程度低，无组织排放突出，以及无治理设施或治理设施工艺落后等严重污染环境的工业炉窑，依法责令停业关闭。</w:t>
                  </w:r>
                </w:p>
              </w:tc>
              <w:tc>
                <w:tcPr>
                  <w:tcW w:w="1373" w:type="pct"/>
                  <w:noWrap w:val="0"/>
                  <w:vAlign w:val="center"/>
                </w:tcPr>
                <w:p w14:paraId="5B95147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对现有玻璃熔窑进行升级改造，提高热能利用效率，配套生产设备均不属于落后淘汰设备。产生的熔窑废气配套陶瓷纤维脱硝除尘一体烟气净化系统（调质脱硫塔+陶瓷滤筒脱硝除尘）处理，废气安装在线装置，实时监测，确保废气达标排放。</w:t>
                  </w:r>
                </w:p>
              </w:tc>
              <w:tc>
                <w:tcPr>
                  <w:tcW w:w="573" w:type="pct"/>
                  <w:noWrap w:val="0"/>
                  <w:vAlign w:val="center"/>
                </w:tcPr>
                <w:p w14:paraId="32CCCD3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14:paraId="76C8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1FCF20FA">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4EDB99F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5281BFE0">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36依法淘汰落后产能。全市和各县区要依据工业行业淘汰落后生产工艺装备和产品指导目录、产业结构调整指导目录及相关行业污染物排放标准，结合水质改善要求及产业发展情况，制定并实施分年度的落后产能淘汰方案。未完成淘汰任务的县区，暂停审批和核准其相关行业新建项目。</w:t>
                  </w:r>
                </w:p>
              </w:tc>
              <w:tc>
                <w:tcPr>
                  <w:tcW w:w="1373" w:type="pct"/>
                  <w:noWrap w:val="0"/>
                  <w:vAlign w:val="center"/>
                </w:tcPr>
                <w:p w14:paraId="2AD38F22">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对照《产业结构调整指导目录（2024年本）》，本项目工业行业、设备均不属于落后淘汰类别。</w:t>
                  </w:r>
                </w:p>
              </w:tc>
              <w:tc>
                <w:tcPr>
                  <w:tcW w:w="573" w:type="pct"/>
                  <w:noWrap w:val="0"/>
                  <w:vAlign w:val="center"/>
                </w:tcPr>
                <w:p w14:paraId="6198C94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符合</w:t>
                  </w:r>
                </w:p>
              </w:tc>
            </w:tr>
            <w:tr w14:paraId="05EB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noWrap w:val="0"/>
                  <w:vAlign w:val="center"/>
                </w:tcPr>
                <w:p w14:paraId="171F4005">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58F66E90">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1988" w:type="pct"/>
                  <w:noWrap w:val="0"/>
                  <w:vAlign w:val="center"/>
                </w:tcPr>
                <w:p w14:paraId="2618604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45企业应当全面推进清洁生产，优先采用能源和原材料利用效率高、污染物排放量少的清洁生产技术、工艺和设备，淘汰严重污染大气环境质量的产品、落后工艺和落后设备，减少大气污染物的产生和排放。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373" w:type="pct"/>
                  <w:noWrap w:val="0"/>
                  <w:vAlign w:val="center"/>
                </w:tcPr>
                <w:p w14:paraId="1D438F0D">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本项目燃料均为清洁能源，技改扩建现有玻璃熔窑，提高热能利用效率，废气处理配套可行技术。</w:t>
                  </w:r>
                </w:p>
              </w:tc>
              <w:tc>
                <w:tcPr>
                  <w:tcW w:w="573" w:type="pct"/>
                  <w:noWrap w:val="0"/>
                  <w:vAlign w:val="center"/>
                </w:tcPr>
                <w:p w14:paraId="30C1BA8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符合</w:t>
                  </w:r>
                </w:p>
              </w:tc>
            </w:tr>
            <w:tr w14:paraId="70FD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555" w:type="pct"/>
                  <w:vMerge w:val="continue"/>
                  <w:noWrap w:val="0"/>
                  <w:vAlign w:val="center"/>
                </w:tcPr>
                <w:p w14:paraId="3F1B9F5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noWrap w:val="0"/>
                  <w:vAlign w:val="center"/>
                </w:tcPr>
                <w:p w14:paraId="219004C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污染物排放管控</w:t>
                  </w:r>
                </w:p>
              </w:tc>
              <w:tc>
                <w:tcPr>
                  <w:tcW w:w="1988" w:type="pct"/>
                  <w:noWrap w:val="0"/>
                  <w:vAlign w:val="center"/>
                </w:tcPr>
                <w:p w14:paraId="1466E3B3">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6环境空气质量持续改善，全省细颗粒物（PM</w:t>
                  </w:r>
                  <w:r>
                    <w:rPr>
                      <w:rFonts w:hint="eastAsia" w:ascii="Times New Roman" w:hAnsi="Times New Roman" w:eastAsia="宋体" w:cs="Times New Roman"/>
                      <w:color w:val="auto"/>
                      <w:sz w:val="18"/>
                      <w:szCs w:val="18"/>
                      <w:vertAlign w:val="subscript"/>
                      <w:lang w:val="en-US" w:eastAsia="zh-CN"/>
                    </w:rPr>
                    <w:t>2.5</w:t>
                  </w:r>
                  <w:r>
                    <w:rPr>
                      <w:rFonts w:hint="eastAsia" w:ascii="Times New Roman" w:hAnsi="Times New Roman" w:eastAsia="宋体" w:cs="Times New Roman"/>
                      <w:color w:val="auto"/>
                      <w:sz w:val="18"/>
                      <w:szCs w:val="18"/>
                      <w:lang w:val="en-US" w:eastAsia="zh-CN"/>
                    </w:rPr>
                    <w:t>）浓度总体达标，基本消除重污染天气，优良天数比率进一步提升。</w:t>
                  </w:r>
                </w:p>
              </w:tc>
              <w:tc>
                <w:tcPr>
                  <w:tcW w:w="1373" w:type="pct"/>
                  <w:noWrap w:val="0"/>
                  <w:vAlign w:val="center"/>
                </w:tcPr>
                <w:p w14:paraId="4C26846D">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本项目</w:t>
                  </w:r>
                  <w:r>
                    <w:rPr>
                      <w:rFonts w:hint="eastAsia" w:cs="Times New Roman"/>
                      <w:color w:val="auto"/>
                      <w:sz w:val="18"/>
                      <w:szCs w:val="18"/>
                      <w:lang w:val="en-US" w:eastAsia="zh-CN"/>
                    </w:rPr>
                    <w:t>营运期确保废气排放达标</w:t>
                  </w:r>
                  <w:r>
                    <w:rPr>
                      <w:rFonts w:hint="eastAsia" w:ascii="Times New Roman" w:hAnsi="Times New Roman" w:cs="Times New Roman"/>
                      <w:color w:val="auto"/>
                      <w:sz w:val="18"/>
                      <w:szCs w:val="18"/>
                      <w:lang w:val="en-US" w:eastAsia="zh-CN"/>
                    </w:rPr>
                    <w:t>。</w:t>
                  </w:r>
                </w:p>
              </w:tc>
              <w:tc>
                <w:tcPr>
                  <w:tcW w:w="573" w:type="pct"/>
                  <w:noWrap w:val="0"/>
                  <w:vAlign w:val="center"/>
                </w:tcPr>
                <w:p w14:paraId="67A3506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3459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555" w:type="pct"/>
                  <w:vMerge w:val="continue"/>
                  <w:noWrap w:val="0"/>
                  <w:vAlign w:val="center"/>
                </w:tcPr>
                <w:p w14:paraId="3B451A1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restart"/>
                  <w:noWrap w:val="0"/>
                  <w:vAlign w:val="center"/>
                </w:tcPr>
                <w:p w14:paraId="17B1854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资源开发效率要求</w:t>
                  </w:r>
                </w:p>
              </w:tc>
              <w:tc>
                <w:tcPr>
                  <w:tcW w:w="1988" w:type="pct"/>
                  <w:noWrap w:val="0"/>
                  <w:vAlign w:val="center"/>
                </w:tcPr>
                <w:p w14:paraId="6F5616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81推动煤电行业实施节能降耗改造、供热改造和灵活性改造“三改联动”。加快供热管网建设，淘汰管网覆盖范围内的燃煤锅炉和散煤。到2025年，火电平均供电煤耗降至295克标煤/千瓦时，散煤基本清零。</w:t>
                  </w:r>
                </w:p>
              </w:tc>
              <w:tc>
                <w:tcPr>
                  <w:tcW w:w="1373" w:type="pct"/>
                  <w:noWrap w:val="0"/>
                  <w:vAlign w:val="center"/>
                </w:tcPr>
                <w:p w14:paraId="5D7FDE79">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本项目不新建锅炉</w:t>
                  </w:r>
                </w:p>
              </w:tc>
              <w:tc>
                <w:tcPr>
                  <w:tcW w:w="573" w:type="pct"/>
                  <w:noWrap w:val="0"/>
                  <w:vAlign w:val="center"/>
                </w:tcPr>
                <w:p w14:paraId="5DF99BA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60AB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555" w:type="pct"/>
                  <w:vMerge w:val="continue"/>
                  <w:noWrap w:val="0"/>
                  <w:vAlign w:val="center"/>
                </w:tcPr>
                <w:p w14:paraId="6953FE8B">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497EC18C">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4894746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82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1373" w:type="pct"/>
                  <w:noWrap w:val="0"/>
                  <w:vAlign w:val="center"/>
                </w:tcPr>
                <w:p w14:paraId="34357E2A">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本项目生产燃料为管道天然气、液化石油气、液化天然气，不使用煤</w:t>
                  </w:r>
                </w:p>
              </w:tc>
              <w:tc>
                <w:tcPr>
                  <w:tcW w:w="573" w:type="pct"/>
                  <w:noWrap w:val="0"/>
                  <w:vAlign w:val="center"/>
                </w:tcPr>
                <w:p w14:paraId="283FE04A">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符合</w:t>
                  </w:r>
                </w:p>
              </w:tc>
            </w:tr>
            <w:tr w14:paraId="2BBF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555" w:type="pct"/>
                  <w:vMerge w:val="continue"/>
                  <w:noWrap w:val="0"/>
                  <w:vAlign w:val="center"/>
                </w:tcPr>
                <w:p w14:paraId="03BEB23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5FA2B87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3D0F2AF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73禁燃区内禁止燃用《高污染燃料目录》中的Ⅱ类燃料组合，即在禁燃区内，禁止使用除单台出力大于等于20蒸吨/小时的锅炉以外燃用的煤炭及其制品，及石油焦、油页岩、原油、重油、渣油、煤焦油。</w:t>
                  </w:r>
                </w:p>
              </w:tc>
              <w:tc>
                <w:tcPr>
                  <w:tcW w:w="1373" w:type="pct"/>
                  <w:noWrap w:val="0"/>
                  <w:vAlign w:val="center"/>
                </w:tcPr>
                <w:p w14:paraId="6CF7A5BE">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本项目不建设锅炉，工业炉窑（玻璃熔窑）不使用煤、</w:t>
                  </w:r>
                  <w:r>
                    <w:rPr>
                      <w:rFonts w:hint="default" w:ascii="Times New Roman" w:hAnsi="Times New Roman" w:cs="Times New Roman"/>
                      <w:color w:val="auto"/>
                      <w:sz w:val="18"/>
                      <w:szCs w:val="18"/>
                      <w:lang w:val="en-US" w:eastAsia="zh-CN"/>
                    </w:rPr>
                    <w:t>石油焦、油页岩、原油、重油、渣油、煤焦油</w:t>
                  </w:r>
                  <w:r>
                    <w:rPr>
                      <w:rFonts w:hint="eastAsia" w:ascii="Times New Roman" w:hAnsi="Times New Roman" w:cs="Times New Roman"/>
                      <w:color w:val="auto"/>
                      <w:sz w:val="18"/>
                      <w:szCs w:val="18"/>
                      <w:lang w:val="en-US" w:eastAsia="zh-CN"/>
                    </w:rPr>
                    <w:t>等燃料。</w:t>
                  </w:r>
                </w:p>
              </w:tc>
              <w:tc>
                <w:tcPr>
                  <w:tcW w:w="573" w:type="pct"/>
                  <w:noWrap w:val="0"/>
                  <w:vAlign w:val="center"/>
                </w:tcPr>
                <w:p w14:paraId="7BB0FB2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符合</w:t>
                  </w:r>
                </w:p>
              </w:tc>
            </w:tr>
            <w:tr w14:paraId="51D8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555" w:type="pct"/>
                  <w:vMerge w:val="continue"/>
                  <w:noWrap w:val="0"/>
                  <w:vAlign w:val="center"/>
                </w:tcPr>
                <w:p w14:paraId="34CFBAD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2768C88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0E7CC3C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74禁燃区内禁止销售、燃用高污染燃料，不得新建、扩建燃用高污染燃料的锅炉、窑炉、炉灶等燃烧设施（集中供热、火电厂锅炉除外）。</w:t>
                  </w:r>
                </w:p>
              </w:tc>
              <w:tc>
                <w:tcPr>
                  <w:tcW w:w="1373" w:type="pct"/>
                  <w:vMerge w:val="restart"/>
                  <w:noWrap w:val="0"/>
                  <w:vAlign w:val="center"/>
                </w:tcPr>
                <w:p w14:paraId="78A3DE96">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本项目生产燃料不涉及高污染燃料。</w:t>
                  </w:r>
                </w:p>
              </w:tc>
              <w:tc>
                <w:tcPr>
                  <w:tcW w:w="573" w:type="pct"/>
                  <w:noWrap w:val="0"/>
                  <w:vAlign w:val="center"/>
                </w:tcPr>
                <w:p w14:paraId="0C7423A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符合</w:t>
                  </w:r>
                </w:p>
              </w:tc>
            </w:tr>
            <w:tr w14:paraId="697C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555" w:type="pct"/>
                  <w:vMerge w:val="continue"/>
                  <w:noWrap w:val="0"/>
                  <w:vAlign w:val="center"/>
                </w:tcPr>
                <w:p w14:paraId="2F8E6EF4">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default" w:ascii="Times New Roman" w:hAnsi="Times New Roman" w:cs="Times New Roman"/>
                      <w:color w:val="auto"/>
                      <w:sz w:val="18"/>
                      <w:szCs w:val="18"/>
                    </w:rPr>
                  </w:pPr>
                </w:p>
              </w:tc>
              <w:tc>
                <w:tcPr>
                  <w:tcW w:w="509" w:type="pct"/>
                  <w:vMerge w:val="continue"/>
                  <w:noWrap w:val="0"/>
                  <w:vAlign w:val="center"/>
                </w:tcPr>
                <w:p w14:paraId="0033ED28">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1988" w:type="pct"/>
                  <w:noWrap w:val="0"/>
                  <w:vAlign w:val="center"/>
                </w:tcPr>
                <w:p w14:paraId="26778C5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75禁燃区内现有高污染燃料燃烧设施（集中供热、火电厂锅炉除外），完成改用天然气、液化石油气、电等清洁能源，或改用城市集中供热。逾期未改用的，不得继续使用。</w:t>
                  </w:r>
                </w:p>
              </w:tc>
              <w:tc>
                <w:tcPr>
                  <w:tcW w:w="1373" w:type="pct"/>
                  <w:vMerge w:val="continue"/>
                  <w:noWrap w:val="0"/>
                  <w:vAlign w:val="center"/>
                </w:tcPr>
                <w:p w14:paraId="708A39BF">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left"/>
                    <w:textAlignment w:val="auto"/>
                    <w:rPr>
                      <w:rFonts w:hint="eastAsia" w:ascii="Times New Roman" w:hAnsi="Times New Roman" w:cs="Times New Roman"/>
                      <w:color w:val="auto"/>
                      <w:sz w:val="18"/>
                      <w:szCs w:val="18"/>
                      <w:lang w:val="en-US" w:eastAsia="zh-CN"/>
                    </w:rPr>
                  </w:pPr>
                </w:p>
              </w:tc>
              <w:tc>
                <w:tcPr>
                  <w:tcW w:w="573" w:type="pct"/>
                  <w:noWrap w:val="0"/>
                  <w:vAlign w:val="center"/>
                </w:tcPr>
                <w:p w14:paraId="3A02750D">
                  <w:pPr>
                    <w:pStyle w:val="73"/>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tLeast"/>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符合</w:t>
                  </w:r>
                </w:p>
              </w:tc>
            </w:tr>
          </w:tbl>
          <w:p w14:paraId="33BABD0F">
            <w:pPr>
              <w:pStyle w:val="148"/>
              <w:keepNext w:val="0"/>
              <w:keepLines w:val="0"/>
              <w:suppressLineNumbers w:val="0"/>
              <w:bidi w:val="0"/>
              <w:spacing w:before="0" w:beforeAutospacing="0" w:afterAutospacing="0"/>
              <w:ind w:left="0" w:right="0"/>
              <w:rPr>
                <w:rFonts w:hint="eastAsia"/>
                <w:color w:val="auto"/>
                <w:lang w:val="en-US" w:eastAsia="zh-CN"/>
              </w:rPr>
            </w:pPr>
            <w:r>
              <w:rPr>
                <w:rFonts w:hint="eastAsia"/>
                <w:color w:val="auto"/>
                <w:sz w:val="21"/>
                <w:szCs w:val="21"/>
              </w:rPr>
              <w:t>该项目运营过程中会产生一定的污染物，采取相应的污染防治措施后，各类污染物的排放对周围环境造成的影响较小，不会降低当地环境质量，不会触碰区域环境质量底线，</w:t>
            </w:r>
            <w:r>
              <w:rPr>
                <w:rFonts w:hint="eastAsia"/>
                <w:color w:val="auto"/>
                <w:sz w:val="21"/>
                <w:szCs w:val="21"/>
                <w:lang w:val="en-US" w:eastAsia="zh-CN"/>
              </w:rPr>
              <w:t>因此本项目建设满足“三线一单”管控要求，</w:t>
            </w:r>
            <w:r>
              <w:rPr>
                <w:rFonts w:hint="eastAsia"/>
                <w:color w:val="auto"/>
                <w:sz w:val="21"/>
                <w:szCs w:val="21"/>
              </w:rPr>
              <w:t>生态保护红线图见附图</w:t>
            </w:r>
            <w:r>
              <w:rPr>
                <w:rFonts w:hint="eastAsia"/>
                <w:color w:val="auto"/>
                <w:sz w:val="21"/>
                <w:szCs w:val="21"/>
                <w:lang w:val="en-US" w:eastAsia="zh-CN"/>
              </w:rPr>
              <w:t>5</w:t>
            </w:r>
            <w:r>
              <w:rPr>
                <w:rFonts w:hint="eastAsia"/>
                <w:color w:val="auto"/>
                <w:sz w:val="21"/>
                <w:szCs w:val="21"/>
              </w:rPr>
              <w:t>。</w:t>
            </w:r>
          </w:p>
        </w:tc>
      </w:tr>
    </w:tbl>
    <w:p w14:paraId="0BF1379F">
      <w:pPr>
        <w:spacing w:line="360" w:lineRule="auto"/>
        <w:ind w:firstLine="600"/>
        <w:outlineLvl w:val="0"/>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9113216">
      <w:pPr>
        <w:pStyle w:val="30"/>
        <w:ind w:firstLine="600"/>
        <w:jc w:val="center"/>
        <w:outlineLvl w:val="0"/>
        <w:rPr>
          <w:rFonts w:ascii="黑体" w:hAnsi="黑体" w:eastAsia="黑体"/>
          <w:snapToGrid w:val="0"/>
          <w:color w:val="auto"/>
          <w:sz w:val="30"/>
          <w:szCs w:val="30"/>
        </w:rPr>
      </w:pPr>
      <w:bookmarkStart w:id="4" w:name="_Toc68109903"/>
      <w:r>
        <w:rPr>
          <w:rFonts w:hint="eastAsia" w:ascii="黑体" w:hAnsi="黑体" w:eastAsia="黑体"/>
          <w:snapToGrid w:val="0"/>
          <w:color w:val="auto"/>
          <w:sz w:val="30"/>
          <w:szCs w:val="30"/>
        </w:rPr>
        <w:t>二、建设项目工程分析</w:t>
      </w:r>
      <w:bookmarkEnd w:id="4"/>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1483B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823" w:type="dxa"/>
            <w:noWrap w:val="0"/>
            <w:vAlign w:val="center"/>
          </w:tcPr>
          <w:p w14:paraId="28D56845">
            <w:pPr>
              <w:pStyle w:val="30"/>
              <w:adjustRightInd w:val="0"/>
              <w:snapToGrid w:val="0"/>
              <w:spacing w:before="0" w:beforeAutospacing="0" w:after="0" w:afterAutospacing="0"/>
              <w:jc w:val="center"/>
              <w:rPr>
                <w:rFonts w:cs="宋体"/>
                <w:color w:val="auto"/>
                <w:sz w:val="21"/>
                <w:szCs w:val="21"/>
                <w:lang w:val="en-US" w:eastAsia="zh-CN"/>
              </w:rPr>
            </w:pPr>
            <w:r>
              <w:rPr>
                <w:rFonts w:hint="eastAsia" w:cs="宋体"/>
                <w:color w:val="auto"/>
                <w:sz w:val="21"/>
                <w:szCs w:val="21"/>
                <w:lang w:val="en-US" w:eastAsia="zh-CN"/>
              </w:rPr>
              <w:t>建设内容</w:t>
            </w:r>
          </w:p>
        </w:tc>
        <w:tc>
          <w:tcPr>
            <w:tcW w:w="8161" w:type="dxa"/>
            <w:noWrap w:val="0"/>
            <w:vAlign w:val="top"/>
          </w:tcPr>
          <w:p w14:paraId="18936ED4">
            <w:pPr>
              <w:adjustRightInd w:val="0"/>
              <w:snapToGrid w:val="0"/>
              <w:spacing w:line="360" w:lineRule="auto"/>
              <w:ind w:firstLine="422" w:firstLineChars="200"/>
              <w:jc w:val="left"/>
              <w:rPr>
                <w:b/>
                <w:color w:val="auto"/>
                <w:szCs w:val="21"/>
              </w:rPr>
            </w:pPr>
            <w:r>
              <w:rPr>
                <w:b/>
                <w:color w:val="auto"/>
                <w:szCs w:val="21"/>
              </w:rPr>
              <w:t>1、</w:t>
            </w:r>
            <w:r>
              <w:rPr>
                <w:rFonts w:hint="eastAsia"/>
                <w:b/>
                <w:color w:val="auto"/>
                <w:szCs w:val="21"/>
                <w:lang w:val="en-US" w:eastAsia="zh-CN"/>
              </w:rPr>
              <w:t>项目由来</w:t>
            </w:r>
          </w:p>
          <w:p w14:paraId="4A8452BC">
            <w:pPr>
              <w:adjustRightInd w:val="0"/>
              <w:snapToGrid w:val="0"/>
              <w:spacing w:line="360" w:lineRule="auto"/>
              <w:ind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安徽德联玻璃制品有限责任公司</w:t>
            </w:r>
            <w:r>
              <w:rPr>
                <w:rFonts w:hint="default" w:ascii="Times New Roman" w:hAnsi="Times New Roman" w:eastAsia="宋体" w:cs="Times New Roman"/>
                <w:bCs/>
                <w:color w:val="auto"/>
                <w:sz w:val="21"/>
                <w:szCs w:val="21"/>
                <w:lang w:val="en-US" w:eastAsia="zh-CN"/>
              </w:rPr>
              <w:t>于2018年2月筹建“安徽德联玻璃制品厂项目”，并于2018年3月5日取得了原淮南市环境保护局出具的“关于安徽德联玻璃制品厂项目环境影响报告表的批复（淮环审复［2018］20号）”，2022年7月1日安徽廖氏玻璃科技有限公司收购</w:t>
            </w:r>
            <w:r>
              <w:rPr>
                <w:rFonts w:hint="default" w:ascii="Times New Roman" w:hAnsi="Times New Roman" w:eastAsia="宋体" w:cs="Times New Roman"/>
                <w:bCs/>
                <w:color w:val="auto"/>
                <w:sz w:val="21"/>
                <w:szCs w:val="21"/>
              </w:rPr>
              <w:t>安徽德联玻璃制品有限责任公司</w:t>
            </w:r>
            <w:r>
              <w:rPr>
                <w:rFonts w:hint="default" w:ascii="Times New Roman" w:hAnsi="Times New Roman" w:eastAsia="宋体" w:cs="Times New Roman"/>
                <w:bCs/>
                <w:color w:val="auto"/>
                <w:sz w:val="21"/>
                <w:szCs w:val="21"/>
                <w:lang w:val="en-US" w:eastAsia="zh-CN"/>
              </w:rPr>
              <w:t>进行玻璃制品生产经营，原安徽德联玻璃制品厂项目公司主体变更为安徽廖氏玻璃科技有限公司。</w:t>
            </w:r>
            <w:r>
              <w:rPr>
                <w:rFonts w:hint="default" w:ascii="Times New Roman" w:hAnsi="Times New Roman" w:eastAsia="宋体" w:cs="Times New Roman"/>
                <w:bCs/>
                <w:color w:val="auto"/>
                <w:sz w:val="21"/>
                <w:szCs w:val="21"/>
                <w:highlight w:val="none"/>
                <w:lang w:val="en-US" w:eastAsia="zh-CN"/>
              </w:rPr>
              <w:t>2024年</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月</w:t>
            </w:r>
            <w:r>
              <w:rPr>
                <w:rFonts w:hint="eastAsia" w:ascii="Times New Roman" w:hAnsi="Times New Roman" w:eastAsia="宋体" w:cs="Times New Roman"/>
                <w:bCs/>
                <w:color w:val="auto"/>
                <w:sz w:val="21"/>
                <w:szCs w:val="21"/>
                <w:highlight w:val="none"/>
                <w:lang w:val="en-US" w:eastAsia="zh-CN"/>
              </w:rPr>
              <w:t>22</w:t>
            </w:r>
            <w:r>
              <w:rPr>
                <w:rFonts w:hint="default" w:ascii="Times New Roman" w:hAnsi="Times New Roman" w:eastAsia="宋体" w:cs="Times New Roman"/>
                <w:bCs/>
                <w:color w:val="auto"/>
                <w:sz w:val="21"/>
                <w:szCs w:val="21"/>
                <w:highlight w:val="none"/>
                <w:lang w:val="en-US" w:eastAsia="zh-CN"/>
              </w:rPr>
              <w:t>日安</w:t>
            </w:r>
            <w:r>
              <w:rPr>
                <w:rFonts w:hint="default" w:ascii="Times New Roman" w:hAnsi="Times New Roman" w:eastAsia="宋体" w:cs="Times New Roman"/>
                <w:bCs/>
                <w:color w:val="auto"/>
                <w:sz w:val="21"/>
                <w:szCs w:val="21"/>
                <w:lang w:val="en-US" w:eastAsia="zh-CN"/>
              </w:rPr>
              <w:t>徽廖氏玻璃科技有限公司对上述玻璃制品厂项目进行了自主环保竣工验收。</w:t>
            </w:r>
          </w:p>
          <w:p w14:paraId="6E51FF59">
            <w:pPr>
              <w:adjustRightInd w:val="0"/>
              <w:snapToGrid w:val="0"/>
              <w:spacing w:line="360" w:lineRule="auto"/>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企业现有窑炉耗能大、智能化低，</w:t>
            </w:r>
            <w:r>
              <w:rPr>
                <w:rFonts w:hint="default" w:ascii="Times New Roman" w:hAnsi="Times New Roman" w:cs="Times New Roman"/>
                <w:bCs/>
                <w:color w:val="auto"/>
                <w:sz w:val="21"/>
                <w:szCs w:val="21"/>
                <w:lang w:val="en-US" w:eastAsia="zh-CN"/>
              </w:rPr>
              <w:t>年产玻璃制品为2.8万吨，根据《产业结构调整指导目录（2024年本）》，年产3万吨以下的玻璃瓶罐生产线为限制类项目，</w:t>
            </w:r>
            <w:r>
              <w:rPr>
                <w:rFonts w:hint="default" w:ascii="Times New Roman" w:hAnsi="Times New Roman" w:cs="Times New Roman"/>
                <w:bCs/>
                <w:color w:val="auto"/>
                <w:sz w:val="21"/>
                <w:szCs w:val="21"/>
              </w:rPr>
              <w:t>为了提升生产水平现对窑炉进行技术改造，</w:t>
            </w:r>
            <w:r>
              <w:rPr>
                <w:rFonts w:hint="default" w:ascii="Times New Roman" w:hAnsi="Times New Roman" w:eastAsia="宋体" w:cs="Times New Roman"/>
                <w:color w:val="auto"/>
                <w:sz w:val="21"/>
                <w:szCs w:val="21"/>
              </w:rPr>
              <w:t>对现有生产线进行高端化智能化绿色化改造升级，</w:t>
            </w:r>
            <w:r>
              <w:rPr>
                <w:rFonts w:hint="default" w:ascii="Times New Roman" w:hAnsi="Times New Roman" w:cs="Times New Roman"/>
                <w:bCs/>
                <w:color w:val="auto"/>
                <w:sz w:val="21"/>
                <w:szCs w:val="21"/>
              </w:rPr>
              <w:t>并在原有场地新增2栋仓库以及12条压制机加工线等配套基础设施。项目建成达产后，年产能4万吨日用玻璃。</w:t>
            </w:r>
          </w:p>
          <w:p w14:paraId="51C24FD7">
            <w:pPr>
              <w:spacing w:line="360" w:lineRule="auto"/>
              <w:ind w:firstLine="420" w:firstLineChars="20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根据《中华人民共和国环境影响评价法》（自2018年12月29日修订）、《建设项目环境保护管理条例》（国务院令第682号）中的有关规定，项目需进行环境影响评价。根据本项目生产工艺及原辅料用量，判定属于《建设项目环境影响评价分类管理名录》（2021年版）中“</w:t>
            </w:r>
            <w:r>
              <w:rPr>
                <w:rFonts w:hint="default" w:ascii="Times New Roman" w:hAnsi="Times New Roman" w:eastAsia="宋体" w:cs="Times New Roman"/>
                <w:b w:val="0"/>
                <w:bCs w:val="0"/>
                <w:color w:val="auto"/>
                <w:sz w:val="21"/>
                <w:szCs w:val="21"/>
              </w:rPr>
              <w:t>二十七、非金属矿物制品业 30</w:t>
            </w:r>
            <w:r>
              <w:rPr>
                <w:rFonts w:hint="default" w:ascii="Times New Roman" w:hAnsi="Times New Roman" w:cs="Times New Roman"/>
                <w:b w:val="0"/>
                <w:bCs w:val="0"/>
                <w:color w:val="auto"/>
                <w:sz w:val="21"/>
                <w:szCs w:val="21"/>
              </w:rPr>
              <w:t>——</w:t>
            </w:r>
            <w:r>
              <w:rPr>
                <w:rFonts w:hint="default" w:ascii="Times New Roman" w:hAnsi="Times New Roman" w:eastAsia="宋体" w:cs="Times New Roman"/>
                <w:b w:val="0"/>
                <w:bCs w:val="0"/>
                <w:color w:val="auto"/>
                <w:sz w:val="21"/>
                <w:szCs w:val="21"/>
              </w:rPr>
              <w:t>玻璃制品制造（电加热的除外；仅切割、打磨、成型的除外）</w:t>
            </w:r>
            <w:r>
              <w:rPr>
                <w:rFonts w:hint="default" w:ascii="Times New Roman" w:hAnsi="Times New Roman" w:cs="Times New Roman"/>
                <w:b w:val="0"/>
                <w:bCs w:val="0"/>
                <w:color w:val="auto"/>
                <w:sz w:val="21"/>
                <w:szCs w:val="21"/>
              </w:rPr>
              <w:t>”，需编制环境影响报告表。</w:t>
            </w:r>
          </w:p>
          <w:p w14:paraId="2379A3CE">
            <w:pPr>
              <w:ind w:firstLine="482"/>
              <w:jc w:val="center"/>
              <w:rPr>
                <w:b/>
                <w:color w:val="auto"/>
                <w:sz w:val="21"/>
                <w:szCs w:val="21"/>
              </w:rPr>
            </w:pPr>
            <w:r>
              <w:rPr>
                <w:rFonts w:hint="eastAsia"/>
                <w:b/>
                <w:color w:val="auto"/>
                <w:sz w:val="21"/>
                <w:szCs w:val="21"/>
              </w:rPr>
              <w:t>表2-1  项目环评分类管理类别判定</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947"/>
              <w:gridCol w:w="1677"/>
              <w:gridCol w:w="3004"/>
              <w:gridCol w:w="871"/>
            </w:tblGrid>
            <w:tr w14:paraId="59A5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pct"/>
                  <w:gridSpan w:val="2"/>
                  <w:tcBorders>
                    <w:tl2br w:val="single" w:color="auto" w:sz="4" w:space="0"/>
                  </w:tcBorders>
                  <w:noWrap w:val="0"/>
                  <w:vAlign w:val="center"/>
                </w:tcPr>
                <w:p w14:paraId="11021469">
                  <w:pPr>
                    <w:adjustRightInd w:val="0"/>
                    <w:ind w:left="-50" w:right="-50"/>
                    <w:jc w:val="right"/>
                    <w:rPr>
                      <w:b/>
                      <w:color w:val="auto"/>
                      <w:sz w:val="18"/>
                      <w:szCs w:val="18"/>
                    </w:rPr>
                  </w:pPr>
                  <w:r>
                    <w:rPr>
                      <w:rFonts w:hint="eastAsia"/>
                      <w:b/>
                      <w:color w:val="auto"/>
                      <w:sz w:val="18"/>
                      <w:szCs w:val="18"/>
                    </w:rPr>
                    <w:t>环评类别</w:t>
                  </w:r>
                </w:p>
                <w:p w14:paraId="43EC7639">
                  <w:pPr>
                    <w:adjustRightInd w:val="0"/>
                    <w:ind w:left="-50" w:right="-50"/>
                    <w:jc w:val="left"/>
                    <w:rPr>
                      <w:b/>
                      <w:color w:val="auto"/>
                      <w:sz w:val="18"/>
                      <w:szCs w:val="18"/>
                    </w:rPr>
                  </w:pPr>
                  <w:r>
                    <w:rPr>
                      <w:rFonts w:hint="eastAsia"/>
                      <w:b/>
                      <w:color w:val="auto"/>
                      <w:sz w:val="18"/>
                      <w:szCs w:val="18"/>
                    </w:rPr>
                    <w:t>项目类别</w:t>
                  </w:r>
                </w:p>
              </w:tc>
              <w:tc>
                <w:tcPr>
                  <w:tcW w:w="1057" w:type="pct"/>
                  <w:noWrap w:val="0"/>
                  <w:vAlign w:val="center"/>
                </w:tcPr>
                <w:p w14:paraId="7346E9A0">
                  <w:pPr>
                    <w:adjustRightInd w:val="0"/>
                    <w:ind w:left="-50" w:right="-50"/>
                    <w:jc w:val="center"/>
                    <w:rPr>
                      <w:b/>
                      <w:color w:val="auto"/>
                      <w:sz w:val="18"/>
                      <w:szCs w:val="18"/>
                    </w:rPr>
                  </w:pPr>
                  <w:r>
                    <w:rPr>
                      <w:rFonts w:hint="eastAsia"/>
                      <w:b/>
                      <w:color w:val="auto"/>
                      <w:sz w:val="18"/>
                      <w:szCs w:val="18"/>
                    </w:rPr>
                    <w:t>报告书</w:t>
                  </w:r>
                </w:p>
              </w:tc>
              <w:tc>
                <w:tcPr>
                  <w:tcW w:w="1893" w:type="pct"/>
                  <w:noWrap w:val="0"/>
                  <w:vAlign w:val="center"/>
                </w:tcPr>
                <w:p w14:paraId="45D6368B">
                  <w:pPr>
                    <w:adjustRightInd w:val="0"/>
                    <w:ind w:left="-50" w:right="-50"/>
                    <w:jc w:val="center"/>
                    <w:rPr>
                      <w:b/>
                      <w:color w:val="auto"/>
                      <w:sz w:val="18"/>
                      <w:szCs w:val="18"/>
                    </w:rPr>
                  </w:pPr>
                  <w:r>
                    <w:rPr>
                      <w:rFonts w:hint="eastAsia"/>
                      <w:b/>
                      <w:color w:val="auto"/>
                      <w:sz w:val="18"/>
                      <w:szCs w:val="18"/>
                    </w:rPr>
                    <w:t>报告表</w:t>
                  </w:r>
                </w:p>
              </w:tc>
              <w:tc>
                <w:tcPr>
                  <w:tcW w:w="546" w:type="pct"/>
                  <w:noWrap w:val="0"/>
                  <w:vAlign w:val="center"/>
                </w:tcPr>
                <w:p w14:paraId="68D70B90">
                  <w:pPr>
                    <w:adjustRightInd w:val="0"/>
                    <w:ind w:left="-50" w:right="-50"/>
                    <w:jc w:val="center"/>
                    <w:rPr>
                      <w:b/>
                      <w:color w:val="auto"/>
                      <w:sz w:val="18"/>
                      <w:szCs w:val="18"/>
                    </w:rPr>
                  </w:pPr>
                  <w:r>
                    <w:rPr>
                      <w:rFonts w:hint="eastAsia"/>
                      <w:b/>
                      <w:color w:val="auto"/>
                      <w:sz w:val="18"/>
                      <w:szCs w:val="18"/>
                    </w:rPr>
                    <w:t>登记表</w:t>
                  </w:r>
                </w:p>
              </w:tc>
            </w:tr>
            <w:tr w14:paraId="45E4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7E43C986">
                  <w:pPr>
                    <w:adjustRightInd w:val="0"/>
                    <w:ind w:left="-50" w:right="-50"/>
                    <w:jc w:val="left"/>
                    <w:rPr>
                      <w:b/>
                      <w:color w:val="auto"/>
                      <w:sz w:val="18"/>
                      <w:szCs w:val="18"/>
                    </w:rPr>
                  </w:pPr>
                  <w:r>
                    <w:rPr>
                      <w:rFonts w:ascii="Times New Roman" w:hAnsi="宋体" w:eastAsia="宋体" w:cs="Times New Roman"/>
                      <w:b/>
                      <w:bCs/>
                      <w:color w:val="auto"/>
                      <w:sz w:val="18"/>
                      <w:szCs w:val="18"/>
                    </w:rPr>
                    <w:t>二十七、非金属矿物制品业 30</w:t>
                  </w:r>
                </w:p>
              </w:tc>
            </w:tr>
            <w:tr w14:paraId="41F7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noWrap w:val="0"/>
                  <w:vAlign w:val="center"/>
                </w:tcPr>
                <w:p w14:paraId="4DE8B9E7">
                  <w:pPr>
                    <w:adjustRightInd w:val="0"/>
                    <w:ind w:left="-50" w:right="-50"/>
                    <w:jc w:val="center"/>
                    <w:rPr>
                      <w:rFonts w:hint="eastAsia" w:eastAsia="宋体"/>
                      <w:color w:val="auto"/>
                      <w:sz w:val="18"/>
                      <w:szCs w:val="18"/>
                      <w:lang w:eastAsia="zh-CN"/>
                    </w:rPr>
                  </w:pPr>
                  <w:r>
                    <w:rPr>
                      <w:rFonts w:hint="eastAsia"/>
                      <w:color w:val="auto"/>
                      <w:sz w:val="18"/>
                      <w:szCs w:val="18"/>
                    </w:rPr>
                    <w:t>5</w:t>
                  </w:r>
                  <w:r>
                    <w:rPr>
                      <w:rFonts w:hint="eastAsia"/>
                      <w:color w:val="auto"/>
                      <w:sz w:val="18"/>
                      <w:szCs w:val="18"/>
                      <w:lang w:val="en-US" w:eastAsia="zh-CN"/>
                    </w:rPr>
                    <w:t>7</w:t>
                  </w:r>
                </w:p>
              </w:tc>
              <w:tc>
                <w:tcPr>
                  <w:tcW w:w="1226" w:type="pct"/>
                  <w:noWrap w:val="0"/>
                  <w:vAlign w:val="center"/>
                </w:tcPr>
                <w:p w14:paraId="758A2D3C">
                  <w:pPr>
                    <w:autoSpaceDE w:val="0"/>
                    <w:autoSpaceDN w:val="0"/>
                    <w:adjustRightInd w:val="0"/>
                    <w:jc w:val="center"/>
                    <w:rPr>
                      <w:color w:val="auto"/>
                      <w:sz w:val="18"/>
                      <w:szCs w:val="18"/>
                    </w:rPr>
                  </w:pPr>
                  <w:r>
                    <w:rPr>
                      <w:rFonts w:hint="eastAsia" w:ascii="Times New Roman" w:hAnsi="Times New Roman" w:eastAsia="宋体" w:cs="Times New Roman"/>
                      <w:color w:val="auto"/>
                      <w:sz w:val="18"/>
                      <w:szCs w:val="18"/>
                    </w:rPr>
                    <w:t>玻璃制造304；玻璃 制品制造305</w:t>
                  </w:r>
                </w:p>
              </w:tc>
              <w:tc>
                <w:tcPr>
                  <w:tcW w:w="1057" w:type="pct"/>
                  <w:noWrap w:val="0"/>
                  <w:vAlign w:val="center"/>
                </w:tcPr>
                <w:p w14:paraId="4C4D8607">
                  <w:pPr>
                    <w:autoSpaceDE w:val="0"/>
                    <w:autoSpaceDN w:val="0"/>
                    <w:adjustRightInd w:val="0"/>
                    <w:jc w:val="center"/>
                    <w:rPr>
                      <w:color w:val="auto"/>
                      <w:sz w:val="18"/>
                      <w:szCs w:val="18"/>
                    </w:rPr>
                  </w:pPr>
                  <w:r>
                    <w:rPr>
                      <w:rFonts w:hint="eastAsia" w:ascii="Times New Roman" w:hAnsi="Times New Roman" w:eastAsia="宋体" w:cs="Times New Roman"/>
                      <w:color w:val="auto"/>
                      <w:sz w:val="18"/>
                      <w:szCs w:val="18"/>
                    </w:rPr>
                    <w:t>平板玻璃制造</w:t>
                  </w:r>
                </w:p>
              </w:tc>
              <w:tc>
                <w:tcPr>
                  <w:tcW w:w="1893" w:type="pct"/>
                  <w:noWrap w:val="0"/>
                  <w:vAlign w:val="center"/>
                </w:tcPr>
                <w:p w14:paraId="788534B0">
                  <w:pPr>
                    <w:autoSpaceDE w:val="0"/>
                    <w:autoSpaceDN w:val="0"/>
                    <w:adjustRightInd w:val="0"/>
                    <w:jc w:val="center"/>
                    <w:rPr>
                      <w:color w:val="auto"/>
                      <w:sz w:val="18"/>
                      <w:szCs w:val="18"/>
                    </w:rPr>
                  </w:pPr>
                  <w:r>
                    <w:rPr>
                      <w:rFonts w:hint="eastAsia" w:ascii="Times New Roman" w:hAnsi="Times New Roman" w:eastAsia="宋体" w:cs="Times New Roman"/>
                      <w:color w:val="auto"/>
                      <w:sz w:val="18"/>
                      <w:szCs w:val="18"/>
                    </w:rPr>
                    <w:t>特种玻璃制造；其他玻璃制造；玻璃制品制造（电加热的除外；仅切割、打磨、成型的除外）</w:t>
                  </w:r>
                </w:p>
              </w:tc>
              <w:tc>
                <w:tcPr>
                  <w:tcW w:w="546" w:type="pct"/>
                  <w:noWrap w:val="0"/>
                  <w:vAlign w:val="center"/>
                </w:tcPr>
                <w:p w14:paraId="0C8BC46A">
                  <w:pPr>
                    <w:adjustRightInd w:val="0"/>
                    <w:ind w:left="-50" w:right="-50"/>
                    <w:jc w:val="center"/>
                    <w:rPr>
                      <w:color w:val="auto"/>
                      <w:sz w:val="18"/>
                      <w:szCs w:val="18"/>
                    </w:rPr>
                  </w:pPr>
                  <w:r>
                    <w:rPr>
                      <w:rFonts w:hint="eastAsia"/>
                      <w:color w:val="auto"/>
                      <w:sz w:val="18"/>
                      <w:szCs w:val="18"/>
                    </w:rPr>
                    <w:t>/</w:t>
                  </w:r>
                </w:p>
              </w:tc>
            </w:tr>
          </w:tbl>
          <w:p w14:paraId="2750F0F3">
            <w:pPr>
              <w:spacing w:line="360" w:lineRule="auto"/>
              <w:ind w:firstLine="420" w:firstLineChars="200"/>
              <w:jc w:val="left"/>
              <w:rPr>
                <w:color w:val="auto"/>
                <w:sz w:val="21"/>
              </w:rPr>
            </w:pPr>
            <w:r>
              <w:rPr>
                <w:color w:val="auto"/>
                <w:sz w:val="21"/>
              </w:rPr>
              <w:t>本项目</w:t>
            </w:r>
            <w:r>
              <w:rPr>
                <w:rFonts w:hint="eastAsia"/>
                <w:color w:val="auto"/>
                <w:sz w:val="21"/>
                <w:lang w:val="en-US" w:eastAsia="zh-CN"/>
              </w:rPr>
              <w:t>熔窑燃料使用天然气</w:t>
            </w:r>
            <w:r>
              <w:rPr>
                <w:rFonts w:hint="eastAsia"/>
                <w:color w:val="auto"/>
                <w:sz w:val="21"/>
              </w:rPr>
              <w:t>，</w:t>
            </w:r>
            <w:r>
              <w:rPr>
                <w:rFonts w:hint="eastAsia"/>
                <w:color w:val="auto"/>
                <w:sz w:val="21"/>
                <w:lang w:val="en-US" w:eastAsia="zh-CN"/>
              </w:rPr>
              <w:t>产品为日用玻璃制品，</w:t>
            </w:r>
            <w:r>
              <w:rPr>
                <w:color w:val="auto"/>
                <w:sz w:val="21"/>
              </w:rPr>
              <w:t>对照《固定污染源排污许可分类管理名录》（2019年版），本项目按照“</w:t>
            </w:r>
            <w:r>
              <w:rPr>
                <w:rFonts w:hint="eastAsia"/>
                <w:color w:val="auto"/>
                <w:sz w:val="21"/>
                <w:lang w:val="en-US" w:eastAsia="zh-CN"/>
              </w:rPr>
              <w:t>简化</w:t>
            </w:r>
            <w:r>
              <w:rPr>
                <w:color w:val="auto"/>
                <w:sz w:val="21"/>
              </w:rPr>
              <w:t>管理”申请排污许可。</w:t>
            </w:r>
          </w:p>
          <w:p w14:paraId="2FA08DDF">
            <w:pPr>
              <w:spacing w:line="360" w:lineRule="auto"/>
              <w:ind w:firstLine="482"/>
              <w:jc w:val="center"/>
              <w:rPr>
                <w:b/>
                <w:color w:val="auto"/>
              </w:rPr>
            </w:pPr>
            <w:r>
              <w:rPr>
                <w:rFonts w:hint="eastAsia"/>
                <w:b/>
                <w:color w:val="auto"/>
              </w:rPr>
              <w:t>表2-2  项目排污许可管理类别判定</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660"/>
              <w:gridCol w:w="1631"/>
              <w:gridCol w:w="2953"/>
              <w:gridCol w:w="1256"/>
            </w:tblGrid>
            <w:tr w14:paraId="2076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4" w:type="pct"/>
                  <w:noWrap w:val="0"/>
                  <w:vAlign w:val="center"/>
                </w:tcPr>
                <w:p w14:paraId="5E3DC871">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1046" w:type="pct"/>
                  <w:noWrap w:val="0"/>
                  <w:vAlign w:val="center"/>
                </w:tcPr>
                <w:p w14:paraId="18EF72DE">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行业类别</w:t>
                  </w:r>
                </w:p>
              </w:tc>
              <w:tc>
                <w:tcPr>
                  <w:tcW w:w="1028" w:type="pct"/>
                  <w:noWrap w:val="0"/>
                  <w:vAlign w:val="center"/>
                </w:tcPr>
                <w:p w14:paraId="2FD9B9B5">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重点管理</w:t>
                  </w:r>
                </w:p>
              </w:tc>
              <w:tc>
                <w:tcPr>
                  <w:tcW w:w="1861" w:type="pct"/>
                  <w:noWrap w:val="0"/>
                  <w:vAlign w:val="center"/>
                </w:tcPr>
                <w:p w14:paraId="320C7E8A">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简化管理</w:t>
                  </w:r>
                </w:p>
              </w:tc>
              <w:tc>
                <w:tcPr>
                  <w:tcW w:w="791" w:type="pct"/>
                  <w:noWrap w:val="0"/>
                  <w:vAlign w:val="center"/>
                </w:tcPr>
                <w:p w14:paraId="7C97FBE8">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登记管理</w:t>
                  </w:r>
                </w:p>
              </w:tc>
            </w:tr>
            <w:tr w14:paraId="370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032F989F">
                  <w:pPr>
                    <w:adjustRightInd w:val="0"/>
                    <w:ind w:left="-50" w:right="-50"/>
                    <w:jc w:val="left"/>
                    <w:rPr>
                      <w:rFonts w:hint="default" w:ascii="Times New Roman" w:hAnsi="Times New Roman" w:cs="Times New Roman"/>
                      <w:b/>
                      <w:color w:val="auto"/>
                      <w:sz w:val="18"/>
                      <w:szCs w:val="18"/>
                    </w:rPr>
                  </w:pPr>
                  <w:r>
                    <w:rPr>
                      <w:rFonts w:hint="default" w:ascii="Times New Roman" w:hAnsi="Times New Roman" w:eastAsia="宋体" w:cs="Times New Roman"/>
                      <w:b/>
                      <w:bCs/>
                      <w:color w:val="auto"/>
                      <w:sz w:val="18"/>
                      <w:szCs w:val="18"/>
                    </w:rPr>
                    <w:t>二十五、非金属矿物制品业 30</w:t>
                  </w:r>
                </w:p>
              </w:tc>
            </w:tr>
            <w:tr w14:paraId="53DD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noWrap w:val="0"/>
                  <w:vAlign w:val="center"/>
                </w:tcPr>
                <w:p w14:paraId="699E997E">
                  <w:pPr>
                    <w:adjustRightInd w:val="0"/>
                    <w:ind w:left="-50" w:right="-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w:t>
                  </w:r>
                </w:p>
              </w:tc>
              <w:tc>
                <w:tcPr>
                  <w:tcW w:w="1046" w:type="pct"/>
                  <w:noWrap w:val="0"/>
                  <w:vAlign w:val="center"/>
                </w:tcPr>
                <w:p w14:paraId="53F64AA4">
                  <w:pPr>
                    <w:adjustRightInd w:val="0"/>
                    <w:ind w:left="-50" w:right="-50"/>
                    <w:jc w:val="center"/>
                    <w:rPr>
                      <w:rFonts w:hint="default" w:ascii="Times New Roman" w:hAnsi="Times New Roman" w:cs="Times New Roman"/>
                      <w:color w:val="auto"/>
                      <w:sz w:val="18"/>
                      <w:szCs w:val="18"/>
                    </w:rPr>
                  </w:pPr>
                  <w:r>
                    <w:rPr>
                      <w:rFonts w:hint="default" w:ascii="Times New Roman" w:hAnsi="Times New Roman" w:eastAsia="宋体" w:cs="Times New Roman"/>
                      <w:b w:val="0"/>
                      <w:bCs w:val="0"/>
                      <w:color w:val="auto"/>
                      <w:sz w:val="18"/>
                      <w:szCs w:val="18"/>
                    </w:rPr>
                    <w:t>玻璃制品制造 305</w:t>
                  </w:r>
                </w:p>
              </w:tc>
              <w:tc>
                <w:tcPr>
                  <w:tcW w:w="1028" w:type="pct"/>
                  <w:noWrap w:val="0"/>
                  <w:vAlign w:val="center"/>
                </w:tcPr>
                <w:p w14:paraId="1B2CBAD7">
                  <w:pPr>
                    <w:adjustRightInd w:val="0"/>
                    <w:ind w:left="-50" w:right="-50"/>
                    <w:jc w:val="center"/>
                    <w:rPr>
                      <w:rFonts w:hint="default" w:ascii="Times New Roman" w:hAnsi="Times New Roman" w:cs="Times New Roman"/>
                      <w:color w:val="auto"/>
                      <w:sz w:val="18"/>
                      <w:szCs w:val="18"/>
                    </w:rPr>
                  </w:pPr>
                  <w:r>
                    <w:rPr>
                      <w:rFonts w:hint="default" w:ascii="Times New Roman" w:hAnsi="Times New Roman" w:eastAsia="宋体" w:cs="Times New Roman"/>
                      <w:b w:val="0"/>
                      <w:bCs w:val="0"/>
                      <w:color w:val="auto"/>
                      <w:sz w:val="18"/>
                      <w:szCs w:val="18"/>
                    </w:rPr>
                    <w:t>以煤、石油焦、油和发生炉煤气为燃 料的</w:t>
                  </w:r>
                </w:p>
              </w:tc>
              <w:tc>
                <w:tcPr>
                  <w:tcW w:w="1861" w:type="pct"/>
                  <w:noWrap w:val="0"/>
                  <w:vAlign w:val="center"/>
                </w:tcPr>
                <w:p w14:paraId="6AEFA360">
                  <w:pPr>
                    <w:adjustRightInd w:val="0"/>
                    <w:ind w:left="-50" w:right="-50"/>
                    <w:jc w:val="center"/>
                    <w:rPr>
                      <w:rFonts w:hint="default" w:ascii="Times New Roman" w:hAnsi="Times New Roman" w:cs="Times New Roman"/>
                      <w:color w:val="auto"/>
                      <w:sz w:val="18"/>
                      <w:szCs w:val="18"/>
                    </w:rPr>
                  </w:pPr>
                  <w:r>
                    <w:rPr>
                      <w:rFonts w:hint="default" w:ascii="Times New Roman" w:hAnsi="Times New Roman" w:eastAsia="宋体" w:cs="Times New Roman"/>
                      <w:b/>
                      <w:bCs/>
                      <w:color w:val="auto"/>
                      <w:sz w:val="18"/>
                      <w:szCs w:val="18"/>
                    </w:rPr>
                    <w:t>以天然气为燃料的</w:t>
                  </w:r>
                </w:p>
              </w:tc>
              <w:tc>
                <w:tcPr>
                  <w:tcW w:w="791" w:type="pct"/>
                  <w:noWrap w:val="0"/>
                  <w:vAlign w:val="center"/>
                </w:tcPr>
                <w:p w14:paraId="7C22371A">
                  <w:pPr>
                    <w:adjustRightInd w:val="0"/>
                    <w:ind w:left="-50" w:right="-50"/>
                    <w:jc w:val="center"/>
                    <w:rPr>
                      <w:rFonts w:hint="default" w:ascii="Times New Roman" w:hAnsi="Times New Roman" w:cs="Times New Roman"/>
                      <w:b/>
                      <w:color w:val="auto"/>
                      <w:sz w:val="18"/>
                      <w:szCs w:val="18"/>
                    </w:rPr>
                  </w:pPr>
                  <w:r>
                    <w:rPr>
                      <w:rFonts w:hint="default" w:ascii="Times New Roman" w:hAnsi="Times New Roman" w:cs="Times New Roman"/>
                      <w:b w:val="0"/>
                      <w:bCs/>
                      <w:color w:val="auto"/>
                      <w:sz w:val="18"/>
                      <w:szCs w:val="18"/>
                    </w:rPr>
                    <w:t>其他</w:t>
                  </w:r>
                </w:p>
              </w:tc>
            </w:tr>
          </w:tbl>
          <w:p w14:paraId="46FAC714">
            <w:pPr>
              <w:spacing w:line="360" w:lineRule="auto"/>
              <w:ind w:firstLine="420" w:firstLineChars="200"/>
              <w:jc w:val="left"/>
              <w:rPr>
                <w:color w:val="auto"/>
                <w:sz w:val="24"/>
              </w:rPr>
            </w:pPr>
            <w:r>
              <w:rPr>
                <w:color w:val="auto"/>
                <w:sz w:val="21"/>
                <w:szCs w:val="21"/>
              </w:rPr>
              <w:t>建设单位委托我单位编制该项目的环境影响报告表。本单位接受委托后，安排技术人员对项目建设场地周围环境进行了现场踏勘、调查，在收集项目相关资料的基础上进行了分析，根据国家和地方有关环保法律法规，并依据相关技术导则和规范要求，编制了本项目环境影响报告表。</w:t>
            </w:r>
          </w:p>
          <w:p w14:paraId="5C3E3AB3">
            <w:pPr>
              <w:numPr>
                <w:ilvl w:val="0"/>
                <w:numId w:val="4"/>
              </w:numPr>
              <w:adjustRightInd w:val="0"/>
              <w:snapToGrid w:val="0"/>
              <w:spacing w:line="360" w:lineRule="auto"/>
              <w:ind w:firstLine="422" w:firstLineChars="200"/>
              <w:jc w:val="left"/>
              <w:rPr>
                <w:rFonts w:hint="eastAsia"/>
                <w:b/>
                <w:bCs w:val="0"/>
                <w:color w:val="auto"/>
                <w:szCs w:val="21"/>
                <w:lang w:val="en-US" w:eastAsia="zh-CN"/>
              </w:rPr>
            </w:pPr>
            <w:r>
              <w:rPr>
                <w:rFonts w:hint="eastAsia"/>
                <w:b/>
                <w:bCs w:val="0"/>
                <w:color w:val="auto"/>
                <w:szCs w:val="21"/>
                <w:lang w:val="en-US" w:eastAsia="zh-CN"/>
              </w:rPr>
              <w:t>建设内容</w:t>
            </w:r>
          </w:p>
          <w:p w14:paraId="7978F9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bCs/>
                <w:color w:val="auto"/>
                <w:szCs w:val="21"/>
              </w:rPr>
            </w:pPr>
            <w:r>
              <w:rPr>
                <w:bCs/>
                <w:color w:val="auto"/>
                <w:szCs w:val="21"/>
              </w:rPr>
              <w:t>本次</w:t>
            </w:r>
            <w:r>
              <w:rPr>
                <w:rFonts w:hint="eastAsia"/>
                <w:bCs/>
                <w:color w:val="auto"/>
                <w:szCs w:val="21"/>
              </w:rPr>
              <w:t>技改扩建</w:t>
            </w:r>
            <w:r>
              <w:rPr>
                <w:bCs/>
                <w:color w:val="auto"/>
                <w:szCs w:val="21"/>
              </w:rPr>
              <w:t>工程主要建设内容及工程组成见下表。</w:t>
            </w:r>
          </w:p>
          <w:p w14:paraId="608128D4">
            <w:pPr>
              <w:pStyle w:val="81"/>
              <w:keepNext w:val="0"/>
              <w:keepLines w:val="0"/>
              <w:pageBreakBefore w:val="0"/>
              <w:widowControl/>
              <w:kinsoku/>
              <w:wordWrap/>
              <w:overflowPunct/>
              <w:topLinePunct w:val="0"/>
              <w:autoSpaceDE/>
              <w:autoSpaceDN/>
              <w:bidi w:val="0"/>
              <w:adjustRightInd w:val="0"/>
              <w:snapToGrid w:val="0"/>
              <w:spacing w:before="0" w:after="0"/>
              <w:ind w:right="113"/>
              <w:textAlignment w:val="auto"/>
              <w:rPr>
                <w:rFonts w:ascii="Times New Roman" w:hAnsi="Times New Roman" w:cs="Times New Roman"/>
                <w:color w:val="auto"/>
              </w:rPr>
            </w:pPr>
            <w:r>
              <w:rPr>
                <w:rFonts w:ascii="Times New Roman" w:hAnsi="Times New Roman" w:cs="Times New Roman"/>
                <w:color w:val="auto"/>
              </w:rPr>
              <w:t>表2-</w:t>
            </w:r>
            <w:r>
              <w:rPr>
                <w:rFonts w:hint="eastAsia" w:ascii="Times New Roman" w:hAnsi="Times New Roman" w:cs="Times New Roman"/>
                <w:color w:val="auto"/>
                <w:lang w:val="en-US" w:eastAsia="zh-CN"/>
              </w:rPr>
              <w:t>3</w:t>
            </w:r>
            <w:r>
              <w:rPr>
                <w:rFonts w:ascii="Times New Roman" w:hAnsi="Times New Roman" w:cs="Times New Roman"/>
                <w:color w:val="auto"/>
              </w:rPr>
              <w:t xml:space="preserve"> 本次</w:t>
            </w:r>
            <w:r>
              <w:rPr>
                <w:rFonts w:hint="eastAsia" w:ascii="Times New Roman" w:hAnsi="Times New Roman" w:cs="Times New Roman"/>
                <w:color w:val="auto"/>
              </w:rPr>
              <w:t>技改扩建</w:t>
            </w:r>
            <w:r>
              <w:rPr>
                <w:rFonts w:ascii="Times New Roman" w:hAnsi="Times New Roman" w:cs="Times New Roman"/>
                <w:color w:val="auto"/>
              </w:rPr>
              <w:t>工程内容一览表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46"/>
              <w:gridCol w:w="803"/>
              <w:gridCol w:w="2210"/>
              <w:gridCol w:w="2685"/>
              <w:gridCol w:w="703"/>
            </w:tblGrid>
            <w:tr w14:paraId="475C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14:paraId="6565E8A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color w:val="auto"/>
                      <w:sz w:val="18"/>
                      <w:szCs w:val="18"/>
                      <w:lang w:val="en-US" w:eastAsia="zh-CN"/>
                    </w:rPr>
                  </w:pPr>
                  <w:bookmarkStart w:id="5" w:name="_Hlk34311512"/>
                  <w:r>
                    <w:rPr>
                      <w:color w:val="auto"/>
                      <w:sz w:val="18"/>
                      <w:szCs w:val="18"/>
                      <w:lang w:val="en-US" w:eastAsia="zh-CN"/>
                    </w:rPr>
                    <w:t>工程名称</w:t>
                  </w:r>
                </w:p>
              </w:tc>
              <w:tc>
                <w:tcPr>
                  <w:tcW w:w="533" w:type="pct"/>
                  <w:noWrap w:val="0"/>
                  <w:vAlign w:val="center"/>
                </w:tcPr>
                <w:p w14:paraId="4495191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color w:val="auto"/>
                      <w:sz w:val="18"/>
                      <w:szCs w:val="18"/>
                      <w:lang w:val="en-US" w:eastAsia="zh-CN"/>
                    </w:rPr>
                  </w:pPr>
                  <w:r>
                    <w:rPr>
                      <w:color w:val="auto"/>
                      <w:sz w:val="18"/>
                      <w:szCs w:val="18"/>
                      <w:lang w:val="en-US" w:eastAsia="zh-CN"/>
                    </w:rPr>
                    <w:t>单项工程名称</w:t>
                  </w:r>
                </w:p>
              </w:tc>
              <w:tc>
                <w:tcPr>
                  <w:tcW w:w="1899" w:type="pct"/>
                  <w:gridSpan w:val="2"/>
                  <w:noWrap w:val="0"/>
                  <w:vAlign w:val="center"/>
                </w:tcPr>
                <w:p w14:paraId="16AB012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现有</w:t>
                  </w:r>
                  <w:r>
                    <w:rPr>
                      <w:color w:val="auto"/>
                      <w:sz w:val="18"/>
                      <w:szCs w:val="18"/>
                      <w:lang w:val="en-US" w:eastAsia="zh-CN"/>
                    </w:rPr>
                    <w:t>工程内容</w:t>
                  </w:r>
                  <w:r>
                    <w:rPr>
                      <w:rFonts w:hint="eastAsia"/>
                      <w:color w:val="auto"/>
                      <w:sz w:val="18"/>
                      <w:szCs w:val="18"/>
                      <w:lang w:val="en-US" w:eastAsia="zh-CN"/>
                    </w:rPr>
                    <w:t>及规模</w:t>
                  </w:r>
                </w:p>
              </w:tc>
              <w:tc>
                <w:tcPr>
                  <w:tcW w:w="1691" w:type="pct"/>
                  <w:noWrap w:val="0"/>
                  <w:vAlign w:val="center"/>
                </w:tcPr>
                <w:p w14:paraId="31CF69C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技改扩建后工程</w:t>
                  </w:r>
                  <w:r>
                    <w:rPr>
                      <w:color w:val="auto"/>
                      <w:sz w:val="18"/>
                      <w:szCs w:val="18"/>
                      <w:lang w:val="en-US" w:eastAsia="zh-CN"/>
                    </w:rPr>
                    <w:t>内容</w:t>
                  </w:r>
                  <w:r>
                    <w:rPr>
                      <w:rFonts w:hint="eastAsia"/>
                      <w:color w:val="auto"/>
                      <w:sz w:val="18"/>
                      <w:szCs w:val="18"/>
                      <w:lang w:val="en-US" w:eastAsia="zh-CN"/>
                    </w:rPr>
                    <w:t>及规模</w:t>
                  </w:r>
                </w:p>
              </w:tc>
              <w:tc>
                <w:tcPr>
                  <w:tcW w:w="443" w:type="pct"/>
                  <w:noWrap w:val="0"/>
                  <w:vAlign w:val="center"/>
                </w:tcPr>
                <w:p w14:paraId="5E24F18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color w:val="auto"/>
                      <w:sz w:val="18"/>
                      <w:szCs w:val="18"/>
                      <w:lang w:val="en-US" w:eastAsia="zh-CN"/>
                    </w:rPr>
                    <w:t>备注</w:t>
                  </w:r>
                </w:p>
              </w:tc>
            </w:tr>
            <w:tr w14:paraId="761F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14:paraId="5F387B5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主体工程</w:t>
                  </w:r>
                </w:p>
              </w:tc>
              <w:tc>
                <w:tcPr>
                  <w:tcW w:w="533" w:type="pct"/>
                  <w:noWrap w:val="0"/>
                  <w:vAlign w:val="center"/>
                </w:tcPr>
                <w:p w14:paraId="0CF3C52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rFonts w:hint="eastAsia"/>
                      <w:color w:val="auto"/>
                      <w:sz w:val="18"/>
                      <w:szCs w:val="18"/>
                      <w:lang w:val="en-US" w:eastAsia="zh-CN"/>
                    </w:rPr>
                    <w:t>生产车间</w:t>
                  </w:r>
                </w:p>
              </w:tc>
              <w:tc>
                <w:tcPr>
                  <w:tcW w:w="1899" w:type="pct"/>
                  <w:gridSpan w:val="2"/>
                  <w:noWrap w:val="0"/>
                  <w:vAlign w:val="center"/>
                </w:tcPr>
                <w:p w14:paraId="4A34FBA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rPr>
                  </w:pPr>
                  <w:r>
                    <w:rPr>
                      <w:rFonts w:ascii="Times New Roman" w:hAnsi="Times New Roman" w:eastAsia="宋体" w:cs="Times New Roman"/>
                      <w:color w:val="auto"/>
                      <w:sz w:val="18"/>
                      <w:szCs w:val="18"/>
                    </w:rPr>
                    <w:t>1栋1层生产车间</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位于厂区中心部位</w:t>
                  </w:r>
                  <w:r>
                    <w:rPr>
                      <w:rFonts w:hint="eastAsia" w:ascii="Times New Roman" w:hAnsi="Times New Roman" w:eastAsia="宋体" w:cs="Times New Roman"/>
                      <w:color w:val="auto"/>
                      <w:sz w:val="18"/>
                      <w:szCs w:val="18"/>
                      <w:lang w:eastAsia="zh-CN"/>
                    </w:rPr>
                    <w:t>）</w:t>
                  </w:r>
                  <w:r>
                    <w:rPr>
                      <w:rFonts w:ascii="Times New Roman" w:hAnsi="Times New Roman" w:eastAsia="宋体" w:cs="Times New Roman"/>
                      <w:color w:val="auto"/>
                      <w:sz w:val="18"/>
                      <w:szCs w:val="18"/>
                    </w:rPr>
                    <w:t>，高度8m，1#车间总建筑面积18440m</w:t>
                  </w:r>
                  <w:r>
                    <w:rPr>
                      <w:rFonts w:ascii="Times New Roman" w:hAnsi="Times New Roman" w:eastAsia="宋体" w:cs="Times New Roman"/>
                      <w:color w:val="auto"/>
                      <w:sz w:val="18"/>
                      <w:szCs w:val="18"/>
                      <w:vertAlign w:val="superscript"/>
                    </w:rPr>
                    <w:t>2</w:t>
                  </w:r>
                  <w:r>
                    <w:rPr>
                      <w:rFonts w:ascii="Times New Roman" w:hAnsi="Times New Roman" w:eastAsia="宋体" w:cs="Times New Roman"/>
                      <w:color w:val="auto"/>
                      <w:sz w:val="18"/>
                      <w:szCs w:val="18"/>
                    </w:rPr>
                    <w:t>。车间内设1座50m</w:t>
                  </w:r>
                  <w:r>
                    <w:rPr>
                      <w:rFonts w:ascii="Times New Roman" w:hAnsi="Times New Roman" w:eastAsia="宋体" w:cs="Times New Roman"/>
                      <w:color w:val="auto"/>
                      <w:sz w:val="18"/>
                      <w:szCs w:val="18"/>
                      <w:vertAlign w:val="superscript"/>
                    </w:rPr>
                    <w:t>2</w:t>
                  </w:r>
                  <w:r>
                    <w:rPr>
                      <w:rFonts w:ascii="Times New Roman" w:hAnsi="Times New Roman" w:eastAsia="宋体" w:cs="Times New Roman"/>
                      <w:color w:val="auto"/>
                      <w:sz w:val="18"/>
                      <w:szCs w:val="18"/>
                    </w:rPr>
                    <w:t>玻璃炉窑、4座退火窑、供料机、行列机、</w:t>
                  </w:r>
                  <w:r>
                    <w:rPr>
                      <w:rFonts w:hint="eastAsia" w:ascii="Times New Roman" w:hAnsi="Times New Roman" w:eastAsia="宋体" w:cs="Times New Roman"/>
                      <w:color w:val="auto"/>
                      <w:sz w:val="18"/>
                      <w:szCs w:val="18"/>
                      <w:lang w:val="en-US" w:eastAsia="zh-CN"/>
                    </w:rPr>
                    <w:t>9条</w:t>
                  </w:r>
                  <w:r>
                    <w:rPr>
                      <w:rFonts w:ascii="Times New Roman" w:hAnsi="Times New Roman" w:eastAsia="宋体" w:cs="Times New Roman"/>
                      <w:color w:val="auto"/>
                      <w:sz w:val="18"/>
                      <w:szCs w:val="18"/>
                    </w:rPr>
                    <w:t>压</w:t>
                  </w:r>
                  <w:r>
                    <w:rPr>
                      <w:rFonts w:hint="eastAsia" w:ascii="Times New Roman" w:hAnsi="Times New Roman" w:eastAsia="宋体" w:cs="Times New Roman"/>
                      <w:color w:val="auto"/>
                      <w:sz w:val="18"/>
                      <w:szCs w:val="18"/>
                      <w:lang w:val="en-US" w:eastAsia="zh-CN"/>
                    </w:rPr>
                    <w:t>制</w:t>
                  </w:r>
                  <w:r>
                    <w:rPr>
                      <w:rFonts w:ascii="Times New Roman" w:hAnsi="Times New Roman" w:eastAsia="宋体" w:cs="Times New Roman"/>
                      <w:color w:val="auto"/>
                      <w:sz w:val="18"/>
                      <w:szCs w:val="18"/>
                    </w:rPr>
                    <w:t>机</w:t>
                  </w:r>
                  <w:r>
                    <w:rPr>
                      <w:rFonts w:hint="eastAsia" w:ascii="Times New Roman" w:hAnsi="Times New Roman" w:eastAsia="宋体" w:cs="Times New Roman"/>
                      <w:color w:val="auto"/>
                      <w:sz w:val="18"/>
                      <w:szCs w:val="18"/>
                      <w:lang w:val="en-US" w:eastAsia="zh-CN"/>
                    </w:rPr>
                    <w:t>生产线</w:t>
                  </w:r>
                  <w:r>
                    <w:rPr>
                      <w:rFonts w:ascii="Times New Roman" w:hAnsi="Times New Roman" w:eastAsia="宋体" w:cs="Times New Roman"/>
                      <w:color w:val="auto"/>
                      <w:sz w:val="18"/>
                      <w:szCs w:val="18"/>
                    </w:rPr>
                    <w:t>、封口机、抛光机、自动配料系统、空压机等设备。</w:t>
                  </w:r>
                </w:p>
              </w:tc>
              <w:tc>
                <w:tcPr>
                  <w:tcW w:w="1691" w:type="pct"/>
                  <w:noWrap w:val="0"/>
                  <w:vAlign w:val="center"/>
                </w:tcPr>
                <w:p w14:paraId="0360B36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rPr>
                  </w:pPr>
                  <w:r>
                    <w:rPr>
                      <w:rFonts w:hint="eastAsia"/>
                      <w:color w:val="auto"/>
                      <w:sz w:val="18"/>
                      <w:szCs w:val="18"/>
                    </w:rPr>
                    <w:t>本工程利用现有</w:t>
                  </w:r>
                  <w:r>
                    <w:rPr>
                      <w:color w:val="auto"/>
                      <w:sz w:val="18"/>
                      <w:szCs w:val="18"/>
                    </w:rPr>
                    <w:t>厂房</w:t>
                  </w:r>
                  <w:r>
                    <w:rPr>
                      <w:rFonts w:hint="eastAsia"/>
                      <w:color w:val="auto"/>
                      <w:sz w:val="18"/>
                      <w:szCs w:val="18"/>
                      <w:lang w:val="en-US" w:eastAsia="zh-CN"/>
                    </w:rPr>
                    <w:t>进行布局调整，车间内设1座66m</w:t>
                  </w:r>
                  <w:r>
                    <w:rPr>
                      <w:rFonts w:hint="eastAsia"/>
                      <w:color w:val="auto"/>
                      <w:sz w:val="18"/>
                      <w:szCs w:val="18"/>
                      <w:vertAlign w:val="superscript"/>
                      <w:lang w:val="en-US" w:eastAsia="zh-CN"/>
                    </w:rPr>
                    <w:t>2</w:t>
                  </w:r>
                  <w:r>
                    <w:rPr>
                      <w:rFonts w:hint="eastAsia"/>
                      <w:color w:val="auto"/>
                      <w:sz w:val="18"/>
                      <w:szCs w:val="18"/>
                      <w:lang w:val="en-US" w:eastAsia="zh-CN"/>
                    </w:rPr>
                    <w:t>玻璃炉窑、7个退火窑、</w:t>
                  </w:r>
                  <w:r>
                    <w:rPr>
                      <w:rFonts w:ascii="Times New Roman" w:hAnsi="Times New Roman" w:eastAsia="宋体" w:cs="Times New Roman"/>
                      <w:color w:val="auto"/>
                      <w:sz w:val="18"/>
                      <w:szCs w:val="18"/>
                    </w:rPr>
                    <w:t>供料机、</w:t>
                  </w:r>
                  <w:r>
                    <w:rPr>
                      <w:rFonts w:hint="eastAsia" w:ascii="Times New Roman" w:hAnsi="Times New Roman" w:eastAsia="宋体" w:cs="Times New Roman"/>
                      <w:color w:val="auto"/>
                      <w:sz w:val="18"/>
                      <w:szCs w:val="18"/>
                      <w:lang w:val="en-US" w:eastAsia="zh-CN"/>
                    </w:rPr>
                    <w:t>12条</w:t>
                  </w:r>
                  <w:r>
                    <w:rPr>
                      <w:rFonts w:ascii="Times New Roman" w:hAnsi="Times New Roman" w:eastAsia="宋体" w:cs="Times New Roman"/>
                      <w:color w:val="auto"/>
                      <w:sz w:val="18"/>
                      <w:szCs w:val="18"/>
                    </w:rPr>
                    <w:t>压</w:t>
                  </w:r>
                  <w:r>
                    <w:rPr>
                      <w:rFonts w:hint="eastAsia" w:ascii="Times New Roman" w:hAnsi="Times New Roman" w:eastAsia="宋体" w:cs="Times New Roman"/>
                      <w:color w:val="auto"/>
                      <w:sz w:val="18"/>
                      <w:szCs w:val="18"/>
                      <w:lang w:val="en-US" w:eastAsia="zh-CN"/>
                    </w:rPr>
                    <w:t>制</w:t>
                  </w:r>
                  <w:r>
                    <w:rPr>
                      <w:rFonts w:ascii="Times New Roman" w:hAnsi="Times New Roman" w:eastAsia="宋体" w:cs="Times New Roman"/>
                      <w:color w:val="auto"/>
                      <w:sz w:val="18"/>
                      <w:szCs w:val="18"/>
                    </w:rPr>
                    <w:t>机</w:t>
                  </w:r>
                  <w:r>
                    <w:rPr>
                      <w:rFonts w:hint="eastAsia" w:ascii="Times New Roman" w:hAnsi="Times New Roman" w:eastAsia="宋体" w:cs="Times New Roman"/>
                      <w:color w:val="auto"/>
                      <w:sz w:val="18"/>
                      <w:szCs w:val="18"/>
                      <w:lang w:val="en-US" w:eastAsia="zh-CN"/>
                    </w:rPr>
                    <w:t>生产线</w:t>
                  </w:r>
                  <w:r>
                    <w:rPr>
                      <w:rFonts w:ascii="Times New Roman" w:hAnsi="Times New Roman" w:eastAsia="宋体" w:cs="Times New Roman"/>
                      <w:color w:val="auto"/>
                      <w:sz w:val="18"/>
                      <w:szCs w:val="18"/>
                    </w:rPr>
                    <w:t>、封口机、抛光机、自动配料系统、空压机等设备。</w:t>
                  </w:r>
                  <w:r>
                    <w:rPr>
                      <w:rFonts w:hint="eastAsia"/>
                      <w:color w:val="auto"/>
                      <w:sz w:val="18"/>
                      <w:szCs w:val="18"/>
                    </w:rPr>
                    <w:t>本工程建成后，年产</w:t>
                  </w:r>
                  <w:r>
                    <w:rPr>
                      <w:rFonts w:hint="eastAsia"/>
                      <w:color w:val="auto"/>
                      <w:sz w:val="18"/>
                      <w:szCs w:val="18"/>
                      <w:lang w:val="en-US" w:eastAsia="zh-CN"/>
                    </w:rPr>
                    <w:t>日用玻璃制品4万吨</w:t>
                  </w:r>
                  <w:r>
                    <w:rPr>
                      <w:rFonts w:hint="eastAsia"/>
                      <w:color w:val="auto"/>
                      <w:sz w:val="18"/>
                      <w:szCs w:val="18"/>
                    </w:rPr>
                    <w:t>。</w:t>
                  </w:r>
                </w:p>
              </w:tc>
              <w:tc>
                <w:tcPr>
                  <w:tcW w:w="443" w:type="pct"/>
                  <w:noWrap w:val="0"/>
                  <w:vAlign w:val="center"/>
                </w:tcPr>
                <w:p w14:paraId="571EB22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bCs/>
                      <w:color w:val="auto"/>
                      <w:sz w:val="18"/>
                      <w:szCs w:val="18"/>
                      <w:lang w:val="en-US" w:eastAsia="zh-CN"/>
                    </w:rPr>
                  </w:pPr>
                  <w:r>
                    <w:rPr>
                      <w:rFonts w:hint="eastAsia"/>
                      <w:color w:val="auto"/>
                      <w:sz w:val="18"/>
                      <w:szCs w:val="18"/>
                      <w:lang w:val="en-US" w:eastAsia="zh-CN"/>
                    </w:rPr>
                    <w:t>利用现有厂房，熔窑升级改造</w:t>
                  </w:r>
                </w:p>
              </w:tc>
            </w:tr>
            <w:tr w14:paraId="5C5F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0D1D630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储运</w:t>
                  </w:r>
                </w:p>
                <w:p w14:paraId="3C37A12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工程</w:t>
                  </w:r>
                </w:p>
              </w:tc>
              <w:tc>
                <w:tcPr>
                  <w:tcW w:w="533" w:type="pct"/>
                  <w:noWrap w:val="0"/>
                  <w:vAlign w:val="center"/>
                </w:tcPr>
                <w:p w14:paraId="59C418C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color w:val="auto"/>
                      <w:sz w:val="18"/>
                      <w:szCs w:val="18"/>
                      <w:lang w:val="en-US" w:eastAsia="zh-CN"/>
                    </w:rPr>
                    <w:t>原料</w:t>
                  </w:r>
                  <w:r>
                    <w:rPr>
                      <w:rFonts w:hint="eastAsia"/>
                      <w:color w:val="auto"/>
                      <w:sz w:val="18"/>
                      <w:szCs w:val="18"/>
                      <w:lang w:val="en-US" w:eastAsia="zh-CN"/>
                    </w:rPr>
                    <w:t>库</w:t>
                  </w:r>
                </w:p>
              </w:tc>
              <w:tc>
                <w:tcPr>
                  <w:tcW w:w="1899" w:type="pct"/>
                  <w:gridSpan w:val="2"/>
                  <w:noWrap w:val="0"/>
                  <w:vAlign w:val="center"/>
                </w:tcPr>
                <w:p w14:paraId="10637A6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bCs/>
                      <w:color w:val="auto"/>
                      <w:sz w:val="18"/>
                      <w:szCs w:val="18"/>
                      <w:lang w:val="en-US" w:eastAsia="zh-CN"/>
                    </w:rPr>
                  </w:pPr>
                  <w:r>
                    <w:rPr>
                      <w:color w:val="auto"/>
                      <w:sz w:val="18"/>
                      <w:szCs w:val="18"/>
                      <w:lang w:val="en-US" w:eastAsia="zh-CN"/>
                    </w:rPr>
                    <w:t>位于</w:t>
                  </w:r>
                  <w:r>
                    <w:rPr>
                      <w:rFonts w:hint="eastAsia"/>
                      <w:color w:val="auto"/>
                      <w:sz w:val="18"/>
                      <w:szCs w:val="18"/>
                      <w:lang w:val="en-US" w:eastAsia="zh-CN"/>
                    </w:rPr>
                    <w:t>厂区西南</w:t>
                  </w:r>
                  <w:r>
                    <w:rPr>
                      <w:color w:val="auto"/>
                      <w:sz w:val="18"/>
                      <w:szCs w:val="18"/>
                      <w:lang w:val="en-US" w:eastAsia="zh-CN"/>
                    </w:rPr>
                    <w:t>部，用于</w:t>
                  </w:r>
                  <w:r>
                    <w:rPr>
                      <w:rFonts w:hint="eastAsia"/>
                      <w:color w:val="auto"/>
                      <w:sz w:val="18"/>
                      <w:szCs w:val="18"/>
                      <w:lang w:val="en-US" w:eastAsia="zh-CN"/>
                    </w:rPr>
                    <w:t>分区暂存石英砂、纯碱、长石、方解石、硼砂、澄清剂等</w:t>
                  </w:r>
                  <w:r>
                    <w:rPr>
                      <w:color w:val="auto"/>
                      <w:sz w:val="18"/>
                      <w:szCs w:val="18"/>
                      <w:lang w:val="en-US" w:eastAsia="zh-CN"/>
                    </w:rPr>
                    <w:t>原辅料等，建筑面积10</w:t>
                  </w:r>
                  <w:r>
                    <w:rPr>
                      <w:rFonts w:hint="eastAsia"/>
                      <w:color w:val="auto"/>
                      <w:sz w:val="18"/>
                      <w:szCs w:val="18"/>
                      <w:lang w:val="en-US" w:eastAsia="zh-CN"/>
                    </w:rPr>
                    <w:t>976</w:t>
                  </w:r>
                  <w:r>
                    <w:rPr>
                      <w:color w:val="auto"/>
                      <w:sz w:val="18"/>
                      <w:szCs w:val="18"/>
                      <w:lang w:val="en-US" w:eastAsia="zh-CN"/>
                    </w:rPr>
                    <w:t>m</w:t>
                  </w:r>
                  <w:r>
                    <w:rPr>
                      <w:color w:val="auto"/>
                      <w:sz w:val="18"/>
                      <w:szCs w:val="18"/>
                      <w:vertAlign w:val="superscript"/>
                      <w:lang w:val="en-US" w:eastAsia="zh-CN"/>
                    </w:rPr>
                    <w:t>2</w:t>
                  </w:r>
                </w:p>
              </w:tc>
              <w:tc>
                <w:tcPr>
                  <w:tcW w:w="1691" w:type="pct"/>
                  <w:noWrap w:val="0"/>
                  <w:vAlign w:val="center"/>
                </w:tcPr>
                <w:p w14:paraId="0FAA0BB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bCs/>
                      <w:color w:val="auto"/>
                      <w:sz w:val="18"/>
                      <w:szCs w:val="18"/>
                      <w:lang w:val="en-US" w:eastAsia="zh-CN"/>
                    </w:rPr>
                  </w:pPr>
                  <w:r>
                    <w:rPr>
                      <w:color w:val="auto"/>
                      <w:sz w:val="18"/>
                      <w:szCs w:val="18"/>
                      <w:lang w:val="en-US" w:eastAsia="zh-CN"/>
                    </w:rPr>
                    <w:t>位于</w:t>
                  </w:r>
                  <w:r>
                    <w:rPr>
                      <w:rFonts w:hint="eastAsia"/>
                      <w:color w:val="auto"/>
                      <w:sz w:val="18"/>
                      <w:szCs w:val="18"/>
                      <w:lang w:val="en-US" w:eastAsia="zh-CN"/>
                    </w:rPr>
                    <w:t>厂区西南</w:t>
                  </w:r>
                  <w:r>
                    <w:rPr>
                      <w:color w:val="auto"/>
                      <w:sz w:val="18"/>
                      <w:szCs w:val="18"/>
                      <w:lang w:val="en-US" w:eastAsia="zh-CN"/>
                    </w:rPr>
                    <w:t>部，用于</w:t>
                  </w:r>
                  <w:r>
                    <w:rPr>
                      <w:rFonts w:hint="eastAsia"/>
                      <w:color w:val="auto"/>
                      <w:sz w:val="18"/>
                      <w:szCs w:val="18"/>
                      <w:lang w:val="en-US" w:eastAsia="zh-CN"/>
                    </w:rPr>
                    <w:t>分区暂存石英砂、纯碱、长石、方解石、硼砂、澄清剂等</w:t>
                  </w:r>
                  <w:r>
                    <w:rPr>
                      <w:color w:val="auto"/>
                      <w:sz w:val="18"/>
                      <w:szCs w:val="18"/>
                      <w:lang w:val="en-US" w:eastAsia="zh-CN"/>
                    </w:rPr>
                    <w:t>原辅料等，建筑面积10</w:t>
                  </w:r>
                  <w:r>
                    <w:rPr>
                      <w:rFonts w:hint="eastAsia"/>
                      <w:color w:val="auto"/>
                      <w:sz w:val="18"/>
                      <w:szCs w:val="18"/>
                      <w:lang w:val="en-US" w:eastAsia="zh-CN"/>
                    </w:rPr>
                    <w:t>976</w:t>
                  </w:r>
                  <w:r>
                    <w:rPr>
                      <w:color w:val="auto"/>
                      <w:sz w:val="18"/>
                      <w:szCs w:val="18"/>
                      <w:lang w:val="en-US" w:eastAsia="zh-CN"/>
                    </w:rPr>
                    <w:t>m</w:t>
                  </w:r>
                  <w:r>
                    <w:rPr>
                      <w:color w:val="auto"/>
                      <w:sz w:val="18"/>
                      <w:szCs w:val="18"/>
                      <w:vertAlign w:val="superscript"/>
                      <w:lang w:val="en-US" w:eastAsia="zh-CN"/>
                    </w:rPr>
                    <w:t>2</w:t>
                  </w:r>
                </w:p>
              </w:tc>
              <w:tc>
                <w:tcPr>
                  <w:tcW w:w="443" w:type="pct"/>
                  <w:noWrap w:val="0"/>
                  <w:vAlign w:val="center"/>
                </w:tcPr>
                <w:p w14:paraId="3B3500D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bCs/>
                      <w:color w:val="auto"/>
                      <w:sz w:val="18"/>
                      <w:szCs w:val="18"/>
                      <w:lang w:val="en-US" w:eastAsia="zh-CN"/>
                    </w:rPr>
                    <w:t>利用现有</w:t>
                  </w:r>
                </w:p>
              </w:tc>
            </w:tr>
            <w:tr w14:paraId="127D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06D932E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36E229E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color w:val="auto"/>
                      <w:sz w:val="18"/>
                      <w:szCs w:val="18"/>
                      <w:lang w:val="en-US" w:eastAsia="zh-CN"/>
                    </w:rPr>
                  </w:pPr>
                  <w:r>
                    <w:rPr>
                      <w:rFonts w:hint="eastAsia" w:ascii="Times New Roman" w:hAnsi="Times New Roman" w:eastAsia="宋体" w:cs="Times New Roman"/>
                      <w:color w:val="auto"/>
                      <w:sz w:val="18"/>
                      <w:szCs w:val="18"/>
                      <w:lang w:val="en-US" w:eastAsia="zh-CN"/>
                    </w:rPr>
                    <w:t>气瓶暂存区</w:t>
                  </w:r>
                </w:p>
              </w:tc>
              <w:tc>
                <w:tcPr>
                  <w:tcW w:w="1899" w:type="pct"/>
                  <w:gridSpan w:val="2"/>
                  <w:noWrap w:val="0"/>
                  <w:vAlign w:val="center"/>
                </w:tcPr>
                <w:p w14:paraId="5D34970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ascii="Times New Roman" w:hAnsi="Times New Roman" w:eastAsia="宋体" w:cs="Times New Roman"/>
                      <w:color w:val="auto"/>
                      <w:sz w:val="18"/>
                      <w:szCs w:val="18"/>
                      <w:lang w:val="en-US" w:eastAsia="zh-CN"/>
                    </w:rPr>
                    <w:t>位于</w:t>
                  </w:r>
                  <w:r>
                    <w:rPr>
                      <w:rFonts w:ascii="Times New Roman" w:hAnsi="Times New Roman" w:eastAsia="宋体" w:cs="Times New Roman"/>
                      <w:color w:val="auto"/>
                      <w:sz w:val="18"/>
                      <w:szCs w:val="18"/>
                      <w:lang w:val="en-US" w:eastAsia="zh-CN"/>
                    </w:rPr>
                    <w:t>厂区</w:t>
                  </w:r>
                  <w:r>
                    <w:rPr>
                      <w:rFonts w:hint="eastAsia" w:ascii="Times New Roman" w:hAnsi="Times New Roman" w:eastAsia="宋体" w:cs="Times New Roman"/>
                      <w:color w:val="auto"/>
                      <w:sz w:val="18"/>
                      <w:szCs w:val="18"/>
                      <w:lang w:val="en-US" w:eastAsia="zh-CN"/>
                    </w:rPr>
                    <w:t>生产车间正南侧中间，暂存30个LPG气瓶（50kg/瓶）。</w:t>
                  </w:r>
                </w:p>
              </w:tc>
              <w:tc>
                <w:tcPr>
                  <w:tcW w:w="1691" w:type="pct"/>
                  <w:noWrap w:val="0"/>
                  <w:vAlign w:val="center"/>
                </w:tcPr>
                <w:p w14:paraId="633A3AC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bCs/>
                      <w:color w:val="auto"/>
                      <w:sz w:val="18"/>
                      <w:szCs w:val="18"/>
                      <w:lang w:val="en-US" w:eastAsia="zh-CN"/>
                    </w:rPr>
                  </w:pPr>
                  <w:r>
                    <w:rPr>
                      <w:rFonts w:hint="eastAsia" w:ascii="Times New Roman" w:hAnsi="Times New Roman" w:eastAsia="宋体" w:cs="Times New Roman"/>
                      <w:color w:val="auto"/>
                      <w:sz w:val="18"/>
                      <w:szCs w:val="18"/>
                      <w:lang w:val="en-US" w:eastAsia="zh-CN"/>
                    </w:rPr>
                    <w:t>位于</w:t>
                  </w:r>
                  <w:r>
                    <w:rPr>
                      <w:rFonts w:ascii="Times New Roman" w:hAnsi="Times New Roman" w:eastAsia="宋体" w:cs="Times New Roman"/>
                      <w:color w:val="auto"/>
                      <w:sz w:val="18"/>
                      <w:szCs w:val="18"/>
                      <w:lang w:val="en-US" w:eastAsia="zh-CN"/>
                    </w:rPr>
                    <w:t>厂区</w:t>
                  </w:r>
                  <w:r>
                    <w:rPr>
                      <w:rFonts w:hint="eastAsia" w:ascii="Times New Roman" w:hAnsi="Times New Roman" w:eastAsia="宋体" w:cs="Times New Roman"/>
                      <w:color w:val="auto"/>
                      <w:sz w:val="18"/>
                      <w:szCs w:val="18"/>
                      <w:lang w:val="en-US" w:eastAsia="zh-CN"/>
                    </w:rPr>
                    <w:t>生产车间正南侧中间，暂存30个LPG气瓶（50kg/瓶）。</w:t>
                  </w:r>
                </w:p>
              </w:tc>
              <w:tc>
                <w:tcPr>
                  <w:tcW w:w="443" w:type="pct"/>
                  <w:noWrap w:val="0"/>
                  <w:vAlign w:val="center"/>
                </w:tcPr>
                <w:p w14:paraId="308B24F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bCs/>
                      <w:color w:val="auto"/>
                      <w:sz w:val="18"/>
                      <w:szCs w:val="18"/>
                      <w:lang w:val="en-US" w:eastAsia="zh-CN"/>
                    </w:rPr>
                  </w:pPr>
                  <w:r>
                    <w:rPr>
                      <w:rFonts w:hint="eastAsia" w:ascii="Times New Roman" w:hAnsi="Times New Roman" w:eastAsia="宋体" w:cs="Times New Roman"/>
                      <w:color w:val="auto"/>
                      <w:kern w:val="2"/>
                      <w:sz w:val="18"/>
                      <w:szCs w:val="18"/>
                      <w:highlight w:val="none"/>
                      <w:lang w:val="en-US" w:eastAsia="zh-CN" w:bidi="ar-SA"/>
                    </w:rPr>
                    <w:t>利用现有</w:t>
                  </w:r>
                </w:p>
              </w:tc>
            </w:tr>
            <w:tr w14:paraId="68D2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432" w:type="pct"/>
                  <w:vMerge w:val="continue"/>
                  <w:noWrap w:val="0"/>
                  <w:vAlign w:val="center"/>
                </w:tcPr>
                <w:p w14:paraId="324C91F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57EFDD0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color w:val="auto"/>
                      <w:sz w:val="18"/>
                      <w:szCs w:val="18"/>
                      <w:lang w:val="en-US" w:eastAsia="zh-CN"/>
                    </w:rPr>
                  </w:pPr>
                  <w:r>
                    <w:rPr>
                      <w:rFonts w:hint="eastAsia"/>
                      <w:color w:val="auto"/>
                      <w:sz w:val="18"/>
                      <w:szCs w:val="18"/>
                      <w:lang w:val="en-US" w:eastAsia="zh-CN"/>
                    </w:rPr>
                    <w:t>储罐区</w:t>
                  </w:r>
                </w:p>
              </w:tc>
              <w:tc>
                <w:tcPr>
                  <w:tcW w:w="1899" w:type="pct"/>
                  <w:gridSpan w:val="2"/>
                  <w:noWrap w:val="0"/>
                  <w:vAlign w:val="center"/>
                </w:tcPr>
                <w:p w14:paraId="01F43F7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位于厂区西北角。设有2个LNG液化气储罐（20m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、30m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），作为该项目备用燃料；1个30m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液氧储罐，作为助燃。</w:t>
                  </w:r>
                </w:p>
              </w:tc>
              <w:tc>
                <w:tcPr>
                  <w:tcW w:w="1691" w:type="pct"/>
                  <w:noWrap w:val="0"/>
                  <w:vAlign w:val="center"/>
                </w:tcPr>
                <w:p w14:paraId="4D461EF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eastAsia="宋体"/>
                      <w:bCs/>
                      <w:color w:val="auto"/>
                      <w:sz w:val="18"/>
                      <w:szCs w:val="18"/>
                      <w:lang w:val="en-US" w:eastAsia="zh-CN"/>
                    </w:rPr>
                  </w:pPr>
                  <w:r>
                    <w:rPr>
                      <w:rFonts w:hint="eastAsia" w:ascii="Times New Roman" w:hAnsi="Times New Roman" w:eastAsia="宋体" w:cs="Times New Roman"/>
                      <w:color w:val="auto"/>
                      <w:sz w:val="18"/>
                      <w:szCs w:val="18"/>
                      <w:lang w:val="en-US" w:eastAsia="zh-CN"/>
                    </w:rPr>
                    <w:t>燃料储罐区位于厂区西北角，设有2个LNG液化气储罐（20m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、30m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），作为该项目备用燃料；1个30m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液氧储罐，作为备用助燃氧化剂。脱硝剂氨水储罐2个位于车间南侧（正中间），规格25立方</w:t>
                  </w:r>
                  <w:r>
                    <w:rPr>
                      <w:rFonts w:hint="eastAsia" w:ascii="Times New Roman" w:hAnsi="Times New Roman" w:cs="Times New Roman"/>
                      <w:color w:val="auto"/>
                      <w:sz w:val="18"/>
                      <w:szCs w:val="18"/>
                      <w:lang w:val="en-US" w:eastAsia="zh-CN"/>
                    </w:rPr>
                    <w:t>。</w:t>
                  </w:r>
                </w:p>
              </w:tc>
              <w:tc>
                <w:tcPr>
                  <w:tcW w:w="443" w:type="pct"/>
                  <w:noWrap w:val="0"/>
                  <w:vAlign w:val="center"/>
                </w:tcPr>
                <w:p w14:paraId="5DBC744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color w:val="auto"/>
                      <w:sz w:val="18"/>
                      <w:szCs w:val="18"/>
                      <w:lang w:val="en-US" w:eastAsia="zh-CN"/>
                    </w:rPr>
                  </w:pPr>
                  <w:r>
                    <w:rPr>
                      <w:rFonts w:hint="eastAsia" w:ascii="Times New Roman" w:hAnsi="Times New Roman" w:eastAsia="宋体" w:cs="Times New Roman"/>
                      <w:color w:val="auto"/>
                      <w:kern w:val="2"/>
                      <w:sz w:val="18"/>
                      <w:szCs w:val="18"/>
                      <w:highlight w:val="none"/>
                      <w:lang w:val="en-US" w:eastAsia="zh-CN" w:bidi="ar-SA"/>
                    </w:rPr>
                    <w:t>利用现有</w:t>
                  </w:r>
                </w:p>
              </w:tc>
            </w:tr>
            <w:tr w14:paraId="2C26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32" w:type="pct"/>
                  <w:vMerge w:val="continue"/>
                  <w:noWrap w:val="0"/>
                  <w:vAlign w:val="center"/>
                </w:tcPr>
                <w:p w14:paraId="635B1F8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56556C7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color w:val="auto"/>
                      <w:sz w:val="18"/>
                      <w:szCs w:val="18"/>
                      <w:lang w:val="en-US" w:eastAsia="zh-CN"/>
                    </w:rPr>
                  </w:pPr>
                  <w:r>
                    <w:rPr>
                      <w:rFonts w:hint="eastAsia"/>
                      <w:color w:val="auto"/>
                      <w:sz w:val="18"/>
                      <w:szCs w:val="18"/>
                      <w:lang w:val="en-US" w:eastAsia="zh-CN"/>
                    </w:rPr>
                    <w:t>制氧机房</w:t>
                  </w:r>
                </w:p>
              </w:tc>
              <w:tc>
                <w:tcPr>
                  <w:tcW w:w="1899" w:type="pct"/>
                  <w:gridSpan w:val="2"/>
                  <w:noWrap w:val="0"/>
                  <w:vAlign w:val="center"/>
                </w:tcPr>
                <w:p w14:paraId="045B564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691" w:type="pct"/>
                  <w:noWrap w:val="0"/>
                  <w:vAlign w:val="center"/>
                </w:tcPr>
                <w:p w14:paraId="48FE39E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位于生产车间西，面积约180m</w:t>
                  </w:r>
                  <w:r>
                    <w:rPr>
                      <w:rFonts w:hint="eastAsia" w:ascii="Times New Roman" w:hAnsi="Times New Roman" w:eastAsia="宋体" w:cs="Times New Roman"/>
                      <w:color w:val="auto"/>
                      <w:sz w:val="18"/>
                      <w:szCs w:val="18"/>
                      <w:vertAlign w:val="superscript"/>
                      <w:lang w:val="en-US" w:eastAsia="zh-CN"/>
                    </w:rPr>
                    <w:t>2</w:t>
                  </w:r>
                  <w:r>
                    <w:rPr>
                      <w:rFonts w:hint="eastAsia" w:ascii="Times New Roman" w:hAnsi="Times New Roman" w:eastAsia="宋体" w:cs="Times New Roman"/>
                      <w:color w:val="auto"/>
                      <w:sz w:val="18"/>
                      <w:szCs w:val="18"/>
                      <w:lang w:val="en-US" w:eastAsia="zh-CN"/>
                    </w:rPr>
                    <w:t>，可产600m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/h氧气，用于成型和抛光工序。</w:t>
                  </w:r>
                </w:p>
              </w:tc>
              <w:tc>
                <w:tcPr>
                  <w:tcW w:w="443" w:type="pct"/>
                  <w:noWrap w:val="0"/>
                  <w:vAlign w:val="center"/>
                </w:tcPr>
                <w:p w14:paraId="769F91E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color w:val="auto"/>
                      <w:sz w:val="18"/>
                      <w:szCs w:val="18"/>
                      <w:lang w:val="en-US" w:eastAsia="zh-CN"/>
                    </w:rPr>
                  </w:pPr>
                  <w:r>
                    <w:rPr>
                      <w:rFonts w:hint="eastAsia"/>
                      <w:color w:val="auto"/>
                      <w:sz w:val="18"/>
                      <w:szCs w:val="18"/>
                      <w:lang w:val="en-US" w:eastAsia="zh-CN"/>
                    </w:rPr>
                    <w:t>新建</w:t>
                  </w:r>
                </w:p>
              </w:tc>
            </w:tr>
            <w:tr w14:paraId="173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354AC1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719CCE0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snapToGrid w:val="0"/>
                      <w:color w:val="auto"/>
                      <w:sz w:val="18"/>
                      <w:szCs w:val="18"/>
                      <w:lang w:val="en-US" w:eastAsia="zh-CN"/>
                    </w:rPr>
                  </w:pPr>
                  <w:r>
                    <w:rPr>
                      <w:color w:val="auto"/>
                      <w:sz w:val="18"/>
                      <w:szCs w:val="18"/>
                      <w:lang w:val="en-US" w:eastAsia="zh-CN"/>
                    </w:rPr>
                    <w:t>成品仓</w:t>
                  </w:r>
                </w:p>
              </w:tc>
              <w:tc>
                <w:tcPr>
                  <w:tcW w:w="1899" w:type="pct"/>
                  <w:gridSpan w:val="2"/>
                  <w:noWrap w:val="0"/>
                  <w:vAlign w:val="center"/>
                </w:tcPr>
                <w:p w14:paraId="350A378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color w:val="auto"/>
                      <w:sz w:val="18"/>
                      <w:szCs w:val="18"/>
                      <w:lang w:val="en-US" w:eastAsia="zh-CN"/>
                    </w:rPr>
                  </w:pPr>
                  <w:r>
                    <w:rPr>
                      <w:color w:val="auto"/>
                      <w:sz w:val="18"/>
                      <w:szCs w:val="18"/>
                      <w:lang w:val="en-US" w:eastAsia="zh-CN"/>
                    </w:rPr>
                    <w:t>位于生产车间</w:t>
                  </w:r>
                  <w:r>
                    <w:rPr>
                      <w:rFonts w:hint="eastAsia"/>
                      <w:color w:val="auto"/>
                      <w:sz w:val="18"/>
                      <w:szCs w:val="18"/>
                      <w:lang w:val="en-US" w:eastAsia="zh-CN"/>
                    </w:rPr>
                    <w:t>内部东侧</w:t>
                  </w:r>
                  <w:r>
                    <w:rPr>
                      <w:color w:val="auto"/>
                      <w:sz w:val="18"/>
                      <w:szCs w:val="18"/>
                      <w:lang w:val="en-US" w:eastAsia="zh-CN"/>
                    </w:rPr>
                    <w:t>，</w:t>
                  </w:r>
                  <w:r>
                    <w:rPr>
                      <w:rFonts w:hint="eastAsia"/>
                      <w:color w:val="auto"/>
                      <w:sz w:val="18"/>
                      <w:szCs w:val="18"/>
                      <w:lang w:val="en-US" w:eastAsia="zh-CN"/>
                    </w:rPr>
                    <w:t>占地面积为8000</w:t>
                  </w:r>
                  <w:r>
                    <w:rPr>
                      <w:color w:val="auto"/>
                      <w:sz w:val="18"/>
                      <w:szCs w:val="18"/>
                      <w:lang w:val="en-US" w:eastAsia="zh-CN"/>
                    </w:rPr>
                    <w:t>m</w:t>
                  </w:r>
                  <w:r>
                    <w:rPr>
                      <w:color w:val="auto"/>
                      <w:sz w:val="18"/>
                      <w:szCs w:val="18"/>
                      <w:vertAlign w:val="superscript"/>
                      <w:lang w:val="en-US" w:eastAsia="zh-CN"/>
                    </w:rPr>
                    <w:t>2</w:t>
                  </w:r>
                  <w:r>
                    <w:rPr>
                      <w:rFonts w:hint="eastAsia"/>
                      <w:color w:val="auto"/>
                      <w:sz w:val="18"/>
                      <w:szCs w:val="18"/>
                      <w:vertAlign w:val="baseline"/>
                      <w:lang w:val="en-US" w:eastAsia="zh-CN"/>
                    </w:rPr>
                    <w:t>，</w:t>
                  </w:r>
                  <w:r>
                    <w:rPr>
                      <w:color w:val="auto"/>
                      <w:sz w:val="18"/>
                      <w:szCs w:val="18"/>
                      <w:lang w:val="en-US" w:eastAsia="zh-CN"/>
                    </w:rPr>
                    <w:t>用于</w:t>
                  </w:r>
                  <w:r>
                    <w:rPr>
                      <w:rFonts w:hint="eastAsia"/>
                      <w:color w:val="auto"/>
                      <w:sz w:val="18"/>
                      <w:szCs w:val="18"/>
                      <w:lang w:val="en-US" w:eastAsia="zh-CN"/>
                    </w:rPr>
                    <w:t>成品存放。</w:t>
                  </w:r>
                </w:p>
              </w:tc>
              <w:tc>
                <w:tcPr>
                  <w:tcW w:w="1691" w:type="pct"/>
                  <w:noWrap w:val="0"/>
                  <w:vAlign w:val="center"/>
                </w:tcPr>
                <w:p w14:paraId="21DFBF6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bCs/>
                      <w:color w:val="auto"/>
                      <w:sz w:val="18"/>
                      <w:szCs w:val="18"/>
                      <w:lang w:val="en-US" w:eastAsia="zh-CN"/>
                    </w:rPr>
                  </w:pPr>
                  <w:r>
                    <w:rPr>
                      <w:rFonts w:hint="eastAsia"/>
                      <w:color w:val="auto"/>
                      <w:sz w:val="18"/>
                      <w:szCs w:val="18"/>
                      <w:lang w:val="en-US" w:eastAsia="zh-CN"/>
                    </w:rPr>
                    <w:t>新建两座成品库，成品库1#</w:t>
                  </w:r>
                  <w:r>
                    <w:rPr>
                      <w:color w:val="auto"/>
                      <w:sz w:val="18"/>
                      <w:szCs w:val="18"/>
                      <w:lang w:val="en-US" w:eastAsia="zh-CN"/>
                    </w:rPr>
                    <w:t>位于</w:t>
                  </w:r>
                  <w:r>
                    <w:rPr>
                      <w:rFonts w:hint="eastAsia"/>
                      <w:color w:val="auto"/>
                      <w:sz w:val="18"/>
                      <w:szCs w:val="18"/>
                      <w:lang w:val="en-US" w:eastAsia="zh-CN"/>
                    </w:rPr>
                    <w:t>厂区北侧，占地面积3200</w:t>
                  </w:r>
                  <w:r>
                    <w:rPr>
                      <w:color w:val="auto"/>
                      <w:sz w:val="18"/>
                      <w:szCs w:val="18"/>
                      <w:lang w:val="en-US" w:eastAsia="zh-CN"/>
                    </w:rPr>
                    <w:t>m</w:t>
                  </w:r>
                  <w:r>
                    <w:rPr>
                      <w:color w:val="auto"/>
                      <w:sz w:val="18"/>
                      <w:szCs w:val="18"/>
                      <w:vertAlign w:val="superscript"/>
                      <w:lang w:val="en-US" w:eastAsia="zh-CN"/>
                    </w:rPr>
                    <w:t>2</w:t>
                  </w:r>
                  <w:r>
                    <w:rPr>
                      <w:rFonts w:hint="eastAsia"/>
                      <w:color w:val="auto"/>
                      <w:sz w:val="18"/>
                      <w:szCs w:val="18"/>
                      <w:vertAlign w:val="baseline"/>
                      <w:lang w:val="en-US" w:eastAsia="zh-CN"/>
                    </w:rPr>
                    <w:t>，用于成品存放，最大暂存量为1600吨；</w:t>
                  </w:r>
                  <w:r>
                    <w:rPr>
                      <w:rFonts w:hint="eastAsia"/>
                      <w:color w:val="auto"/>
                      <w:sz w:val="18"/>
                      <w:szCs w:val="18"/>
                      <w:lang w:val="en-US" w:eastAsia="zh-CN"/>
                    </w:rPr>
                    <w:t>成品库2#</w:t>
                  </w:r>
                  <w:r>
                    <w:rPr>
                      <w:color w:val="auto"/>
                      <w:sz w:val="18"/>
                      <w:szCs w:val="18"/>
                      <w:lang w:val="en-US" w:eastAsia="zh-CN"/>
                    </w:rPr>
                    <w:t>位于</w:t>
                  </w:r>
                  <w:r>
                    <w:rPr>
                      <w:rFonts w:hint="eastAsia"/>
                      <w:color w:val="auto"/>
                      <w:sz w:val="18"/>
                      <w:szCs w:val="18"/>
                      <w:lang w:val="en-US" w:eastAsia="zh-CN"/>
                    </w:rPr>
                    <w:t>厂区东侧，占地面积5600</w:t>
                  </w:r>
                  <w:r>
                    <w:rPr>
                      <w:color w:val="auto"/>
                      <w:sz w:val="18"/>
                      <w:szCs w:val="18"/>
                      <w:lang w:val="en-US" w:eastAsia="zh-CN"/>
                    </w:rPr>
                    <w:t>m</w:t>
                  </w:r>
                  <w:r>
                    <w:rPr>
                      <w:color w:val="auto"/>
                      <w:sz w:val="18"/>
                      <w:szCs w:val="18"/>
                      <w:vertAlign w:val="superscript"/>
                      <w:lang w:val="en-US" w:eastAsia="zh-CN"/>
                    </w:rPr>
                    <w:t>2</w:t>
                  </w:r>
                  <w:r>
                    <w:rPr>
                      <w:rFonts w:hint="eastAsia"/>
                      <w:color w:val="auto"/>
                      <w:sz w:val="18"/>
                      <w:szCs w:val="18"/>
                      <w:vertAlign w:val="baseline"/>
                      <w:lang w:val="en-US" w:eastAsia="zh-CN"/>
                    </w:rPr>
                    <w:t>，用于成品存放，最大暂存量为3200吨。</w:t>
                  </w:r>
                </w:p>
              </w:tc>
              <w:tc>
                <w:tcPr>
                  <w:tcW w:w="443" w:type="pct"/>
                  <w:noWrap w:val="0"/>
                  <w:vAlign w:val="center"/>
                </w:tcPr>
                <w:p w14:paraId="59E4C71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color w:val="auto"/>
                      <w:sz w:val="18"/>
                      <w:szCs w:val="18"/>
                      <w:lang w:val="en-US" w:eastAsia="zh-CN"/>
                    </w:rPr>
                  </w:pPr>
                  <w:r>
                    <w:rPr>
                      <w:rFonts w:hint="eastAsia"/>
                      <w:bCs/>
                      <w:color w:val="auto"/>
                      <w:sz w:val="18"/>
                      <w:szCs w:val="18"/>
                      <w:lang w:val="en-US" w:eastAsia="zh-CN"/>
                    </w:rPr>
                    <w:t>现有成品仓调整为生产区</w:t>
                  </w:r>
                </w:p>
              </w:tc>
            </w:tr>
            <w:tr w14:paraId="6CCE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14:paraId="38FF508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辅助工程</w:t>
                  </w:r>
                </w:p>
              </w:tc>
              <w:tc>
                <w:tcPr>
                  <w:tcW w:w="533" w:type="pct"/>
                  <w:noWrap w:val="0"/>
                  <w:vAlign w:val="center"/>
                </w:tcPr>
                <w:p w14:paraId="053548B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bCs/>
                      <w:color w:val="auto"/>
                      <w:sz w:val="18"/>
                      <w:szCs w:val="18"/>
                      <w:lang w:val="en-US" w:eastAsia="zh-CN"/>
                    </w:rPr>
                  </w:pPr>
                  <w:r>
                    <w:rPr>
                      <w:bCs/>
                      <w:color w:val="auto"/>
                      <w:sz w:val="18"/>
                      <w:szCs w:val="18"/>
                      <w:lang w:val="en-US" w:eastAsia="zh-CN"/>
                    </w:rPr>
                    <w:t>办公</w:t>
                  </w:r>
                  <w:r>
                    <w:rPr>
                      <w:rFonts w:hint="eastAsia"/>
                      <w:bCs/>
                      <w:color w:val="auto"/>
                      <w:sz w:val="18"/>
                      <w:szCs w:val="18"/>
                      <w:lang w:val="en-US" w:eastAsia="zh-CN"/>
                    </w:rPr>
                    <w:t>楼、宿舍、食堂</w:t>
                  </w:r>
                </w:p>
              </w:tc>
              <w:tc>
                <w:tcPr>
                  <w:tcW w:w="1899" w:type="pct"/>
                  <w:gridSpan w:val="2"/>
                  <w:noWrap w:val="0"/>
                  <w:vAlign w:val="center"/>
                </w:tcPr>
                <w:p w14:paraId="2428840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default"/>
                      <w:color w:val="auto"/>
                      <w:sz w:val="18"/>
                      <w:szCs w:val="18"/>
                      <w:vertAlign w:val="baseline"/>
                      <w:lang w:val="en-US" w:eastAsia="zh-CN"/>
                    </w:rPr>
                  </w:pPr>
                  <w:r>
                    <w:rPr>
                      <w:rFonts w:hint="eastAsia"/>
                      <w:color w:val="auto"/>
                      <w:sz w:val="18"/>
                      <w:szCs w:val="18"/>
                      <w:lang w:val="en-US" w:eastAsia="zh-CN"/>
                    </w:rPr>
                    <w:t>建设1栋1层办公楼，建筑面积300m</w:t>
                  </w:r>
                  <w:r>
                    <w:rPr>
                      <w:rFonts w:hint="eastAsia"/>
                      <w:color w:val="auto"/>
                      <w:sz w:val="18"/>
                      <w:szCs w:val="18"/>
                      <w:vertAlign w:val="superscript"/>
                      <w:lang w:val="en-US" w:eastAsia="zh-CN"/>
                    </w:rPr>
                    <w:t>2</w:t>
                  </w:r>
                  <w:r>
                    <w:rPr>
                      <w:rFonts w:hint="eastAsia"/>
                      <w:color w:val="auto"/>
                      <w:sz w:val="18"/>
                      <w:szCs w:val="18"/>
                      <w:vertAlign w:val="baseline"/>
                      <w:lang w:val="en-US" w:eastAsia="zh-CN"/>
                    </w:rPr>
                    <w:t>，</w:t>
                  </w:r>
                  <w:r>
                    <w:rPr>
                      <w:color w:val="auto"/>
                      <w:sz w:val="18"/>
                      <w:szCs w:val="18"/>
                    </w:rPr>
                    <w:t>用于员工办公生活、产品研发和展示等</w:t>
                  </w:r>
                </w:p>
              </w:tc>
              <w:tc>
                <w:tcPr>
                  <w:tcW w:w="1691" w:type="pct"/>
                  <w:noWrap w:val="0"/>
                  <w:vAlign w:val="center"/>
                </w:tcPr>
                <w:p w14:paraId="2F82C74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新</w:t>
                  </w:r>
                  <w:r>
                    <w:rPr>
                      <w:color w:val="auto"/>
                      <w:sz w:val="18"/>
                      <w:szCs w:val="18"/>
                    </w:rPr>
                    <w:t>建1栋4层综合性的办公楼，最大高度11.7m，建筑面积为900m</w:t>
                  </w:r>
                  <w:r>
                    <w:rPr>
                      <w:color w:val="auto"/>
                      <w:sz w:val="18"/>
                      <w:szCs w:val="18"/>
                      <w:vertAlign w:val="superscript"/>
                    </w:rPr>
                    <w:t>2</w:t>
                  </w:r>
                  <w:r>
                    <w:rPr>
                      <w:color w:val="auto"/>
                      <w:sz w:val="18"/>
                      <w:szCs w:val="18"/>
                    </w:rPr>
                    <w:t>。用于员工办公生活、产品研发和展示等。</w:t>
                  </w:r>
                </w:p>
              </w:tc>
              <w:tc>
                <w:tcPr>
                  <w:tcW w:w="443" w:type="pct"/>
                  <w:noWrap w:val="0"/>
                  <w:vAlign w:val="center"/>
                </w:tcPr>
                <w:p w14:paraId="5C7F292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color w:val="auto"/>
                      <w:sz w:val="18"/>
                      <w:szCs w:val="18"/>
                      <w:lang w:val="en-US" w:eastAsia="zh-CN"/>
                    </w:rPr>
                  </w:pPr>
                  <w:r>
                    <w:rPr>
                      <w:rFonts w:hint="eastAsia"/>
                      <w:bCs/>
                      <w:color w:val="auto"/>
                      <w:sz w:val="18"/>
                      <w:szCs w:val="18"/>
                      <w:lang w:val="en-US" w:eastAsia="zh-CN"/>
                    </w:rPr>
                    <w:t>现有拆除</w:t>
                  </w:r>
                </w:p>
              </w:tc>
            </w:tr>
            <w:tr w14:paraId="56C3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60E59C7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公用工程</w:t>
                  </w:r>
                </w:p>
              </w:tc>
              <w:tc>
                <w:tcPr>
                  <w:tcW w:w="533" w:type="pct"/>
                  <w:noWrap w:val="0"/>
                  <w:vAlign w:val="center"/>
                </w:tcPr>
                <w:p w14:paraId="0854612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供电</w:t>
                  </w:r>
                </w:p>
              </w:tc>
              <w:tc>
                <w:tcPr>
                  <w:tcW w:w="1899" w:type="pct"/>
                  <w:gridSpan w:val="2"/>
                  <w:noWrap w:val="0"/>
                  <w:vAlign w:val="center"/>
                </w:tcPr>
                <w:p w14:paraId="3A4C3C2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color w:val="auto"/>
                      <w:sz w:val="18"/>
                      <w:szCs w:val="18"/>
                      <w:lang w:val="en-US" w:eastAsia="zh-CN"/>
                    </w:rPr>
                    <w:t>由</w:t>
                  </w:r>
                  <w:r>
                    <w:rPr>
                      <w:color w:val="auto"/>
                      <w:sz w:val="18"/>
                      <w:szCs w:val="18"/>
                    </w:rPr>
                    <w:t>高新区智造工业园区</w:t>
                  </w:r>
                  <w:r>
                    <w:rPr>
                      <w:color w:val="auto"/>
                      <w:sz w:val="18"/>
                      <w:szCs w:val="18"/>
                      <w:lang w:val="en-US" w:eastAsia="zh-CN"/>
                    </w:rPr>
                    <w:t>市政电网统一供给，年用电量为</w:t>
                  </w:r>
                  <w:r>
                    <w:rPr>
                      <w:rFonts w:hint="eastAsia"/>
                      <w:color w:val="auto"/>
                      <w:sz w:val="18"/>
                      <w:szCs w:val="18"/>
                      <w:lang w:val="en-US" w:eastAsia="zh-CN"/>
                    </w:rPr>
                    <w:t>860万</w:t>
                  </w:r>
                  <w:r>
                    <w:rPr>
                      <w:color w:val="auto"/>
                      <w:sz w:val="18"/>
                      <w:szCs w:val="18"/>
                      <w:lang w:val="en-US" w:eastAsia="zh-CN"/>
                    </w:rPr>
                    <w:t>kWh</w:t>
                  </w:r>
                </w:p>
              </w:tc>
              <w:tc>
                <w:tcPr>
                  <w:tcW w:w="1691" w:type="pct"/>
                  <w:noWrap w:val="0"/>
                  <w:vAlign w:val="center"/>
                </w:tcPr>
                <w:p w14:paraId="212BA0B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color w:val="auto"/>
                      <w:sz w:val="18"/>
                      <w:szCs w:val="18"/>
                      <w:lang w:val="en-US" w:eastAsia="zh-CN"/>
                    </w:rPr>
                    <w:t>由</w:t>
                  </w:r>
                  <w:r>
                    <w:rPr>
                      <w:color w:val="auto"/>
                      <w:sz w:val="18"/>
                      <w:szCs w:val="18"/>
                    </w:rPr>
                    <w:t>高新区智造工业园区</w:t>
                  </w:r>
                  <w:r>
                    <w:rPr>
                      <w:color w:val="auto"/>
                      <w:sz w:val="18"/>
                      <w:szCs w:val="18"/>
                      <w:lang w:val="en-US" w:eastAsia="zh-CN"/>
                    </w:rPr>
                    <w:t>市政电网统一供给，年用电量为</w:t>
                  </w:r>
                  <w:r>
                    <w:rPr>
                      <w:rFonts w:hint="eastAsia"/>
                      <w:color w:val="auto"/>
                      <w:sz w:val="18"/>
                      <w:szCs w:val="18"/>
                      <w:lang w:val="en-US" w:eastAsia="zh-CN"/>
                    </w:rPr>
                    <w:t>900万</w:t>
                  </w:r>
                  <w:r>
                    <w:rPr>
                      <w:color w:val="auto"/>
                      <w:sz w:val="18"/>
                      <w:szCs w:val="18"/>
                      <w:lang w:val="en-US" w:eastAsia="zh-CN"/>
                    </w:rPr>
                    <w:t>kWh</w:t>
                  </w:r>
                </w:p>
              </w:tc>
              <w:tc>
                <w:tcPr>
                  <w:tcW w:w="443" w:type="pct"/>
                  <w:noWrap w:val="0"/>
                  <w:vAlign w:val="center"/>
                </w:tcPr>
                <w:p w14:paraId="49387E0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color w:val="auto"/>
                      <w:sz w:val="18"/>
                      <w:szCs w:val="18"/>
                      <w:lang w:val="en-US" w:eastAsia="zh-CN"/>
                    </w:rPr>
                    <w:t>依托现有</w:t>
                  </w:r>
                </w:p>
              </w:tc>
            </w:tr>
            <w:tr w14:paraId="4F62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4BB3A2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2CC88EC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供水</w:t>
                  </w:r>
                </w:p>
              </w:tc>
              <w:tc>
                <w:tcPr>
                  <w:tcW w:w="1899" w:type="pct"/>
                  <w:gridSpan w:val="2"/>
                  <w:noWrap w:val="0"/>
                  <w:vAlign w:val="center"/>
                </w:tcPr>
                <w:p w14:paraId="533E7B9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color w:val="auto"/>
                      <w:sz w:val="18"/>
                      <w:szCs w:val="18"/>
                      <w:lang w:val="en-US" w:eastAsia="zh-CN"/>
                    </w:rPr>
                    <w:t>由</w:t>
                  </w:r>
                  <w:r>
                    <w:rPr>
                      <w:color w:val="auto"/>
                      <w:sz w:val="18"/>
                      <w:szCs w:val="18"/>
                    </w:rPr>
                    <w:t>高新区智造工业园区</w:t>
                  </w:r>
                  <w:r>
                    <w:rPr>
                      <w:color w:val="auto"/>
                      <w:sz w:val="18"/>
                      <w:szCs w:val="18"/>
                      <w:lang w:val="en-US" w:eastAsia="zh-CN"/>
                    </w:rPr>
                    <w:t>市政供水管网统一供给，年用水量为</w:t>
                  </w:r>
                  <w:r>
                    <w:rPr>
                      <w:rFonts w:hint="eastAsia" w:ascii="Times New Roman" w:hAnsi="Times New Roman" w:cs="Times New Roman"/>
                      <w:color w:val="auto"/>
                      <w:sz w:val="21"/>
                      <w:szCs w:val="21"/>
                      <w:lang w:val="en-US" w:eastAsia="zh-CN"/>
                    </w:rPr>
                    <w:t>12600</w:t>
                  </w:r>
                  <w:r>
                    <w:rPr>
                      <w:color w:val="auto"/>
                      <w:sz w:val="18"/>
                      <w:szCs w:val="18"/>
                      <w:lang w:val="en-US" w:eastAsia="zh-CN"/>
                    </w:rPr>
                    <w:t>t/a。</w:t>
                  </w:r>
                </w:p>
              </w:tc>
              <w:tc>
                <w:tcPr>
                  <w:tcW w:w="1691" w:type="pct"/>
                  <w:noWrap w:val="0"/>
                  <w:vAlign w:val="center"/>
                </w:tcPr>
                <w:p w14:paraId="7EC8BD1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color w:val="auto"/>
                      <w:sz w:val="18"/>
                      <w:szCs w:val="18"/>
                      <w:lang w:val="en-US" w:eastAsia="zh-CN"/>
                    </w:rPr>
                    <w:t>由</w:t>
                  </w:r>
                  <w:r>
                    <w:rPr>
                      <w:color w:val="auto"/>
                      <w:sz w:val="18"/>
                      <w:szCs w:val="18"/>
                    </w:rPr>
                    <w:t>高新区智造工业园区</w:t>
                  </w:r>
                  <w:r>
                    <w:rPr>
                      <w:color w:val="auto"/>
                      <w:sz w:val="18"/>
                      <w:szCs w:val="18"/>
                      <w:lang w:val="en-US" w:eastAsia="zh-CN"/>
                    </w:rPr>
                    <w:t>市政供水管网统一供给，年用水量为2</w:t>
                  </w:r>
                  <w:r>
                    <w:rPr>
                      <w:rFonts w:hint="eastAsia"/>
                      <w:color w:val="auto"/>
                      <w:sz w:val="18"/>
                      <w:szCs w:val="18"/>
                      <w:lang w:val="en-US" w:eastAsia="zh-CN"/>
                    </w:rPr>
                    <w:t>0592</w:t>
                  </w:r>
                  <w:r>
                    <w:rPr>
                      <w:color w:val="auto"/>
                      <w:sz w:val="18"/>
                      <w:szCs w:val="18"/>
                      <w:lang w:val="en-US" w:eastAsia="zh-CN"/>
                    </w:rPr>
                    <w:t>/a。</w:t>
                  </w:r>
                </w:p>
              </w:tc>
              <w:tc>
                <w:tcPr>
                  <w:tcW w:w="443" w:type="pct"/>
                  <w:noWrap w:val="0"/>
                  <w:vAlign w:val="center"/>
                </w:tcPr>
                <w:p w14:paraId="0CEC85F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color w:val="auto"/>
                      <w:sz w:val="18"/>
                      <w:szCs w:val="18"/>
                      <w:lang w:val="en-US" w:eastAsia="zh-CN"/>
                    </w:rPr>
                    <w:t>用水量增加</w:t>
                  </w:r>
                </w:p>
              </w:tc>
            </w:tr>
            <w:tr w14:paraId="70F0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3921AB6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2FC4EC8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rFonts w:hint="eastAsia"/>
                      <w:bCs/>
                      <w:color w:val="auto"/>
                      <w:sz w:val="18"/>
                      <w:szCs w:val="18"/>
                      <w:lang w:val="en-US" w:eastAsia="zh-CN"/>
                    </w:rPr>
                    <w:t>供气</w:t>
                  </w:r>
                </w:p>
              </w:tc>
              <w:tc>
                <w:tcPr>
                  <w:tcW w:w="1899" w:type="pct"/>
                  <w:gridSpan w:val="2"/>
                  <w:noWrap w:val="0"/>
                  <w:vAlign w:val="center"/>
                </w:tcPr>
                <w:p w14:paraId="73D2986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项目使用的熔窑、退火炉、抛光采用天然气作为燃料，天然气由园区天然气管道接入，厂内设置lNG天然气储罐共计50m</w:t>
                  </w:r>
                  <w:r>
                    <w:rPr>
                      <w:rFonts w:hint="eastAsia"/>
                      <w:color w:val="auto"/>
                      <w:sz w:val="18"/>
                      <w:szCs w:val="18"/>
                      <w:vertAlign w:val="superscript"/>
                      <w:lang w:val="en-US" w:eastAsia="zh-CN"/>
                    </w:rPr>
                    <w:t>3</w:t>
                  </w:r>
                  <w:r>
                    <w:rPr>
                      <w:rFonts w:hint="eastAsia"/>
                      <w:color w:val="auto"/>
                      <w:sz w:val="18"/>
                      <w:szCs w:val="18"/>
                      <w:vertAlign w:val="baseline"/>
                      <w:lang w:val="en-US" w:eastAsia="zh-CN"/>
                    </w:rPr>
                    <w:t>，液氧储罐一个50</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vertAlign w:val="baseline"/>
                      <w:lang w:val="en-US" w:eastAsia="zh-CN"/>
                    </w:rPr>
                    <w:t>，作为熔窑备用燃料。厂内设置气瓶暂存间存储</w:t>
                  </w:r>
                  <w:r>
                    <w:rPr>
                      <w:rFonts w:hint="eastAsia" w:ascii="Times New Roman" w:hAnsi="Times New Roman" w:eastAsia="宋体" w:cs="Times New Roman"/>
                      <w:color w:val="auto"/>
                      <w:sz w:val="18"/>
                      <w:szCs w:val="18"/>
                      <w:lang w:val="en-US" w:eastAsia="zh-CN"/>
                    </w:rPr>
                    <w:t>30个LPG气瓶，作为</w:t>
                  </w:r>
                  <w:r>
                    <w:rPr>
                      <w:rFonts w:hint="eastAsia" w:eastAsia="宋体" w:cs="Times New Roman"/>
                      <w:color w:val="auto"/>
                      <w:sz w:val="18"/>
                      <w:szCs w:val="18"/>
                      <w:lang w:val="en-US" w:eastAsia="zh-CN"/>
                    </w:rPr>
                    <w:t>成型</w:t>
                  </w:r>
                  <w:r>
                    <w:rPr>
                      <w:rFonts w:hint="eastAsia" w:ascii="Times New Roman" w:hAnsi="Times New Roman" w:eastAsia="宋体" w:cs="Times New Roman"/>
                      <w:color w:val="auto"/>
                      <w:sz w:val="18"/>
                      <w:szCs w:val="18"/>
                      <w:lang w:val="en-US" w:eastAsia="zh-CN"/>
                    </w:rPr>
                    <w:t>、抛光等后道工序的备用燃料。</w:t>
                  </w:r>
                  <w:r>
                    <w:rPr>
                      <w:rFonts w:hint="eastAsia"/>
                      <w:color w:val="auto"/>
                      <w:sz w:val="18"/>
                      <w:szCs w:val="18"/>
                      <w:vertAlign w:val="baseline"/>
                      <w:lang w:val="en-US" w:eastAsia="zh-CN"/>
                    </w:rPr>
                    <w:t>设置</w:t>
                  </w:r>
                  <w:r>
                    <w:rPr>
                      <w:color w:val="auto"/>
                      <w:sz w:val="18"/>
                      <w:szCs w:val="18"/>
                      <w:lang w:val="en-US" w:eastAsia="zh-CN"/>
                    </w:rPr>
                    <w:t>天然气年用量</w:t>
                  </w:r>
                  <w:r>
                    <w:rPr>
                      <w:rFonts w:hint="eastAsia"/>
                      <w:color w:val="auto"/>
                      <w:sz w:val="18"/>
                      <w:szCs w:val="18"/>
                      <w:lang w:val="en-US" w:eastAsia="zh-CN"/>
                    </w:rPr>
                    <w:t>640</w:t>
                  </w:r>
                  <w:r>
                    <w:rPr>
                      <w:color w:val="auto"/>
                      <w:sz w:val="18"/>
                      <w:szCs w:val="18"/>
                      <w:lang w:val="en-US" w:eastAsia="zh-CN"/>
                    </w:rPr>
                    <w:t>万m</w:t>
                  </w:r>
                  <w:r>
                    <w:rPr>
                      <w:color w:val="auto"/>
                      <w:sz w:val="18"/>
                      <w:szCs w:val="18"/>
                      <w:vertAlign w:val="superscript"/>
                      <w:lang w:val="en-US" w:eastAsia="zh-CN"/>
                    </w:rPr>
                    <w:t>3</w:t>
                  </w:r>
                  <w:r>
                    <w:rPr>
                      <w:color w:val="auto"/>
                      <w:sz w:val="18"/>
                      <w:szCs w:val="18"/>
                      <w:lang w:val="en-US" w:eastAsia="zh-CN"/>
                    </w:rPr>
                    <w:t>；</w:t>
                  </w:r>
                </w:p>
              </w:tc>
              <w:tc>
                <w:tcPr>
                  <w:tcW w:w="1691" w:type="pct"/>
                  <w:noWrap w:val="0"/>
                  <w:vAlign w:val="center"/>
                </w:tcPr>
                <w:p w14:paraId="72350B3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项目使用的熔窑、退火炉采用天然气作为燃料，天然气由园区天然气管道接入，厂内设置lNG天然气储罐共计50m</w:t>
                  </w:r>
                  <w:r>
                    <w:rPr>
                      <w:rFonts w:hint="eastAsia"/>
                      <w:color w:val="auto"/>
                      <w:sz w:val="18"/>
                      <w:szCs w:val="18"/>
                      <w:vertAlign w:val="superscript"/>
                      <w:lang w:val="en-US" w:eastAsia="zh-CN"/>
                    </w:rPr>
                    <w:t>3</w:t>
                  </w:r>
                  <w:r>
                    <w:rPr>
                      <w:rFonts w:hint="eastAsia"/>
                      <w:color w:val="auto"/>
                      <w:sz w:val="18"/>
                      <w:szCs w:val="18"/>
                      <w:vertAlign w:val="baseline"/>
                      <w:lang w:val="en-US" w:eastAsia="zh-CN"/>
                    </w:rPr>
                    <w:t>，液氧储罐一个30</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vertAlign w:val="baseline"/>
                      <w:lang w:val="en-US" w:eastAsia="zh-CN"/>
                    </w:rPr>
                    <w:t>，作为熔窑备用燃料。厂内设置气瓶暂存间存储</w:t>
                  </w:r>
                  <w:r>
                    <w:rPr>
                      <w:rFonts w:hint="eastAsia" w:ascii="Times New Roman" w:hAnsi="Times New Roman" w:eastAsia="宋体" w:cs="Times New Roman"/>
                      <w:color w:val="auto"/>
                      <w:sz w:val="18"/>
                      <w:szCs w:val="18"/>
                      <w:lang w:val="en-US" w:eastAsia="zh-CN"/>
                    </w:rPr>
                    <w:t>30个LPG气瓶，作为</w:t>
                  </w:r>
                  <w:r>
                    <w:rPr>
                      <w:rFonts w:hint="eastAsia"/>
                      <w:color w:val="auto"/>
                      <w:sz w:val="18"/>
                      <w:szCs w:val="18"/>
                      <w:lang w:val="en-US" w:eastAsia="zh-CN"/>
                    </w:rPr>
                    <w:t>成型</w:t>
                  </w:r>
                  <w:r>
                    <w:rPr>
                      <w:rFonts w:hint="eastAsia" w:ascii="Times New Roman" w:hAnsi="Times New Roman" w:eastAsia="宋体" w:cs="Times New Roman"/>
                      <w:color w:val="auto"/>
                      <w:sz w:val="18"/>
                      <w:szCs w:val="18"/>
                      <w:lang w:val="en-US" w:eastAsia="zh-CN"/>
                    </w:rPr>
                    <w:t>后道工序的备用燃料。</w:t>
                  </w:r>
                  <w:r>
                    <w:rPr>
                      <w:rFonts w:hint="eastAsia"/>
                      <w:color w:val="auto"/>
                      <w:sz w:val="18"/>
                      <w:szCs w:val="18"/>
                      <w:vertAlign w:val="baseline"/>
                      <w:lang w:val="en-US" w:eastAsia="zh-CN"/>
                    </w:rPr>
                    <w:t>设置</w:t>
                  </w:r>
                  <w:r>
                    <w:rPr>
                      <w:color w:val="auto"/>
                      <w:sz w:val="18"/>
                      <w:szCs w:val="18"/>
                      <w:lang w:val="en-US" w:eastAsia="zh-CN"/>
                    </w:rPr>
                    <w:t>天然气年用量</w:t>
                  </w:r>
                  <w:r>
                    <w:rPr>
                      <w:rFonts w:hint="eastAsia"/>
                      <w:color w:val="auto"/>
                      <w:sz w:val="18"/>
                      <w:szCs w:val="18"/>
                      <w:lang w:val="en-US" w:eastAsia="zh-CN"/>
                    </w:rPr>
                    <w:t>640</w:t>
                  </w:r>
                  <w:r>
                    <w:rPr>
                      <w:color w:val="auto"/>
                      <w:sz w:val="18"/>
                      <w:szCs w:val="18"/>
                      <w:lang w:val="en-US" w:eastAsia="zh-CN"/>
                    </w:rPr>
                    <w:t>万m</w:t>
                  </w:r>
                  <w:r>
                    <w:rPr>
                      <w:color w:val="auto"/>
                      <w:sz w:val="18"/>
                      <w:szCs w:val="18"/>
                      <w:vertAlign w:val="superscript"/>
                      <w:lang w:val="en-US" w:eastAsia="zh-CN"/>
                    </w:rPr>
                    <w:t>3</w:t>
                  </w:r>
                  <w:r>
                    <w:rPr>
                      <w:color w:val="auto"/>
                      <w:sz w:val="18"/>
                      <w:szCs w:val="18"/>
                      <w:lang w:val="en-US" w:eastAsia="zh-CN"/>
                    </w:rPr>
                    <w:t>；</w:t>
                  </w:r>
                </w:p>
              </w:tc>
              <w:tc>
                <w:tcPr>
                  <w:tcW w:w="443" w:type="pct"/>
                  <w:noWrap w:val="0"/>
                  <w:vAlign w:val="center"/>
                </w:tcPr>
                <w:p w14:paraId="4FB714A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color w:val="auto"/>
                      <w:sz w:val="18"/>
                      <w:szCs w:val="18"/>
                      <w:lang w:val="en-US" w:eastAsia="zh-CN"/>
                    </w:rPr>
                  </w:pPr>
                  <w:r>
                    <w:rPr>
                      <w:rFonts w:hint="eastAsia"/>
                      <w:color w:val="auto"/>
                      <w:sz w:val="18"/>
                      <w:szCs w:val="18"/>
                      <w:lang w:val="en-US" w:eastAsia="zh-CN"/>
                    </w:rPr>
                    <w:t>用气量增加</w:t>
                  </w:r>
                </w:p>
              </w:tc>
            </w:tr>
            <w:tr w14:paraId="7149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4224D5A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29B953E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循环水系统</w:t>
                  </w:r>
                </w:p>
              </w:tc>
              <w:tc>
                <w:tcPr>
                  <w:tcW w:w="1899" w:type="pct"/>
                  <w:gridSpan w:val="2"/>
                  <w:noWrap w:val="0"/>
                  <w:vAlign w:val="center"/>
                </w:tcPr>
                <w:p w14:paraId="3D3C07D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本项目设2台冷却塔，冷却介质为自来水，建设300m</w:t>
                  </w:r>
                  <w:r>
                    <w:rPr>
                      <w:rFonts w:hint="eastAsia"/>
                      <w:color w:val="auto"/>
                      <w:sz w:val="18"/>
                      <w:szCs w:val="18"/>
                      <w:vertAlign w:val="superscript"/>
                      <w:lang w:val="en-US" w:eastAsia="zh-CN"/>
                    </w:rPr>
                    <w:t>3</w:t>
                  </w:r>
                  <w:r>
                    <w:rPr>
                      <w:rFonts w:hint="eastAsia"/>
                      <w:color w:val="auto"/>
                      <w:sz w:val="18"/>
                      <w:szCs w:val="18"/>
                      <w:lang w:val="en-US" w:eastAsia="zh-CN"/>
                    </w:rPr>
                    <w:t>循环水池2座，位于厂区西北侧，循环水量为900m</w:t>
                  </w:r>
                  <w:r>
                    <w:rPr>
                      <w:rFonts w:hint="eastAsia"/>
                      <w:color w:val="auto"/>
                      <w:sz w:val="18"/>
                      <w:szCs w:val="18"/>
                      <w:vertAlign w:val="superscript"/>
                      <w:lang w:val="en-US" w:eastAsia="zh-CN"/>
                    </w:rPr>
                    <w:t>3</w:t>
                  </w:r>
                  <w:r>
                    <w:rPr>
                      <w:rFonts w:hint="eastAsia"/>
                      <w:color w:val="auto"/>
                      <w:sz w:val="18"/>
                      <w:szCs w:val="18"/>
                      <w:lang w:val="en-US" w:eastAsia="zh-CN"/>
                    </w:rPr>
                    <w:t>/h，主要为设备间接冷却循环用水和产品直接冷却循环水。</w:t>
                  </w:r>
                </w:p>
              </w:tc>
              <w:tc>
                <w:tcPr>
                  <w:tcW w:w="1691" w:type="pct"/>
                  <w:noWrap w:val="0"/>
                  <w:vAlign w:val="center"/>
                </w:tcPr>
                <w:p w14:paraId="7AAA1CE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本项目设2台冷却塔，冷却介质为自来水，建设300m</w:t>
                  </w:r>
                  <w:r>
                    <w:rPr>
                      <w:rFonts w:hint="eastAsia"/>
                      <w:color w:val="auto"/>
                      <w:sz w:val="18"/>
                      <w:szCs w:val="18"/>
                      <w:vertAlign w:val="superscript"/>
                      <w:lang w:val="en-US" w:eastAsia="zh-CN"/>
                    </w:rPr>
                    <w:t>3</w:t>
                  </w:r>
                  <w:r>
                    <w:rPr>
                      <w:rFonts w:hint="eastAsia"/>
                      <w:color w:val="auto"/>
                      <w:sz w:val="18"/>
                      <w:szCs w:val="18"/>
                      <w:lang w:val="en-US" w:eastAsia="zh-CN"/>
                    </w:rPr>
                    <w:t>循环水池2座，位于厂区西北侧，循环水量为900m</w:t>
                  </w:r>
                  <w:r>
                    <w:rPr>
                      <w:rFonts w:hint="eastAsia"/>
                      <w:color w:val="auto"/>
                      <w:sz w:val="18"/>
                      <w:szCs w:val="18"/>
                      <w:vertAlign w:val="superscript"/>
                      <w:lang w:val="en-US" w:eastAsia="zh-CN"/>
                    </w:rPr>
                    <w:t>3</w:t>
                  </w:r>
                  <w:r>
                    <w:rPr>
                      <w:rFonts w:hint="eastAsia"/>
                      <w:color w:val="auto"/>
                      <w:sz w:val="18"/>
                      <w:szCs w:val="18"/>
                      <w:lang w:val="en-US" w:eastAsia="zh-CN"/>
                    </w:rPr>
                    <w:t>/h，主要为设备间接冷却循环用水和产品直接冷却循环水。</w:t>
                  </w:r>
                </w:p>
              </w:tc>
              <w:tc>
                <w:tcPr>
                  <w:tcW w:w="443" w:type="pct"/>
                  <w:noWrap w:val="0"/>
                  <w:vAlign w:val="center"/>
                </w:tcPr>
                <w:p w14:paraId="4BA4286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p>
              </w:tc>
            </w:tr>
            <w:tr w14:paraId="2D64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4BC8A4E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4DC5AF2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排水</w:t>
                  </w:r>
                </w:p>
              </w:tc>
              <w:tc>
                <w:tcPr>
                  <w:tcW w:w="1899" w:type="pct"/>
                  <w:gridSpan w:val="2"/>
                  <w:noWrap w:val="0"/>
                  <w:vAlign w:val="center"/>
                </w:tcPr>
                <w:p w14:paraId="058680C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厂区实行“雨污分流、淸污分流”，生活污水经化粪池预处理后排入市政污水管网，接管于</w:t>
                  </w:r>
                  <w:r>
                    <w:rPr>
                      <w:color w:val="auto"/>
                      <w:sz w:val="18"/>
                      <w:szCs w:val="18"/>
                    </w:rPr>
                    <w:t>八公山污水处理厂</w:t>
                  </w:r>
                  <w:r>
                    <w:rPr>
                      <w:rFonts w:hint="eastAsia"/>
                      <w:color w:val="auto"/>
                      <w:sz w:val="18"/>
                      <w:szCs w:val="18"/>
                      <w:lang w:val="en-US" w:eastAsia="zh-CN"/>
                    </w:rPr>
                    <w:t>。</w:t>
                  </w:r>
                </w:p>
              </w:tc>
              <w:tc>
                <w:tcPr>
                  <w:tcW w:w="1691" w:type="pct"/>
                  <w:noWrap w:val="0"/>
                  <w:vAlign w:val="center"/>
                </w:tcPr>
                <w:p w14:paraId="4648DC8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rFonts w:hint="eastAsia"/>
                      <w:color w:val="auto"/>
                      <w:sz w:val="18"/>
                      <w:szCs w:val="18"/>
                      <w:lang w:val="en-US" w:eastAsia="zh-CN"/>
                    </w:rPr>
                    <w:t>厂区实行“雨污分流、淸污分流”，生活污水经化粪池预处理后排入市政污水管网，接管于</w:t>
                  </w:r>
                  <w:r>
                    <w:rPr>
                      <w:color w:val="auto"/>
                      <w:sz w:val="18"/>
                      <w:szCs w:val="18"/>
                    </w:rPr>
                    <w:t>八公山污水处理厂</w:t>
                  </w:r>
                  <w:r>
                    <w:rPr>
                      <w:rFonts w:hint="eastAsia"/>
                      <w:color w:val="auto"/>
                      <w:sz w:val="18"/>
                      <w:szCs w:val="18"/>
                      <w:lang w:val="en-US" w:eastAsia="zh-CN"/>
                    </w:rPr>
                    <w:t>。</w:t>
                  </w:r>
                </w:p>
              </w:tc>
              <w:tc>
                <w:tcPr>
                  <w:tcW w:w="443" w:type="pct"/>
                  <w:noWrap w:val="0"/>
                  <w:vAlign w:val="center"/>
                </w:tcPr>
                <w:p w14:paraId="3046BFB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color w:val="auto"/>
                      <w:sz w:val="18"/>
                      <w:szCs w:val="18"/>
                      <w:lang w:val="en-US" w:eastAsia="zh-CN"/>
                    </w:rPr>
                  </w:pPr>
                  <w:r>
                    <w:rPr>
                      <w:rFonts w:hint="eastAsia"/>
                      <w:color w:val="auto"/>
                      <w:sz w:val="18"/>
                      <w:szCs w:val="18"/>
                      <w:lang w:val="en-US" w:eastAsia="zh-CN"/>
                    </w:rPr>
                    <w:t>依托现有</w:t>
                  </w:r>
                </w:p>
              </w:tc>
            </w:tr>
            <w:tr w14:paraId="691F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386BAC5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环保工程</w:t>
                  </w:r>
                </w:p>
              </w:tc>
              <w:tc>
                <w:tcPr>
                  <w:tcW w:w="533" w:type="pct"/>
                  <w:vMerge w:val="restart"/>
                  <w:noWrap w:val="0"/>
                  <w:vAlign w:val="center"/>
                </w:tcPr>
                <w:p w14:paraId="6FB08C2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highlight w:val="none"/>
                      <w:lang w:val="en-US" w:eastAsia="zh-CN"/>
                    </w:rPr>
                  </w:pPr>
                  <w:r>
                    <w:rPr>
                      <w:bCs/>
                      <w:color w:val="auto"/>
                      <w:sz w:val="18"/>
                      <w:szCs w:val="18"/>
                      <w:highlight w:val="none"/>
                      <w:lang w:val="en-US" w:eastAsia="zh-CN"/>
                    </w:rPr>
                    <w:t>废气</w:t>
                  </w:r>
                </w:p>
                <w:p w14:paraId="20A1933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highlight w:val="none"/>
                      <w:lang w:val="en-US" w:eastAsia="zh-CN"/>
                    </w:rPr>
                  </w:pPr>
                  <w:r>
                    <w:rPr>
                      <w:bCs/>
                      <w:color w:val="auto"/>
                      <w:sz w:val="18"/>
                      <w:szCs w:val="18"/>
                      <w:highlight w:val="none"/>
                      <w:lang w:val="en-US" w:eastAsia="zh-CN"/>
                    </w:rPr>
                    <w:t>治理</w:t>
                  </w:r>
                </w:p>
              </w:tc>
              <w:tc>
                <w:tcPr>
                  <w:tcW w:w="506" w:type="pct"/>
                  <w:noWrap w:val="0"/>
                  <w:vAlign w:val="center"/>
                </w:tcPr>
                <w:p w14:paraId="410198C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color w:val="auto"/>
                      <w:sz w:val="18"/>
                      <w:szCs w:val="18"/>
                      <w:highlight w:val="none"/>
                      <w:lang w:val="en-US" w:eastAsia="zh-CN"/>
                    </w:rPr>
                  </w:pPr>
                  <w:r>
                    <w:rPr>
                      <w:rFonts w:hint="eastAsia"/>
                      <w:color w:val="auto"/>
                      <w:sz w:val="18"/>
                      <w:szCs w:val="18"/>
                      <w:highlight w:val="none"/>
                      <w:lang w:val="en-US" w:eastAsia="zh-CN"/>
                    </w:rPr>
                    <w:t>熔窑烟气及退火炉废气</w:t>
                  </w:r>
                </w:p>
              </w:tc>
              <w:tc>
                <w:tcPr>
                  <w:tcW w:w="1393" w:type="pct"/>
                  <w:noWrap w:val="0"/>
                  <w:vAlign w:val="center"/>
                </w:tcPr>
                <w:p w14:paraId="4A04B69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left"/>
                    <w:textAlignment w:val="auto"/>
                    <w:rPr>
                      <w:rFonts w:hint="default" w:eastAsia="宋体"/>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熔窑</w:t>
                  </w:r>
                  <w:r>
                    <w:rPr>
                      <w:rFonts w:hint="eastAsia" w:ascii="Times New Roman" w:hAnsi="Times New Roman" w:eastAsia="宋体" w:cs="Times New Roman"/>
                      <w:color w:val="auto"/>
                      <w:sz w:val="18"/>
                      <w:szCs w:val="18"/>
                      <w:highlight w:val="none"/>
                    </w:rPr>
                    <w:t>采用天然气为能源，</w:t>
                  </w:r>
                  <w:r>
                    <w:rPr>
                      <w:rFonts w:hint="eastAsia" w:ascii="Times New Roman" w:hAnsi="Times New Roman" w:eastAsia="宋体" w:cs="Times New Roman"/>
                      <w:color w:val="auto"/>
                      <w:sz w:val="18"/>
                      <w:szCs w:val="18"/>
                      <w:highlight w:val="none"/>
                      <w:lang w:val="en-US" w:eastAsia="zh-CN"/>
                    </w:rPr>
                    <w:t>燃烧采用布袋除尘器+SCR脱硝处理后经</w:t>
                  </w:r>
                  <w:r>
                    <w:rPr>
                      <w:rFonts w:hint="eastAsia" w:ascii="Times New Roman" w:hAnsi="Times New Roman" w:eastAsia="宋体" w:cs="Times New Roman"/>
                      <w:color w:val="auto"/>
                      <w:sz w:val="18"/>
                      <w:szCs w:val="18"/>
                      <w:highlight w:val="none"/>
                    </w:rPr>
                    <w:t>55m高排气筒</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DA001</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直接排放。</w:t>
                  </w:r>
                  <w:r>
                    <w:rPr>
                      <w:rFonts w:hint="eastAsia" w:ascii="Times New Roman" w:hAnsi="Times New Roman" w:eastAsia="宋体" w:cs="Times New Roman"/>
                      <w:color w:val="auto"/>
                      <w:sz w:val="18"/>
                      <w:szCs w:val="18"/>
                      <w:highlight w:val="none"/>
                      <w:lang w:val="en-US" w:eastAsia="zh-CN"/>
                    </w:rPr>
                    <w:t>退火窑废气无组织排放</w:t>
                  </w:r>
                </w:p>
              </w:tc>
              <w:tc>
                <w:tcPr>
                  <w:tcW w:w="1691" w:type="pct"/>
                  <w:noWrap w:val="0"/>
                  <w:vAlign w:val="center"/>
                </w:tcPr>
                <w:p w14:paraId="4984CB5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熔窑</w:t>
                  </w:r>
                  <w:r>
                    <w:rPr>
                      <w:rFonts w:hint="eastAsia" w:ascii="Times New Roman" w:hAnsi="Times New Roman" w:eastAsia="宋体" w:cs="Times New Roman"/>
                      <w:color w:val="auto"/>
                      <w:sz w:val="18"/>
                      <w:szCs w:val="18"/>
                      <w:highlight w:val="none"/>
                    </w:rPr>
                    <w:t>采用天然气为能源，</w:t>
                  </w:r>
                  <w:r>
                    <w:rPr>
                      <w:rFonts w:hint="eastAsia" w:ascii="Times New Roman" w:hAnsi="Times New Roman" w:eastAsia="宋体" w:cs="Times New Roman"/>
                      <w:color w:val="auto"/>
                      <w:sz w:val="18"/>
                      <w:szCs w:val="18"/>
                      <w:highlight w:val="none"/>
                      <w:lang w:val="en-US" w:eastAsia="zh-CN"/>
                    </w:rPr>
                    <w:t>燃烧采用</w:t>
                  </w:r>
                  <w:r>
                    <w:rPr>
                      <w:rFonts w:hint="eastAsia" w:ascii="Times New Roman" w:hAnsi="Times New Roman" w:eastAsia="宋体" w:cs="Times New Roman"/>
                      <w:bCs/>
                      <w:color w:val="auto"/>
                      <w:sz w:val="18"/>
                      <w:szCs w:val="18"/>
                      <w:lang w:val="en-US" w:eastAsia="zh-CN"/>
                    </w:rPr>
                    <w:t>陶瓷纤维脱硝除尘一体烟气净化系统（调质脱硫塔+陶瓷滤筒SCR脱硝除尘）</w:t>
                  </w:r>
                  <w:r>
                    <w:rPr>
                      <w:rFonts w:hint="eastAsia" w:ascii="Times New Roman" w:hAnsi="Times New Roman" w:eastAsia="宋体" w:cs="Times New Roman"/>
                      <w:color w:val="auto"/>
                      <w:sz w:val="18"/>
                      <w:szCs w:val="18"/>
                      <w:highlight w:val="none"/>
                      <w:lang w:val="en-US" w:eastAsia="zh-CN"/>
                    </w:rPr>
                    <w:t>处理后经</w:t>
                  </w:r>
                  <w:r>
                    <w:rPr>
                      <w:rFonts w:hint="eastAsia" w:ascii="Times New Roman" w:hAnsi="Times New Roman" w:eastAsia="宋体" w:cs="Times New Roman"/>
                      <w:color w:val="auto"/>
                      <w:sz w:val="18"/>
                      <w:szCs w:val="18"/>
                      <w:highlight w:val="none"/>
                    </w:rPr>
                    <w:t>55m高排气筒</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DA001</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直接排放。</w:t>
                  </w:r>
                  <w:r>
                    <w:rPr>
                      <w:rFonts w:hint="eastAsia" w:ascii="Times New Roman" w:hAnsi="Times New Roman" w:eastAsia="宋体" w:cs="Times New Roman"/>
                      <w:color w:val="auto"/>
                      <w:sz w:val="18"/>
                      <w:szCs w:val="18"/>
                      <w:highlight w:val="none"/>
                      <w:lang w:val="en-US" w:eastAsia="zh-CN"/>
                    </w:rPr>
                    <w:t>退火窑废气无组织排放</w:t>
                  </w:r>
                </w:p>
              </w:tc>
              <w:tc>
                <w:tcPr>
                  <w:tcW w:w="443" w:type="pct"/>
                  <w:noWrap w:val="0"/>
                  <w:vAlign w:val="center"/>
                </w:tcPr>
                <w:p w14:paraId="4AB1787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新建废气装置</w:t>
                  </w:r>
                </w:p>
              </w:tc>
            </w:tr>
            <w:tr w14:paraId="02A5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089571A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41EA6E5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highlight w:val="none"/>
                      <w:lang w:val="en-US" w:eastAsia="zh-CN"/>
                    </w:rPr>
                  </w:pPr>
                </w:p>
              </w:tc>
              <w:tc>
                <w:tcPr>
                  <w:tcW w:w="506" w:type="pct"/>
                  <w:noWrap w:val="0"/>
                  <w:vAlign w:val="center"/>
                </w:tcPr>
                <w:p w14:paraId="64C5693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混料</w:t>
                  </w:r>
                  <w:r>
                    <w:rPr>
                      <w:rFonts w:hint="eastAsia"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搅拌</w:t>
                  </w:r>
                  <w:r>
                    <w:rPr>
                      <w:rFonts w:hint="eastAsia" w:ascii="Times New Roman" w:hAnsi="Times New Roman" w:eastAsia="宋体" w:cs="Times New Roman"/>
                      <w:color w:val="auto"/>
                      <w:sz w:val="18"/>
                      <w:szCs w:val="18"/>
                      <w:highlight w:val="none"/>
                      <w:lang w:val="en-US" w:eastAsia="zh-CN"/>
                    </w:rPr>
                    <w:t>工序粉尘</w:t>
                  </w:r>
                </w:p>
              </w:tc>
              <w:tc>
                <w:tcPr>
                  <w:tcW w:w="1393" w:type="pct"/>
                  <w:noWrap w:val="0"/>
                  <w:vAlign w:val="center"/>
                </w:tcPr>
                <w:p w14:paraId="10B391D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highlight w:val="none"/>
                    </w:rPr>
                  </w:pPr>
                  <w:r>
                    <w:rPr>
                      <w:rFonts w:hint="eastAsia" w:ascii="Times New Roman" w:hAnsi="Times New Roman" w:eastAsia="宋体" w:cs="Times New Roman"/>
                      <w:color w:val="auto"/>
                      <w:sz w:val="18"/>
                      <w:szCs w:val="18"/>
                      <w:highlight w:val="none"/>
                      <w:lang w:val="en-US" w:eastAsia="zh-CN"/>
                    </w:rPr>
                    <w:t>混料、搅拌粉尘经密闭料仓边设吸风管收集后，由布袋除尘器处理后分别通过1根15m高排气筒排放（DA002）</w:t>
                  </w:r>
                  <w:r>
                    <w:rPr>
                      <w:rFonts w:hint="eastAsia" w:ascii="Times New Roman" w:hAnsi="Times New Roman" w:eastAsia="宋体" w:cs="Times New Roman"/>
                      <w:color w:val="auto"/>
                      <w:sz w:val="18"/>
                      <w:szCs w:val="18"/>
                      <w:highlight w:val="none"/>
                    </w:rPr>
                    <w:t>。</w:t>
                  </w:r>
                </w:p>
              </w:tc>
              <w:tc>
                <w:tcPr>
                  <w:tcW w:w="1691" w:type="pct"/>
                  <w:noWrap w:val="0"/>
                  <w:vAlign w:val="center"/>
                </w:tcPr>
                <w:p w14:paraId="00D2234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eastAsia="宋体"/>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混料、搅拌粉尘经密闭料仓边设吸风管收集后，由布袋除尘器处理后分别通过1根15m高排气筒排放（DA002）</w:t>
                  </w:r>
                  <w:r>
                    <w:rPr>
                      <w:rFonts w:hint="eastAsia" w:ascii="Times New Roman" w:hAnsi="Times New Roman" w:eastAsia="宋体" w:cs="Times New Roman"/>
                      <w:color w:val="auto"/>
                      <w:sz w:val="18"/>
                      <w:szCs w:val="18"/>
                      <w:highlight w:val="none"/>
                    </w:rPr>
                    <w:t>。</w:t>
                  </w:r>
                </w:p>
              </w:tc>
              <w:tc>
                <w:tcPr>
                  <w:tcW w:w="443" w:type="pct"/>
                  <w:noWrap w:val="0"/>
                  <w:vAlign w:val="center"/>
                </w:tcPr>
                <w:p w14:paraId="17B7C1A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依托</w:t>
                  </w:r>
                </w:p>
              </w:tc>
            </w:tr>
            <w:tr w14:paraId="528F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16DB617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064DA15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highlight w:val="none"/>
                      <w:lang w:val="en-US" w:eastAsia="zh-CN"/>
                    </w:rPr>
                  </w:pPr>
                </w:p>
              </w:tc>
              <w:tc>
                <w:tcPr>
                  <w:tcW w:w="506" w:type="pct"/>
                  <w:noWrap w:val="0"/>
                  <w:vAlign w:val="center"/>
                </w:tcPr>
                <w:p w14:paraId="187F377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Cs/>
                      <w:color w:val="auto"/>
                      <w:kern w:val="2"/>
                      <w:sz w:val="18"/>
                      <w:szCs w:val="18"/>
                      <w:lang w:val="en-US" w:eastAsia="zh-CN" w:bidi="ar-SA"/>
                    </w:rPr>
                    <w:t>投料</w:t>
                  </w:r>
                  <w:r>
                    <w:rPr>
                      <w:rFonts w:hint="eastAsia" w:ascii="Times New Roman" w:hAnsi="Times New Roman" w:eastAsia="宋体" w:cs="Times New Roman"/>
                      <w:color w:val="auto"/>
                      <w:sz w:val="18"/>
                      <w:szCs w:val="18"/>
                      <w:highlight w:val="none"/>
                      <w:lang w:val="en-US" w:eastAsia="zh-CN"/>
                    </w:rPr>
                    <w:t>工序粉尘</w:t>
                  </w:r>
                </w:p>
              </w:tc>
              <w:tc>
                <w:tcPr>
                  <w:tcW w:w="1393" w:type="pct"/>
                  <w:noWrap w:val="0"/>
                  <w:vAlign w:val="center"/>
                </w:tcPr>
                <w:p w14:paraId="66E59A3C">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bCs/>
                      <w:color w:val="auto"/>
                      <w:kern w:val="2"/>
                      <w:sz w:val="18"/>
                      <w:szCs w:val="18"/>
                      <w:lang w:val="en-US" w:eastAsia="zh-CN" w:bidi="ar-SA"/>
                    </w:rPr>
                    <w:t>投料</w:t>
                  </w:r>
                  <w:r>
                    <w:rPr>
                      <w:rFonts w:hint="default" w:ascii="Times New Roman" w:hAnsi="Times New Roman" w:eastAsia="宋体" w:cs="Times New Roman"/>
                      <w:bCs/>
                      <w:color w:val="auto"/>
                      <w:kern w:val="2"/>
                      <w:sz w:val="18"/>
                      <w:szCs w:val="18"/>
                      <w:lang w:val="en-US" w:eastAsia="zh-CN" w:bidi="ar-SA"/>
                    </w:rPr>
                    <w:t>工序粉尘</w:t>
                  </w:r>
                  <w:r>
                    <w:rPr>
                      <w:rFonts w:hint="eastAsia" w:ascii="Times New Roman" w:hAnsi="Times New Roman" w:eastAsia="宋体" w:cs="Times New Roman"/>
                      <w:bCs/>
                      <w:color w:val="auto"/>
                      <w:kern w:val="2"/>
                      <w:sz w:val="18"/>
                      <w:szCs w:val="18"/>
                      <w:lang w:val="en-US" w:eastAsia="zh-CN" w:bidi="ar-SA"/>
                    </w:rPr>
                    <w:t>经</w:t>
                  </w:r>
                  <w:r>
                    <w:rPr>
                      <w:rFonts w:hint="default" w:ascii="Times New Roman" w:hAnsi="Times New Roman" w:eastAsia="宋体" w:cs="Times New Roman"/>
                      <w:bCs/>
                      <w:color w:val="auto"/>
                      <w:kern w:val="2"/>
                      <w:sz w:val="18"/>
                      <w:szCs w:val="18"/>
                      <w:lang w:val="en-US" w:eastAsia="zh-CN" w:bidi="ar-SA"/>
                    </w:rPr>
                    <w:t>集气罩收集，袋式除尘器处理后，</w:t>
                  </w:r>
                  <w:r>
                    <w:rPr>
                      <w:rFonts w:hint="eastAsia" w:ascii="Times New Roman" w:hAnsi="Times New Roman" w:eastAsia="宋体" w:cs="Times New Roman"/>
                      <w:bCs/>
                      <w:color w:val="auto"/>
                      <w:kern w:val="2"/>
                      <w:sz w:val="18"/>
                      <w:szCs w:val="18"/>
                      <w:lang w:val="en-US" w:eastAsia="zh-CN" w:bidi="ar-SA"/>
                    </w:rPr>
                    <w:t>由15m高DA003排气筒</w:t>
                  </w:r>
                  <w:r>
                    <w:rPr>
                      <w:rFonts w:hint="default" w:ascii="Times New Roman" w:hAnsi="Times New Roman" w:eastAsia="宋体" w:cs="Times New Roman"/>
                      <w:bCs/>
                      <w:color w:val="auto"/>
                      <w:kern w:val="2"/>
                      <w:sz w:val="18"/>
                      <w:szCs w:val="18"/>
                      <w:lang w:val="en-US" w:eastAsia="zh-CN" w:bidi="ar-SA"/>
                    </w:rPr>
                    <w:t>排放</w:t>
                  </w:r>
                </w:p>
              </w:tc>
              <w:tc>
                <w:tcPr>
                  <w:tcW w:w="1691" w:type="pct"/>
                  <w:noWrap w:val="0"/>
                  <w:vAlign w:val="center"/>
                </w:tcPr>
                <w:p w14:paraId="4E5F77D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highlight w:val="none"/>
                      <w:lang w:val="en-US" w:eastAsia="zh-CN"/>
                    </w:rPr>
                  </w:pPr>
                  <w:r>
                    <w:rPr>
                      <w:rFonts w:hint="eastAsia" w:ascii="Times New Roman" w:hAnsi="Times New Roman" w:eastAsia="宋体" w:cs="Times New Roman"/>
                      <w:bCs/>
                      <w:color w:val="auto"/>
                      <w:kern w:val="2"/>
                      <w:sz w:val="18"/>
                      <w:szCs w:val="18"/>
                      <w:lang w:val="en-US" w:eastAsia="zh-CN" w:bidi="ar-SA"/>
                    </w:rPr>
                    <w:t>投料</w:t>
                  </w:r>
                  <w:r>
                    <w:rPr>
                      <w:rFonts w:hint="default" w:ascii="Times New Roman" w:hAnsi="Times New Roman" w:eastAsia="宋体" w:cs="Times New Roman"/>
                      <w:bCs/>
                      <w:color w:val="auto"/>
                      <w:kern w:val="2"/>
                      <w:sz w:val="18"/>
                      <w:szCs w:val="18"/>
                      <w:lang w:val="en-US" w:eastAsia="zh-CN" w:bidi="ar-SA"/>
                    </w:rPr>
                    <w:t>工序粉尘</w:t>
                  </w:r>
                  <w:r>
                    <w:rPr>
                      <w:rFonts w:hint="eastAsia" w:ascii="Times New Roman" w:hAnsi="Times New Roman" w:eastAsia="宋体" w:cs="Times New Roman"/>
                      <w:bCs/>
                      <w:color w:val="auto"/>
                      <w:kern w:val="2"/>
                      <w:sz w:val="18"/>
                      <w:szCs w:val="18"/>
                      <w:lang w:val="en-US" w:eastAsia="zh-CN" w:bidi="ar-SA"/>
                    </w:rPr>
                    <w:t>经</w:t>
                  </w:r>
                  <w:r>
                    <w:rPr>
                      <w:rFonts w:hint="default" w:ascii="Times New Roman" w:hAnsi="Times New Roman" w:eastAsia="宋体" w:cs="Times New Roman"/>
                      <w:bCs/>
                      <w:color w:val="auto"/>
                      <w:kern w:val="2"/>
                      <w:sz w:val="18"/>
                      <w:szCs w:val="18"/>
                      <w:lang w:val="en-US" w:eastAsia="zh-CN" w:bidi="ar-SA"/>
                    </w:rPr>
                    <w:t>集气罩收集，袋式除尘器处理后，</w:t>
                  </w:r>
                  <w:r>
                    <w:rPr>
                      <w:rFonts w:hint="eastAsia" w:ascii="Times New Roman" w:hAnsi="Times New Roman" w:eastAsia="宋体" w:cs="Times New Roman"/>
                      <w:bCs/>
                      <w:color w:val="auto"/>
                      <w:kern w:val="2"/>
                      <w:sz w:val="18"/>
                      <w:szCs w:val="18"/>
                      <w:lang w:val="en-US" w:eastAsia="zh-CN" w:bidi="ar-SA"/>
                    </w:rPr>
                    <w:t>由15m高DA003排气筒</w:t>
                  </w:r>
                  <w:r>
                    <w:rPr>
                      <w:rFonts w:hint="default" w:ascii="Times New Roman" w:hAnsi="Times New Roman" w:eastAsia="宋体" w:cs="Times New Roman"/>
                      <w:bCs/>
                      <w:color w:val="auto"/>
                      <w:kern w:val="2"/>
                      <w:sz w:val="18"/>
                      <w:szCs w:val="18"/>
                      <w:lang w:val="en-US" w:eastAsia="zh-CN" w:bidi="ar-SA"/>
                    </w:rPr>
                    <w:t>排放</w:t>
                  </w:r>
                </w:p>
              </w:tc>
              <w:tc>
                <w:tcPr>
                  <w:tcW w:w="443" w:type="pct"/>
                  <w:noWrap w:val="0"/>
                  <w:vAlign w:val="center"/>
                </w:tcPr>
                <w:p w14:paraId="1A68B76D">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依托</w:t>
                  </w:r>
                </w:p>
              </w:tc>
            </w:tr>
            <w:tr w14:paraId="68EF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4AE9B72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553CDAF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highlight w:val="none"/>
                      <w:lang w:val="en-US" w:eastAsia="zh-CN"/>
                    </w:rPr>
                  </w:pPr>
                </w:p>
              </w:tc>
              <w:tc>
                <w:tcPr>
                  <w:tcW w:w="506" w:type="pct"/>
                  <w:noWrap w:val="0"/>
                  <w:vAlign w:val="center"/>
                </w:tcPr>
                <w:p w14:paraId="1F39224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default"/>
                      <w:color w:val="auto"/>
                      <w:sz w:val="18"/>
                      <w:szCs w:val="18"/>
                      <w:highlight w:val="none"/>
                      <w:lang w:val="en-US" w:eastAsia="zh-CN"/>
                    </w:rPr>
                  </w:pPr>
                  <w:r>
                    <w:rPr>
                      <w:rFonts w:hint="eastAsia"/>
                      <w:color w:val="auto"/>
                      <w:sz w:val="18"/>
                      <w:szCs w:val="18"/>
                      <w:highlight w:val="none"/>
                      <w:lang w:val="en-US" w:eastAsia="zh-CN"/>
                    </w:rPr>
                    <w:t>无组织粉尘</w:t>
                  </w:r>
                </w:p>
              </w:tc>
              <w:tc>
                <w:tcPr>
                  <w:tcW w:w="1393" w:type="pct"/>
                  <w:noWrap w:val="0"/>
                  <w:vAlign w:val="center"/>
                </w:tcPr>
                <w:p w14:paraId="5F8C2F1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highlight w:val="none"/>
                    </w:rPr>
                  </w:pPr>
                  <w:r>
                    <w:rPr>
                      <w:rFonts w:hint="eastAsia"/>
                      <w:color w:val="auto"/>
                      <w:sz w:val="18"/>
                      <w:szCs w:val="18"/>
                      <w:highlight w:val="none"/>
                      <w:lang w:val="en-US" w:eastAsia="zh-CN"/>
                    </w:rPr>
                    <w:t>粉状物料密闭存储于原料库内；粉状物料于密闭原料库内上料至上料口，密闭输送至卸料斗内进行搅拌混料</w:t>
                  </w:r>
                  <w:r>
                    <w:rPr>
                      <w:rFonts w:hint="eastAsia"/>
                      <w:color w:val="auto"/>
                      <w:sz w:val="18"/>
                      <w:szCs w:val="18"/>
                      <w:highlight w:val="none"/>
                    </w:rPr>
                    <w:t>。</w:t>
                  </w:r>
                </w:p>
              </w:tc>
              <w:tc>
                <w:tcPr>
                  <w:tcW w:w="1691" w:type="pct"/>
                  <w:noWrap w:val="0"/>
                  <w:vAlign w:val="center"/>
                </w:tcPr>
                <w:p w14:paraId="140E5AC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highlight w:val="none"/>
                    </w:rPr>
                  </w:pPr>
                  <w:r>
                    <w:rPr>
                      <w:rFonts w:hint="eastAsia"/>
                      <w:color w:val="auto"/>
                      <w:sz w:val="18"/>
                      <w:szCs w:val="18"/>
                      <w:highlight w:val="none"/>
                      <w:lang w:val="en-US" w:eastAsia="zh-CN"/>
                    </w:rPr>
                    <w:t>粉状物料密闭存储于原料库内；粉状物料于密闭原料库内上料至上料口，密闭输送至卸料斗内进行搅拌混料</w:t>
                  </w:r>
                  <w:r>
                    <w:rPr>
                      <w:rFonts w:hint="eastAsia"/>
                      <w:color w:val="auto"/>
                      <w:sz w:val="18"/>
                      <w:szCs w:val="18"/>
                      <w:highlight w:val="none"/>
                    </w:rPr>
                    <w:t>。</w:t>
                  </w:r>
                </w:p>
              </w:tc>
              <w:tc>
                <w:tcPr>
                  <w:tcW w:w="443" w:type="pct"/>
                  <w:noWrap w:val="0"/>
                  <w:vAlign w:val="center"/>
                </w:tcPr>
                <w:p w14:paraId="2DE1114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color w:val="auto"/>
                      <w:sz w:val="18"/>
                      <w:szCs w:val="18"/>
                      <w:highlight w:val="none"/>
                    </w:rPr>
                  </w:pPr>
                  <w:r>
                    <w:rPr>
                      <w:rFonts w:hint="eastAsia"/>
                      <w:color w:val="auto"/>
                      <w:sz w:val="18"/>
                      <w:szCs w:val="18"/>
                      <w:highlight w:val="none"/>
                    </w:rPr>
                    <w:t>依托现有</w:t>
                  </w:r>
                </w:p>
              </w:tc>
            </w:tr>
            <w:tr w14:paraId="4A0F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67343F6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7FD5B55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highlight w:val="none"/>
                      <w:lang w:val="en-US" w:eastAsia="zh-CN"/>
                    </w:rPr>
                  </w:pPr>
                </w:p>
              </w:tc>
              <w:tc>
                <w:tcPr>
                  <w:tcW w:w="506" w:type="pct"/>
                  <w:noWrap w:val="0"/>
                  <w:vAlign w:val="center"/>
                </w:tcPr>
                <w:p w14:paraId="0C8EAEA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default"/>
                      <w:color w:val="auto"/>
                      <w:sz w:val="18"/>
                      <w:szCs w:val="18"/>
                      <w:highlight w:val="none"/>
                      <w:lang w:val="en-US" w:eastAsia="zh-CN"/>
                    </w:rPr>
                  </w:pPr>
                  <w:r>
                    <w:rPr>
                      <w:rFonts w:hint="eastAsia"/>
                      <w:color w:val="auto"/>
                      <w:sz w:val="18"/>
                      <w:szCs w:val="18"/>
                      <w:highlight w:val="none"/>
                      <w:lang w:val="en-US" w:eastAsia="zh-CN"/>
                    </w:rPr>
                    <w:t>氨</w:t>
                  </w:r>
                </w:p>
              </w:tc>
              <w:tc>
                <w:tcPr>
                  <w:tcW w:w="1393" w:type="pct"/>
                  <w:noWrap w:val="0"/>
                  <w:vAlign w:val="center"/>
                </w:tcPr>
                <w:p w14:paraId="1D75DB3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1691" w:type="pct"/>
                  <w:noWrap w:val="0"/>
                  <w:vAlign w:val="center"/>
                </w:tcPr>
                <w:p w14:paraId="506C8E7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color w:val="auto"/>
                      <w:sz w:val="18"/>
                      <w:szCs w:val="18"/>
                      <w:highlight w:val="none"/>
                      <w:lang w:val="en-US" w:eastAsia="zh-CN"/>
                    </w:rPr>
                  </w:pPr>
                  <w:r>
                    <w:rPr>
                      <w:rFonts w:ascii="宋体" w:hAnsi="宋体" w:eastAsia="宋体" w:cs="宋体"/>
                      <w:b w:val="0"/>
                      <w:bCs w:val="0"/>
                      <w:color w:val="auto"/>
                      <w:sz w:val="18"/>
                      <w:szCs w:val="18"/>
                    </w:rPr>
                    <w:t>通过在氨水储罐旁设置水吸收槽，呼吸阀废气收集后引至水吸收槽吸收，可减少氨气的无组织排放；</w:t>
                  </w:r>
                </w:p>
              </w:tc>
              <w:tc>
                <w:tcPr>
                  <w:tcW w:w="443" w:type="pct"/>
                  <w:noWrap w:val="0"/>
                  <w:vAlign w:val="center"/>
                </w:tcPr>
                <w:p w14:paraId="3A7A14A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both"/>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新建</w:t>
                  </w:r>
                </w:p>
              </w:tc>
            </w:tr>
            <w:tr w14:paraId="0606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7C7716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restart"/>
                  <w:noWrap w:val="0"/>
                  <w:vAlign w:val="center"/>
                </w:tcPr>
                <w:p w14:paraId="2499168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废水治理</w:t>
                  </w:r>
                </w:p>
              </w:tc>
              <w:tc>
                <w:tcPr>
                  <w:tcW w:w="506" w:type="pct"/>
                  <w:noWrap w:val="0"/>
                  <w:vAlign w:val="center"/>
                </w:tcPr>
                <w:p w14:paraId="6BC7201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bCs/>
                      <w:color w:val="auto"/>
                      <w:sz w:val="18"/>
                      <w:szCs w:val="18"/>
                      <w:lang w:val="en-US" w:eastAsia="zh-CN"/>
                    </w:rPr>
                  </w:pPr>
                  <w:r>
                    <w:rPr>
                      <w:rFonts w:hint="eastAsia"/>
                      <w:bCs/>
                      <w:color w:val="auto"/>
                      <w:sz w:val="18"/>
                      <w:szCs w:val="18"/>
                      <w:lang w:val="en-US" w:eastAsia="zh-CN"/>
                    </w:rPr>
                    <w:t>生活</w:t>
                  </w:r>
                </w:p>
                <w:p w14:paraId="19D1D98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bCs/>
                      <w:color w:val="auto"/>
                      <w:sz w:val="18"/>
                      <w:szCs w:val="18"/>
                      <w:lang w:val="en-US" w:eastAsia="zh-CN"/>
                    </w:rPr>
                  </w:pPr>
                  <w:r>
                    <w:rPr>
                      <w:rFonts w:hint="eastAsia"/>
                      <w:bCs/>
                      <w:color w:val="auto"/>
                      <w:sz w:val="18"/>
                      <w:szCs w:val="18"/>
                      <w:lang w:val="en-US" w:eastAsia="zh-CN"/>
                    </w:rPr>
                    <w:t>污水</w:t>
                  </w:r>
                </w:p>
              </w:tc>
              <w:tc>
                <w:tcPr>
                  <w:tcW w:w="1393" w:type="pct"/>
                  <w:noWrap w:val="0"/>
                  <w:vAlign w:val="center"/>
                </w:tcPr>
                <w:p w14:paraId="5932E6D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生活污水经化粪池预处理后排入市政污水管网，最后接管于八公山污水处理厂。</w:t>
                  </w:r>
                </w:p>
              </w:tc>
              <w:tc>
                <w:tcPr>
                  <w:tcW w:w="1691" w:type="pct"/>
                  <w:noWrap w:val="0"/>
                  <w:vAlign w:val="center"/>
                </w:tcPr>
                <w:p w14:paraId="54DA488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生活污水经化粪池预处理后排入市政污水管网，最后接管于八公山污水处理厂。</w:t>
                  </w:r>
                </w:p>
              </w:tc>
              <w:tc>
                <w:tcPr>
                  <w:tcW w:w="443" w:type="pct"/>
                  <w:noWrap w:val="0"/>
                  <w:vAlign w:val="center"/>
                </w:tcPr>
                <w:p w14:paraId="03865C5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bCs/>
                      <w:color w:val="auto"/>
                      <w:sz w:val="18"/>
                      <w:szCs w:val="18"/>
                      <w:lang w:val="en-US" w:eastAsia="zh-CN"/>
                    </w:rPr>
                  </w:pPr>
                  <w:r>
                    <w:rPr>
                      <w:rFonts w:hint="eastAsia"/>
                      <w:color w:val="auto"/>
                      <w:sz w:val="18"/>
                      <w:szCs w:val="18"/>
                      <w:lang w:val="en-US" w:eastAsia="zh-CN"/>
                    </w:rPr>
                    <w:t>依托现有</w:t>
                  </w:r>
                </w:p>
              </w:tc>
            </w:tr>
            <w:tr w14:paraId="63B4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DB968D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7D90435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06" w:type="pct"/>
                  <w:noWrap w:val="0"/>
                  <w:vAlign w:val="center"/>
                </w:tcPr>
                <w:p w14:paraId="499196F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bCs/>
                      <w:color w:val="auto"/>
                      <w:sz w:val="18"/>
                      <w:szCs w:val="18"/>
                      <w:lang w:val="en-US" w:eastAsia="zh-CN"/>
                    </w:rPr>
                  </w:pPr>
                  <w:r>
                    <w:rPr>
                      <w:rFonts w:hint="eastAsia"/>
                      <w:bCs/>
                      <w:color w:val="auto"/>
                      <w:sz w:val="18"/>
                      <w:szCs w:val="18"/>
                      <w:lang w:val="en-US" w:eastAsia="zh-CN"/>
                    </w:rPr>
                    <w:t>成型工序冷却循环用水</w:t>
                  </w:r>
                </w:p>
              </w:tc>
              <w:tc>
                <w:tcPr>
                  <w:tcW w:w="1393" w:type="pct"/>
                  <w:noWrap w:val="0"/>
                  <w:vAlign w:val="center"/>
                </w:tcPr>
                <w:p w14:paraId="39813E6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回用于成型工序</w:t>
                  </w:r>
                </w:p>
              </w:tc>
              <w:tc>
                <w:tcPr>
                  <w:tcW w:w="1691" w:type="pct"/>
                  <w:noWrap w:val="0"/>
                  <w:vAlign w:val="center"/>
                </w:tcPr>
                <w:p w14:paraId="381D755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回用于成型工序</w:t>
                  </w:r>
                </w:p>
              </w:tc>
              <w:tc>
                <w:tcPr>
                  <w:tcW w:w="443" w:type="pct"/>
                  <w:noWrap w:val="0"/>
                  <w:vAlign w:val="center"/>
                </w:tcPr>
                <w:p w14:paraId="21D4A84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color w:val="auto"/>
                      <w:sz w:val="18"/>
                      <w:szCs w:val="18"/>
                      <w:lang w:val="en-US" w:eastAsia="zh-CN"/>
                    </w:rPr>
                    <w:t>依托现有</w:t>
                  </w:r>
                </w:p>
              </w:tc>
            </w:tr>
            <w:tr w14:paraId="408E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1499281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vMerge w:val="continue"/>
                  <w:noWrap w:val="0"/>
                  <w:vAlign w:val="center"/>
                </w:tcPr>
                <w:p w14:paraId="37037C1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06" w:type="pct"/>
                  <w:noWrap w:val="0"/>
                  <w:vAlign w:val="center"/>
                </w:tcPr>
                <w:p w14:paraId="187AD2A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bCs/>
                      <w:color w:val="auto"/>
                      <w:sz w:val="18"/>
                      <w:szCs w:val="18"/>
                      <w:lang w:val="en-US" w:eastAsia="zh-CN"/>
                    </w:rPr>
                  </w:pPr>
                  <w:r>
                    <w:rPr>
                      <w:color w:val="auto"/>
                      <w:sz w:val="18"/>
                      <w:szCs w:val="18"/>
                    </w:rPr>
                    <w:t>车辆冲洗废水</w:t>
                  </w:r>
                </w:p>
              </w:tc>
              <w:tc>
                <w:tcPr>
                  <w:tcW w:w="1393" w:type="pct"/>
                  <w:noWrap w:val="0"/>
                  <w:vAlign w:val="center"/>
                </w:tcPr>
                <w:p w14:paraId="6E9F05F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厂区出入口设置车辆自动冲洗设施，冲洗废水循环使用不外排。</w:t>
                  </w:r>
                </w:p>
              </w:tc>
              <w:tc>
                <w:tcPr>
                  <w:tcW w:w="1691" w:type="pct"/>
                  <w:noWrap w:val="0"/>
                  <w:vAlign w:val="center"/>
                </w:tcPr>
                <w:p w14:paraId="08D4B9B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厂区出入口设置车辆自动冲洗设施，冲洗废水循环使用不外排。</w:t>
                  </w:r>
                </w:p>
              </w:tc>
              <w:tc>
                <w:tcPr>
                  <w:tcW w:w="443" w:type="pct"/>
                  <w:noWrap w:val="0"/>
                  <w:vAlign w:val="center"/>
                </w:tcPr>
                <w:p w14:paraId="348C2D8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color w:val="auto"/>
                      <w:sz w:val="18"/>
                      <w:szCs w:val="18"/>
                      <w:lang w:val="en-US" w:eastAsia="zh-CN"/>
                    </w:rPr>
                  </w:pPr>
                  <w:r>
                    <w:rPr>
                      <w:rFonts w:hint="eastAsia"/>
                      <w:color w:val="auto"/>
                      <w:sz w:val="18"/>
                      <w:szCs w:val="18"/>
                      <w:lang w:val="en-US" w:eastAsia="zh-CN"/>
                    </w:rPr>
                    <w:t>依托现有</w:t>
                  </w:r>
                </w:p>
              </w:tc>
            </w:tr>
            <w:tr w14:paraId="7E3F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653D386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1EFE935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噪声治理</w:t>
                  </w:r>
                </w:p>
              </w:tc>
              <w:tc>
                <w:tcPr>
                  <w:tcW w:w="506" w:type="pct"/>
                  <w:noWrap w:val="0"/>
                  <w:vAlign w:val="center"/>
                </w:tcPr>
                <w:p w14:paraId="5603DC0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color w:val="auto"/>
                      <w:sz w:val="18"/>
                      <w:szCs w:val="18"/>
                      <w:lang w:val="en-US" w:eastAsia="zh-CN"/>
                    </w:rPr>
                  </w:pPr>
                  <w:r>
                    <w:rPr>
                      <w:rFonts w:hint="eastAsia"/>
                      <w:bCs/>
                      <w:color w:val="auto"/>
                      <w:sz w:val="18"/>
                      <w:szCs w:val="18"/>
                      <w:lang w:val="en-US" w:eastAsia="zh-CN"/>
                    </w:rPr>
                    <w:t>机械噪声</w:t>
                  </w:r>
                </w:p>
              </w:tc>
              <w:tc>
                <w:tcPr>
                  <w:tcW w:w="1393" w:type="pct"/>
                  <w:noWrap w:val="0"/>
                  <w:vAlign w:val="center"/>
                </w:tcPr>
                <w:p w14:paraId="56ED324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color w:val="auto"/>
                      <w:sz w:val="18"/>
                      <w:szCs w:val="18"/>
                      <w:lang w:val="en-US" w:eastAsia="zh-CN"/>
                    </w:rPr>
                  </w:pPr>
                  <w:r>
                    <w:rPr>
                      <w:bCs/>
                      <w:color w:val="auto"/>
                      <w:sz w:val="18"/>
                      <w:szCs w:val="18"/>
                      <w:lang w:val="en-US" w:eastAsia="zh-CN"/>
                    </w:rPr>
                    <w:t>优先选用低噪声设备；主要产噪设备安装减振基座；机械噪声采用减振垫；空气动力性噪声采用阻抗复合消声器，同时对管道采用柔性连接和减振措施；墙体隔声等措施。</w:t>
                  </w:r>
                </w:p>
              </w:tc>
              <w:tc>
                <w:tcPr>
                  <w:tcW w:w="1691" w:type="pct"/>
                  <w:noWrap w:val="0"/>
                  <w:vAlign w:val="center"/>
                </w:tcPr>
                <w:p w14:paraId="54D6563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left"/>
                    <w:textAlignment w:val="auto"/>
                    <w:rPr>
                      <w:bCs/>
                      <w:color w:val="auto"/>
                      <w:sz w:val="18"/>
                      <w:szCs w:val="18"/>
                      <w:lang w:val="en-US" w:eastAsia="zh-CN"/>
                    </w:rPr>
                  </w:pPr>
                  <w:r>
                    <w:rPr>
                      <w:bCs/>
                      <w:color w:val="auto"/>
                      <w:sz w:val="18"/>
                      <w:szCs w:val="18"/>
                      <w:lang w:val="en-US" w:eastAsia="zh-CN"/>
                    </w:rPr>
                    <w:t>优先选用低噪声设备；主要产噪设备安装减振基座；机械噪声采用减振垫；空气动力性噪声采用阻抗复合消声器，同时对管道采用柔性连接和减振措施；墙体隔声等措施。</w:t>
                  </w:r>
                </w:p>
              </w:tc>
              <w:tc>
                <w:tcPr>
                  <w:tcW w:w="443" w:type="pct"/>
                  <w:noWrap w:val="0"/>
                  <w:vAlign w:val="center"/>
                </w:tcPr>
                <w:p w14:paraId="3611A14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rFonts w:hint="eastAsia"/>
                      <w:color w:val="auto"/>
                      <w:sz w:val="18"/>
                      <w:szCs w:val="18"/>
                      <w:lang w:val="en-US" w:eastAsia="zh-CN"/>
                    </w:rPr>
                    <w:t>新建</w:t>
                  </w:r>
                </w:p>
              </w:tc>
            </w:tr>
            <w:tr w14:paraId="1313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1D7CC3A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4A39EBF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bCs/>
                      <w:color w:val="auto"/>
                      <w:sz w:val="18"/>
                      <w:szCs w:val="18"/>
                      <w:lang w:val="en-US" w:eastAsia="zh-CN"/>
                    </w:rPr>
                    <w:t>固废治理</w:t>
                  </w:r>
                </w:p>
              </w:tc>
              <w:tc>
                <w:tcPr>
                  <w:tcW w:w="3591" w:type="pct"/>
                  <w:gridSpan w:val="3"/>
                  <w:noWrap w:val="0"/>
                  <w:vAlign w:val="center"/>
                </w:tcPr>
                <w:p w14:paraId="185F900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eastAsia"/>
                      <w:bCs/>
                      <w:color w:val="auto"/>
                      <w:sz w:val="18"/>
                      <w:szCs w:val="18"/>
                      <w:lang w:val="en-US" w:eastAsia="zh-CN"/>
                    </w:rPr>
                  </w:pPr>
                  <w:r>
                    <w:rPr>
                      <w:rFonts w:hint="eastAsia"/>
                      <w:bCs/>
                      <w:color w:val="auto"/>
                      <w:sz w:val="18"/>
                      <w:szCs w:val="18"/>
                      <w:lang w:val="en-US" w:eastAsia="zh-CN"/>
                    </w:rPr>
                    <w:t>项目产生废玻璃制品直接作为原料回用于生产，不进行暂存；利用现有危废仓库约6m</w:t>
                  </w:r>
                  <w:r>
                    <w:rPr>
                      <w:bCs/>
                      <w:color w:val="auto"/>
                      <w:sz w:val="18"/>
                      <w:szCs w:val="18"/>
                      <w:vertAlign w:val="superscript"/>
                      <w:lang w:val="en-US" w:eastAsia="zh-CN"/>
                    </w:rPr>
                    <w:t>2</w:t>
                  </w:r>
                  <w:r>
                    <w:rPr>
                      <w:rFonts w:hint="eastAsia"/>
                      <w:bCs/>
                      <w:color w:val="auto"/>
                      <w:sz w:val="18"/>
                      <w:szCs w:val="18"/>
                      <w:vertAlign w:val="superscript"/>
                      <w:lang w:val="en-US" w:eastAsia="zh-CN"/>
                    </w:rPr>
                    <w:t>,</w:t>
                  </w:r>
                  <w:r>
                    <w:rPr>
                      <w:rFonts w:hint="eastAsia"/>
                      <w:bCs/>
                      <w:color w:val="auto"/>
                      <w:sz w:val="18"/>
                      <w:szCs w:val="18"/>
                      <w:vertAlign w:val="baseline"/>
                      <w:lang w:val="en-US" w:eastAsia="zh-CN"/>
                    </w:rPr>
                    <w:t>，位于车间西侧，</w:t>
                  </w:r>
                  <w:r>
                    <w:rPr>
                      <w:rFonts w:hint="eastAsia"/>
                      <w:bCs/>
                      <w:color w:val="auto"/>
                      <w:sz w:val="18"/>
                      <w:szCs w:val="18"/>
                      <w:lang w:val="en-US" w:eastAsia="zh-CN"/>
                    </w:rPr>
                    <w:t>机械维修废机油、含油抹布、废催化剂等</w:t>
                  </w:r>
                  <w:r>
                    <w:rPr>
                      <w:color w:val="auto"/>
                      <w:sz w:val="18"/>
                      <w:szCs w:val="18"/>
                      <w:lang w:val="en-US" w:eastAsia="zh-CN"/>
                    </w:rPr>
                    <w:t>危险废物</w:t>
                  </w:r>
                  <w:r>
                    <w:rPr>
                      <w:rFonts w:hint="eastAsia"/>
                      <w:color w:val="auto"/>
                      <w:sz w:val="18"/>
                      <w:szCs w:val="18"/>
                      <w:lang w:val="en-US" w:eastAsia="zh-CN"/>
                    </w:rPr>
                    <w:t>暂存后定期</w:t>
                  </w:r>
                  <w:r>
                    <w:rPr>
                      <w:color w:val="auto"/>
                      <w:sz w:val="18"/>
                      <w:szCs w:val="18"/>
                      <w:lang w:val="en-US" w:eastAsia="zh-CN"/>
                    </w:rPr>
                    <w:t>委托有资质单位处理；生活垃圾交环卫部门处理</w:t>
                  </w:r>
                  <w:r>
                    <w:rPr>
                      <w:rFonts w:hint="eastAsia"/>
                      <w:color w:val="auto"/>
                      <w:sz w:val="18"/>
                      <w:szCs w:val="18"/>
                      <w:lang w:val="en-US" w:eastAsia="zh-CN"/>
                    </w:rPr>
                    <w:t>。</w:t>
                  </w:r>
                </w:p>
              </w:tc>
              <w:tc>
                <w:tcPr>
                  <w:tcW w:w="443" w:type="pct"/>
                  <w:noWrap w:val="0"/>
                  <w:vAlign w:val="center"/>
                </w:tcPr>
                <w:p w14:paraId="0FD056A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bCs/>
                      <w:color w:val="auto"/>
                      <w:sz w:val="18"/>
                      <w:szCs w:val="18"/>
                      <w:lang w:val="en-US" w:eastAsia="zh-CN"/>
                    </w:rPr>
                  </w:pPr>
                  <w:r>
                    <w:rPr>
                      <w:rFonts w:hint="eastAsia"/>
                      <w:color w:val="auto"/>
                      <w:sz w:val="18"/>
                      <w:szCs w:val="18"/>
                      <w:lang w:val="en-US" w:eastAsia="zh-CN"/>
                    </w:rPr>
                    <w:t>依托现有</w:t>
                  </w:r>
                </w:p>
              </w:tc>
            </w:tr>
            <w:tr w14:paraId="2E21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5188E0D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3AC833E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rFonts w:hint="eastAsia"/>
                      <w:bCs/>
                      <w:color w:val="auto"/>
                      <w:sz w:val="18"/>
                      <w:szCs w:val="18"/>
                      <w:lang w:val="en-US" w:eastAsia="zh-CN"/>
                    </w:rPr>
                    <w:t>土壤及地下水</w:t>
                  </w:r>
                </w:p>
              </w:tc>
              <w:tc>
                <w:tcPr>
                  <w:tcW w:w="3591" w:type="pct"/>
                  <w:gridSpan w:val="3"/>
                  <w:noWrap w:val="0"/>
                  <w:vAlign w:val="center"/>
                </w:tcPr>
                <w:p w14:paraId="1750F75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left"/>
                    <w:textAlignment w:val="auto"/>
                    <w:rPr>
                      <w:rFonts w:hint="eastAsia"/>
                      <w:bCs/>
                      <w:color w:val="auto"/>
                      <w:sz w:val="18"/>
                      <w:szCs w:val="18"/>
                    </w:rPr>
                  </w:pPr>
                  <w:r>
                    <w:rPr>
                      <w:rFonts w:hint="eastAsia" w:hAnsi="宋体"/>
                      <w:bCs/>
                      <w:color w:val="auto"/>
                      <w:sz w:val="18"/>
                      <w:szCs w:val="18"/>
                    </w:rPr>
                    <w:t>危废</w:t>
                  </w:r>
                  <w:r>
                    <w:rPr>
                      <w:rFonts w:hAnsi="宋体"/>
                      <w:bCs/>
                      <w:color w:val="auto"/>
                      <w:sz w:val="18"/>
                      <w:szCs w:val="18"/>
                    </w:rPr>
                    <w:t>库</w:t>
                  </w:r>
                  <w:r>
                    <w:rPr>
                      <w:rFonts w:hint="eastAsia" w:hAnsi="宋体"/>
                      <w:bCs/>
                      <w:color w:val="auto"/>
                      <w:sz w:val="18"/>
                      <w:szCs w:val="18"/>
                      <w:lang w:eastAsia="zh-CN"/>
                    </w:rPr>
                    <w:t>、</w:t>
                  </w:r>
                  <w:r>
                    <w:rPr>
                      <w:rFonts w:hint="eastAsia" w:hAnsi="宋体"/>
                      <w:bCs/>
                      <w:color w:val="auto"/>
                      <w:sz w:val="18"/>
                      <w:szCs w:val="18"/>
                      <w:lang w:val="en-US" w:eastAsia="zh-CN"/>
                    </w:rPr>
                    <w:t>事故池、冲洗平台、液氨储罐围堰内</w:t>
                  </w:r>
                  <w:r>
                    <w:rPr>
                      <w:rFonts w:hint="eastAsia"/>
                      <w:bCs/>
                      <w:color w:val="auto"/>
                      <w:sz w:val="18"/>
                      <w:szCs w:val="18"/>
                    </w:rPr>
                    <w:t>采用重点防渗措施；</w:t>
                  </w:r>
                  <w:r>
                    <w:rPr>
                      <w:rFonts w:hint="eastAsia" w:hAnsi="宋体"/>
                      <w:bCs/>
                      <w:color w:val="auto"/>
                      <w:sz w:val="18"/>
                      <w:szCs w:val="18"/>
                    </w:rPr>
                    <w:t>生产厂房</w:t>
                  </w:r>
                  <w:r>
                    <w:rPr>
                      <w:rFonts w:hint="eastAsia" w:hAnsi="宋体"/>
                      <w:bCs/>
                      <w:color w:val="auto"/>
                      <w:sz w:val="18"/>
                      <w:szCs w:val="18"/>
                      <w:lang w:eastAsia="zh-CN"/>
                    </w:rPr>
                    <w:t>、</w:t>
                  </w:r>
                  <w:r>
                    <w:rPr>
                      <w:rFonts w:hint="eastAsia" w:hAnsi="宋体"/>
                      <w:bCs/>
                      <w:color w:val="auto"/>
                      <w:sz w:val="18"/>
                      <w:szCs w:val="18"/>
                      <w:lang w:val="en-US" w:eastAsia="zh-CN"/>
                    </w:rPr>
                    <w:t>原料库</w:t>
                  </w:r>
                  <w:r>
                    <w:rPr>
                      <w:rFonts w:hint="eastAsia"/>
                      <w:bCs/>
                      <w:color w:val="auto"/>
                      <w:sz w:val="18"/>
                      <w:szCs w:val="18"/>
                    </w:rPr>
                    <w:t>采用一般防渗处理；</w:t>
                  </w:r>
                  <w:r>
                    <w:rPr>
                      <w:rFonts w:hint="eastAsia"/>
                      <w:color w:val="auto"/>
                      <w:sz w:val="18"/>
                      <w:szCs w:val="18"/>
                    </w:rPr>
                    <w:t>危废收集后分类存放，危废暂存间设置导流沟及收集池，暂存间采取重点防渗</w:t>
                  </w:r>
                  <w:r>
                    <w:rPr>
                      <w:rFonts w:hint="eastAsia"/>
                      <w:color w:val="auto"/>
                      <w:sz w:val="18"/>
                      <w:szCs w:val="18"/>
                      <w:lang w:eastAsia="zh-CN"/>
                    </w:rPr>
                    <w:t>，</w:t>
                  </w:r>
                  <w:r>
                    <w:rPr>
                      <w:rFonts w:hint="eastAsia"/>
                      <w:color w:val="auto"/>
                      <w:sz w:val="18"/>
                      <w:szCs w:val="18"/>
                    </w:rPr>
                    <w:t>可有效防止物料和事故状态下的地面冲洗水泄漏对土壤产生影响。</w:t>
                  </w:r>
                </w:p>
              </w:tc>
              <w:tc>
                <w:tcPr>
                  <w:tcW w:w="443" w:type="pct"/>
                  <w:noWrap w:val="0"/>
                  <w:vAlign w:val="center"/>
                </w:tcPr>
                <w:p w14:paraId="40D07A0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both"/>
                    <w:textAlignment w:val="auto"/>
                    <w:rPr>
                      <w:rFonts w:hint="eastAsia"/>
                      <w:bCs/>
                      <w:color w:val="auto"/>
                      <w:sz w:val="18"/>
                      <w:szCs w:val="18"/>
                      <w:lang w:val="en-US" w:eastAsia="zh-CN"/>
                    </w:rPr>
                  </w:pPr>
                  <w:r>
                    <w:rPr>
                      <w:rFonts w:hint="eastAsia"/>
                      <w:color w:val="auto"/>
                      <w:sz w:val="18"/>
                      <w:szCs w:val="18"/>
                      <w:lang w:val="en-US" w:eastAsia="zh-CN"/>
                    </w:rPr>
                    <w:t>/</w:t>
                  </w:r>
                </w:p>
              </w:tc>
            </w:tr>
            <w:tr w14:paraId="1F8A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31E6DB4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Cs/>
                      <w:color w:val="auto"/>
                      <w:sz w:val="18"/>
                      <w:szCs w:val="18"/>
                      <w:lang w:val="en-US" w:eastAsia="zh-CN"/>
                    </w:rPr>
                  </w:pPr>
                </w:p>
              </w:tc>
              <w:tc>
                <w:tcPr>
                  <w:tcW w:w="533" w:type="pct"/>
                  <w:noWrap w:val="0"/>
                  <w:vAlign w:val="center"/>
                </w:tcPr>
                <w:p w14:paraId="3229986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bCs/>
                      <w:color w:val="auto"/>
                      <w:sz w:val="18"/>
                      <w:szCs w:val="18"/>
                      <w:lang w:val="en-US" w:eastAsia="zh-CN"/>
                    </w:rPr>
                  </w:pPr>
                  <w:r>
                    <w:rPr>
                      <w:rFonts w:hint="eastAsia"/>
                      <w:bCs/>
                      <w:color w:val="auto"/>
                      <w:sz w:val="18"/>
                      <w:szCs w:val="18"/>
                      <w:lang w:val="en-US" w:eastAsia="zh-CN"/>
                    </w:rPr>
                    <w:t>环境风险</w:t>
                  </w:r>
                </w:p>
              </w:tc>
              <w:tc>
                <w:tcPr>
                  <w:tcW w:w="3591" w:type="pct"/>
                  <w:gridSpan w:val="3"/>
                  <w:noWrap w:val="0"/>
                  <w:vAlign w:val="center"/>
                </w:tcPr>
                <w:p w14:paraId="6AB49FA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default"/>
                      <w:bCs/>
                      <w:color w:val="auto"/>
                      <w:sz w:val="18"/>
                      <w:szCs w:val="18"/>
                      <w:lang w:val="en-US" w:eastAsia="zh-CN"/>
                    </w:rPr>
                  </w:pPr>
                  <w:r>
                    <w:rPr>
                      <w:rFonts w:hint="eastAsia"/>
                      <w:color w:val="auto"/>
                      <w:sz w:val="18"/>
                      <w:szCs w:val="18"/>
                      <w:lang w:val="en-US" w:eastAsia="zh-CN"/>
                    </w:rPr>
                    <w:t>危废收集后分类存放，废油类、废含油抹布等采用密闭容器存放，危废暂存间设置导流沟及收集池，暂存间采取重点防渗，可有效防止物料和事故状态下的地面冲洗水泄漏对土壤产生影响。</w:t>
                  </w:r>
                  <w:r>
                    <w:rPr>
                      <w:rFonts w:hint="eastAsia"/>
                      <w:bCs/>
                      <w:color w:val="auto"/>
                      <w:sz w:val="18"/>
                      <w:szCs w:val="18"/>
                      <w:lang w:val="en-US" w:eastAsia="zh-CN"/>
                    </w:rPr>
                    <w:t>一旦液态物料泄露，可及时收集，泄漏收集的物料全部交由有危险废物处理资质的单位统一清运处置。制定风险应急预案，储备应急物资，</w:t>
                  </w:r>
                  <w:r>
                    <w:rPr>
                      <w:rFonts w:hint="eastAsia"/>
                      <w:bCs/>
                      <w:color w:val="auto"/>
                      <w:sz w:val="18"/>
                      <w:szCs w:val="18"/>
                      <w:highlight w:val="none"/>
                      <w:lang w:val="en-US" w:eastAsia="zh-CN"/>
                    </w:rPr>
                    <w:t>厂区内设置事故池300立方，并于厂区内设置拦截设施，有效收集厂区事故</w:t>
                  </w:r>
                  <w:r>
                    <w:rPr>
                      <w:rFonts w:hint="eastAsia"/>
                      <w:bCs/>
                      <w:color w:val="auto"/>
                      <w:sz w:val="18"/>
                      <w:szCs w:val="18"/>
                      <w:lang w:val="en-US" w:eastAsia="zh-CN"/>
                    </w:rPr>
                    <w:t>废水。</w:t>
                  </w:r>
                </w:p>
              </w:tc>
              <w:tc>
                <w:tcPr>
                  <w:tcW w:w="443" w:type="pct"/>
                  <w:noWrap w:val="0"/>
                  <w:vAlign w:val="center"/>
                </w:tcPr>
                <w:p w14:paraId="764A413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both"/>
                    <w:textAlignment w:val="auto"/>
                    <w:rPr>
                      <w:rFonts w:hint="eastAsia"/>
                      <w:bCs/>
                      <w:color w:val="auto"/>
                      <w:sz w:val="18"/>
                      <w:szCs w:val="18"/>
                      <w:lang w:val="en-US" w:eastAsia="zh-CN"/>
                    </w:rPr>
                  </w:pPr>
                  <w:r>
                    <w:rPr>
                      <w:rFonts w:hint="eastAsia"/>
                      <w:color w:val="auto"/>
                      <w:sz w:val="18"/>
                      <w:szCs w:val="18"/>
                      <w:lang w:val="en-US" w:eastAsia="zh-CN"/>
                    </w:rPr>
                    <w:t>新建</w:t>
                  </w:r>
                </w:p>
              </w:tc>
            </w:tr>
            <w:bookmarkEnd w:id="5"/>
          </w:tbl>
          <w:p w14:paraId="5941BD50">
            <w:pPr>
              <w:adjustRightInd w:val="0"/>
              <w:snapToGrid w:val="0"/>
              <w:spacing w:line="360" w:lineRule="auto"/>
              <w:ind w:firstLine="422" w:firstLineChars="200"/>
              <w:jc w:val="left"/>
              <w:rPr>
                <w:b/>
                <w:color w:val="auto"/>
                <w:szCs w:val="21"/>
              </w:rPr>
            </w:pPr>
            <w:r>
              <w:rPr>
                <w:rFonts w:hint="eastAsia"/>
                <w:b/>
                <w:color w:val="auto"/>
                <w:szCs w:val="21"/>
              </w:rPr>
              <w:t>2、依托工程</w:t>
            </w:r>
          </w:p>
          <w:p w14:paraId="33010016">
            <w:pPr>
              <w:adjustRightInd w:val="0"/>
              <w:snapToGrid w:val="0"/>
              <w:spacing w:line="360" w:lineRule="auto"/>
              <w:ind w:firstLine="420" w:firstLineChars="200"/>
              <w:jc w:val="left"/>
              <w:rPr>
                <w:bCs/>
                <w:color w:val="auto"/>
                <w:szCs w:val="21"/>
              </w:rPr>
            </w:pPr>
            <w:r>
              <w:rPr>
                <w:rFonts w:hint="eastAsia"/>
                <w:bCs/>
                <w:color w:val="auto"/>
                <w:szCs w:val="21"/>
              </w:rPr>
              <w:t>本次技改扩建工程主要利用厂区现有厂房进行生产，依托厂区现有给排水、供电、辅助工程，具体见下表。</w:t>
            </w:r>
          </w:p>
          <w:p w14:paraId="20707357">
            <w:pPr>
              <w:pStyle w:val="86"/>
              <w:rPr>
                <w:color w:val="auto"/>
              </w:rPr>
            </w:pPr>
            <w:r>
              <w:rPr>
                <w:rFonts w:hint="eastAsia"/>
                <w:color w:val="auto"/>
              </w:rPr>
              <w:t>表2-</w:t>
            </w:r>
            <w:r>
              <w:rPr>
                <w:rFonts w:hint="eastAsia"/>
                <w:color w:val="auto"/>
                <w:lang w:val="en-US" w:eastAsia="zh-CN"/>
              </w:rPr>
              <w:t>4</w:t>
            </w:r>
            <w:r>
              <w:rPr>
                <w:color w:val="auto"/>
              </w:rPr>
              <w:t xml:space="preserve">  </w:t>
            </w:r>
            <w:r>
              <w:rPr>
                <w:rFonts w:hint="eastAsia"/>
                <w:color w:val="auto"/>
              </w:rPr>
              <w:t>本次改扩建工程依托工程一览表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279"/>
              <w:gridCol w:w="2307"/>
              <w:gridCol w:w="2109"/>
              <w:gridCol w:w="1540"/>
            </w:tblGrid>
            <w:tr w14:paraId="6B7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56EC3B10">
                  <w:pPr>
                    <w:jc w:val="center"/>
                    <w:rPr>
                      <w:rFonts w:hint="eastAsia"/>
                      <w:bCs/>
                      <w:color w:val="auto"/>
                      <w:sz w:val="18"/>
                      <w:szCs w:val="18"/>
                    </w:rPr>
                  </w:pPr>
                  <w:r>
                    <w:rPr>
                      <w:rFonts w:hint="eastAsia"/>
                      <w:bCs/>
                      <w:color w:val="auto"/>
                      <w:sz w:val="18"/>
                      <w:szCs w:val="18"/>
                    </w:rPr>
                    <w:t>工程名称</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609C47E3">
                  <w:pPr>
                    <w:jc w:val="center"/>
                    <w:rPr>
                      <w:bCs/>
                      <w:color w:val="auto"/>
                      <w:sz w:val="18"/>
                      <w:szCs w:val="18"/>
                    </w:rPr>
                  </w:pPr>
                  <w:bookmarkStart w:id="6" w:name="_Hlk69392134"/>
                  <w:r>
                    <w:rPr>
                      <w:rFonts w:hint="eastAsia"/>
                      <w:bCs/>
                      <w:color w:val="auto"/>
                      <w:sz w:val="18"/>
                      <w:szCs w:val="18"/>
                    </w:rPr>
                    <w:t>单项工程名称</w:t>
                  </w:r>
                </w:p>
              </w:tc>
              <w:tc>
                <w:tcPr>
                  <w:tcW w:w="2307" w:type="dxa"/>
                  <w:tcBorders>
                    <w:top w:val="single" w:color="auto" w:sz="4" w:space="0"/>
                    <w:left w:val="single" w:color="auto" w:sz="4" w:space="0"/>
                    <w:bottom w:val="single" w:color="auto" w:sz="4" w:space="0"/>
                    <w:right w:val="single" w:color="auto" w:sz="4" w:space="0"/>
                  </w:tcBorders>
                  <w:noWrap w:val="0"/>
                  <w:vAlign w:val="center"/>
                </w:tcPr>
                <w:p w14:paraId="450C1C2E">
                  <w:pPr>
                    <w:jc w:val="center"/>
                    <w:rPr>
                      <w:bCs/>
                      <w:color w:val="auto"/>
                      <w:sz w:val="18"/>
                      <w:szCs w:val="18"/>
                    </w:rPr>
                  </w:pPr>
                  <w:r>
                    <w:rPr>
                      <w:rFonts w:hint="eastAsia"/>
                      <w:bCs/>
                      <w:color w:val="auto"/>
                      <w:sz w:val="18"/>
                      <w:szCs w:val="18"/>
                    </w:rPr>
                    <w:t>现有工程情况</w:t>
                  </w:r>
                </w:p>
              </w:tc>
              <w:tc>
                <w:tcPr>
                  <w:tcW w:w="2109" w:type="dxa"/>
                  <w:tcBorders>
                    <w:top w:val="single" w:color="auto" w:sz="4" w:space="0"/>
                    <w:left w:val="single" w:color="auto" w:sz="4" w:space="0"/>
                    <w:bottom w:val="single" w:color="auto" w:sz="4" w:space="0"/>
                    <w:right w:val="single" w:color="auto" w:sz="4" w:space="0"/>
                  </w:tcBorders>
                  <w:noWrap w:val="0"/>
                  <w:vAlign w:val="center"/>
                </w:tcPr>
                <w:p w14:paraId="06EADB31">
                  <w:pPr>
                    <w:jc w:val="center"/>
                    <w:rPr>
                      <w:bCs/>
                      <w:color w:val="auto"/>
                      <w:sz w:val="18"/>
                      <w:szCs w:val="18"/>
                    </w:rPr>
                  </w:pPr>
                  <w:r>
                    <w:rPr>
                      <w:rFonts w:hint="eastAsia"/>
                      <w:bCs/>
                      <w:color w:val="auto"/>
                      <w:sz w:val="18"/>
                      <w:szCs w:val="18"/>
                    </w:rPr>
                    <w:t>本次</w:t>
                  </w:r>
                  <w:r>
                    <w:rPr>
                      <w:rFonts w:hint="eastAsia"/>
                      <w:bCs/>
                      <w:color w:val="auto"/>
                      <w:sz w:val="18"/>
                      <w:szCs w:val="18"/>
                      <w:lang w:val="en-US" w:eastAsia="zh-CN"/>
                    </w:rPr>
                    <w:t>技改扩</w:t>
                  </w:r>
                  <w:r>
                    <w:rPr>
                      <w:rFonts w:hint="eastAsia"/>
                      <w:bCs/>
                      <w:color w:val="auto"/>
                      <w:sz w:val="18"/>
                      <w:szCs w:val="18"/>
                    </w:rPr>
                    <w:t>建工程情况</w:t>
                  </w:r>
                </w:p>
              </w:tc>
              <w:tc>
                <w:tcPr>
                  <w:tcW w:w="1540" w:type="dxa"/>
                  <w:tcBorders>
                    <w:top w:val="single" w:color="auto" w:sz="4" w:space="0"/>
                    <w:left w:val="single" w:color="auto" w:sz="4" w:space="0"/>
                    <w:bottom w:val="single" w:color="auto" w:sz="4" w:space="0"/>
                    <w:right w:val="single" w:color="auto" w:sz="4" w:space="0"/>
                  </w:tcBorders>
                  <w:noWrap w:val="0"/>
                  <w:vAlign w:val="center"/>
                </w:tcPr>
                <w:p w14:paraId="202C86AB">
                  <w:pPr>
                    <w:jc w:val="center"/>
                    <w:rPr>
                      <w:bCs/>
                      <w:color w:val="auto"/>
                      <w:sz w:val="18"/>
                      <w:szCs w:val="18"/>
                    </w:rPr>
                  </w:pPr>
                  <w:r>
                    <w:rPr>
                      <w:rFonts w:hint="eastAsia"/>
                      <w:bCs/>
                      <w:color w:val="auto"/>
                      <w:sz w:val="18"/>
                      <w:szCs w:val="18"/>
                    </w:rPr>
                    <w:t>依托可行性</w:t>
                  </w:r>
                </w:p>
              </w:tc>
            </w:tr>
            <w:tr w14:paraId="71B5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00" w:type="dxa"/>
                  <w:tcBorders>
                    <w:top w:val="single" w:color="auto" w:sz="4" w:space="0"/>
                    <w:left w:val="single" w:color="auto" w:sz="4" w:space="0"/>
                    <w:right w:val="single" w:color="auto" w:sz="4" w:space="0"/>
                  </w:tcBorders>
                  <w:noWrap w:val="0"/>
                  <w:vAlign w:val="center"/>
                </w:tcPr>
                <w:p w14:paraId="794B6863">
                  <w:pPr>
                    <w:jc w:val="center"/>
                    <w:rPr>
                      <w:rFonts w:hint="eastAsia"/>
                      <w:color w:val="auto"/>
                      <w:sz w:val="18"/>
                      <w:szCs w:val="18"/>
                    </w:rPr>
                  </w:pPr>
                  <w:r>
                    <w:rPr>
                      <w:rFonts w:hint="eastAsia"/>
                      <w:color w:val="auto"/>
                      <w:sz w:val="18"/>
                      <w:szCs w:val="18"/>
                    </w:rPr>
                    <w:t>主体工程</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15B35196">
                  <w:pPr>
                    <w:jc w:val="center"/>
                    <w:rPr>
                      <w:bCs/>
                      <w:color w:val="auto"/>
                      <w:sz w:val="18"/>
                      <w:szCs w:val="18"/>
                    </w:rPr>
                  </w:pPr>
                  <w:r>
                    <w:rPr>
                      <w:rFonts w:hint="eastAsia"/>
                      <w:color w:val="auto"/>
                      <w:sz w:val="18"/>
                      <w:szCs w:val="18"/>
                    </w:rPr>
                    <w:t>生产区</w:t>
                  </w:r>
                </w:p>
              </w:tc>
              <w:tc>
                <w:tcPr>
                  <w:tcW w:w="2307" w:type="dxa"/>
                  <w:tcBorders>
                    <w:top w:val="single" w:color="000000" w:sz="6" w:space="0"/>
                    <w:left w:val="single" w:color="000000" w:sz="6" w:space="0"/>
                    <w:right w:val="single" w:color="000000" w:sz="2" w:space="0"/>
                  </w:tcBorders>
                  <w:noWrap w:val="0"/>
                  <w:vAlign w:val="center"/>
                </w:tcPr>
                <w:p w14:paraId="7AC6E815">
                  <w:pPr>
                    <w:jc w:val="center"/>
                    <w:rPr>
                      <w:bCs/>
                      <w:color w:val="auto"/>
                      <w:sz w:val="18"/>
                      <w:szCs w:val="18"/>
                    </w:rPr>
                  </w:pPr>
                  <w:r>
                    <w:rPr>
                      <w:rFonts w:hint="eastAsia"/>
                      <w:bCs/>
                      <w:color w:val="auto"/>
                      <w:sz w:val="18"/>
                      <w:szCs w:val="18"/>
                    </w:rPr>
                    <w:t>现有厂房</w:t>
                  </w:r>
                  <w:r>
                    <w:rPr>
                      <w:bCs/>
                      <w:color w:val="auto"/>
                      <w:sz w:val="18"/>
                      <w:szCs w:val="18"/>
                    </w:rPr>
                    <w:t>建筑面积为</w:t>
                  </w:r>
                  <w:r>
                    <w:rPr>
                      <w:rFonts w:hint="eastAsia"/>
                      <w:bCs/>
                      <w:color w:val="auto"/>
                      <w:sz w:val="18"/>
                      <w:szCs w:val="18"/>
                      <w:lang w:val="en-US" w:eastAsia="zh-CN"/>
                    </w:rPr>
                    <w:t>1</w:t>
                  </w:r>
                  <w:r>
                    <w:rPr>
                      <w:rFonts w:hint="eastAsia"/>
                      <w:bCs/>
                      <w:color w:val="auto"/>
                      <w:sz w:val="18"/>
                      <w:szCs w:val="18"/>
                      <w:lang w:val="en-US" w:eastAsia="zh-CN"/>
                    </w:rPr>
                    <w:t>8</w:t>
                  </w:r>
                  <w:r>
                    <w:rPr>
                      <w:rFonts w:hint="eastAsia"/>
                      <w:bCs/>
                      <w:color w:val="auto"/>
                      <w:sz w:val="18"/>
                      <w:szCs w:val="18"/>
                      <w:lang w:val="en-US" w:eastAsia="zh-CN"/>
                    </w:rPr>
                    <w:t>440</w:t>
                  </w:r>
                  <w:r>
                    <w:rPr>
                      <w:bCs/>
                      <w:color w:val="auto"/>
                      <w:sz w:val="18"/>
                      <w:szCs w:val="18"/>
                    </w:rPr>
                    <w:t>m</w:t>
                  </w:r>
                  <w:r>
                    <w:rPr>
                      <w:bCs/>
                      <w:color w:val="auto"/>
                      <w:sz w:val="18"/>
                      <w:szCs w:val="18"/>
                      <w:vertAlign w:val="superscript"/>
                    </w:rPr>
                    <w:t>2</w:t>
                  </w:r>
                  <w:r>
                    <w:rPr>
                      <w:bCs/>
                      <w:color w:val="auto"/>
                      <w:sz w:val="18"/>
                      <w:szCs w:val="18"/>
                    </w:rPr>
                    <w:t>，</w:t>
                  </w:r>
                  <w:r>
                    <w:rPr>
                      <w:rFonts w:hint="eastAsia"/>
                      <w:bCs/>
                      <w:color w:val="auto"/>
                      <w:sz w:val="18"/>
                      <w:szCs w:val="18"/>
                    </w:rPr>
                    <w:t>生产区、</w:t>
                  </w:r>
                  <w:r>
                    <w:rPr>
                      <w:rFonts w:hint="eastAsia"/>
                      <w:bCs/>
                      <w:color w:val="auto"/>
                      <w:sz w:val="18"/>
                      <w:szCs w:val="18"/>
                      <w:lang w:val="en-US" w:eastAsia="zh-CN"/>
                    </w:rPr>
                    <w:t>成品库均位于</w:t>
                  </w:r>
                  <w:r>
                    <w:rPr>
                      <w:rFonts w:hint="eastAsia"/>
                      <w:bCs/>
                      <w:color w:val="auto"/>
                      <w:sz w:val="18"/>
                      <w:szCs w:val="18"/>
                    </w:rPr>
                    <w:t>厂房内</w:t>
                  </w:r>
                </w:p>
              </w:tc>
              <w:tc>
                <w:tcPr>
                  <w:tcW w:w="2109" w:type="dxa"/>
                  <w:tcBorders>
                    <w:top w:val="single" w:color="000000" w:sz="6" w:space="0"/>
                    <w:left w:val="single" w:color="000000" w:sz="6" w:space="0"/>
                    <w:right w:val="single" w:color="000000" w:sz="2" w:space="0"/>
                  </w:tcBorders>
                  <w:noWrap w:val="0"/>
                  <w:vAlign w:val="center"/>
                </w:tcPr>
                <w:p w14:paraId="55E42AD4">
                  <w:pPr>
                    <w:jc w:val="center"/>
                    <w:rPr>
                      <w:rFonts w:hint="default" w:eastAsia="宋体"/>
                      <w:bCs/>
                      <w:color w:val="auto"/>
                      <w:sz w:val="18"/>
                      <w:szCs w:val="18"/>
                      <w:lang w:val="en-US" w:eastAsia="zh-CN"/>
                    </w:rPr>
                  </w:pPr>
                  <w:r>
                    <w:rPr>
                      <w:rFonts w:hint="eastAsia"/>
                      <w:bCs/>
                      <w:color w:val="auto"/>
                      <w:sz w:val="18"/>
                      <w:szCs w:val="18"/>
                    </w:rPr>
                    <w:t>本工程依托现有厂房，进行</w:t>
                  </w:r>
                  <w:r>
                    <w:rPr>
                      <w:rFonts w:hint="eastAsia"/>
                      <w:bCs/>
                      <w:color w:val="auto"/>
                      <w:sz w:val="18"/>
                      <w:szCs w:val="18"/>
                      <w:lang w:val="en-US" w:eastAsia="zh-CN"/>
                    </w:rPr>
                    <w:t>熔窑</w:t>
                  </w:r>
                  <w:r>
                    <w:rPr>
                      <w:rFonts w:hint="eastAsia"/>
                      <w:bCs/>
                      <w:color w:val="auto"/>
                      <w:sz w:val="18"/>
                      <w:szCs w:val="18"/>
                    </w:rPr>
                    <w:t>替换</w:t>
                  </w:r>
                  <w:r>
                    <w:rPr>
                      <w:rFonts w:hint="eastAsia"/>
                      <w:bCs/>
                      <w:color w:val="auto"/>
                      <w:sz w:val="18"/>
                      <w:szCs w:val="18"/>
                      <w:lang w:val="en-US" w:eastAsia="zh-CN"/>
                    </w:rPr>
                    <w:t>和成型生产线新增设备安装，成品库新建</w:t>
                  </w:r>
                </w:p>
              </w:tc>
              <w:tc>
                <w:tcPr>
                  <w:tcW w:w="1540" w:type="dxa"/>
                  <w:tcBorders>
                    <w:top w:val="single" w:color="auto" w:sz="4" w:space="0"/>
                    <w:left w:val="single" w:color="auto" w:sz="4" w:space="0"/>
                    <w:right w:val="single" w:color="auto" w:sz="4" w:space="0"/>
                  </w:tcBorders>
                  <w:noWrap w:val="0"/>
                  <w:vAlign w:val="center"/>
                </w:tcPr>
                <w:p w14:paraId="24DE72C3">
                  <w:pPr>
                    <w:jc w:val="center"/>
                    <w:rPr>
                      <w:rFonts w:hint="eastAsia" w:eastAsia="宋体"/>
                      <w:bCs/>
                      <w:color w:val="auto"/>
                      <w:sz w:val="18"/>
                      <w:szCs w:val="18"/>
                      <w:lang w:eastAsia="zh-CN"/>
                    </w:rPr>
                  </w:pPr>
                  <w:r>
                    <w:rPr>
                      <w:rFonts w:hint="eastAsia"/>
                      <w:bCs/>
                      <w:color w:val="auto"/>
                      <w:sz w:val="18"/>
                      <w:szCs w:val="18"/>
                    </w:rPr>
                    <w:t>厂房改造后符合本工程生产</w:t>
                  </w:r>
                  <w:r>
                    <w:rPr>
                      <w:rFonts w:hint="eastAsia"/>
                      <w:bCs/>
                      <w:color w:val="auto"/>
                      <w:sz w:val="18"/>
                      <w:szCs w:val="18"/>
                      <w:lang w:val="en-US" w:eastAsia="zh-CN"/>
                    </w:rPr>
                    <w:t>要求</w:t>
                  </w:r>
                </w:p>
              </w:tc>
            </w:tr>
            <w:tr w14:paraId="5B47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restart"/>
                  <w:tcBorders>
                    <w:top w:val="single" w:color="auto" w:sz="4" w:space="0"/>
                    <w:left w:val="single" w:color="auto" w:sz="4" w:space="0"/>
                    <w:right w:val="single" w:color="auto" w:sz="4" w:space="0"/>
                  </w:tcBorders>
                  <w:noWrap w:val="0"/>
                  <w:vAlign w:val="center"/>
                </w:tcPr>
                <w:p w14:paraId="2E130837">
                  <w:pPr>
                    <w:jc w:val="center"/>
                    <w:rPr>
                      <w:rFonts w:hint="eastAsia"/>
                      <w:color w:val="auto"/>
                      <w:sz w:val="18"/>
                      <w:szCs w:val="18"/>
                    </w:rPr>
                  </w:pPr>
                  <w:r>
                    <w:rPr>
                      <w:rFonts w:hint="eastAsia"/>
                      <w:color w:val="auto"/>
                      <w:sz w:val="18"/>
                      <w:szCs w:val="18"/>
                    </w:rPr>
                    <w:t>储运工程</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45823B01">
                  <w:pPr>
                    <w:jc w:val="center"/>
                    <w:rPr>
                      <w:rFonts w:hint="eastAsia" w:eastAsia="宋体"/>
                      <w:color w:val="auto"/>
                      <w:sz w:val="18"/>
                      <w:szCs w:val="18"/>
                      <w:lang w:eastAsia="zh-CN"/>
                    </w:rPr>
                  </w:pPr>
                  <w:r>
                    <w:rPr>
                      <w:rFonts w:hint="eastAsia"/>
                      <w:color w:val="auto"/>
                      <w:sz w:val="18"/>
                      <w:szCs w:val="18"/>
                      <w:lang w:val="en-US" w:eastAsia="zh-CN"/>
                    </w:rPr>
                    <w:t>原料库</w:t>
                  </w:r>
                </w:p>
              </w:tc>
              <w:tc>
                <w:tcPr>
                  <w:tcW w:w="2307" w:type="dxa"/>
                  <w:tcBorders>
                    <w:left w:val="single" w:color="000000" w:sz="6" w:space="0"/>
                    <w:right w:val="single" w:color="000000" w:sz="2" w:space="0"/>
                  </w:tcBorders>
                  <w:noWrap w:val="0"/>
                  <w:vAlign w:val="center"/>
                </w:tcPr>
                <w:p w14:paraId="25169567">
                  <w:pPr>
                    <w:jc w:val="center"/>
                    <w:rPr>
                      <w:rFonts w:hint="eastAsia"/>
                      <w:bCs/>
                      <w:color w:val="auto"/>
                      <w:sz w:val="18"/>
                      <w:szCs w:val="18"/>
                    </w:rPr>
                  </w:pPr>
                  <w:r>
                    <w:rPr>
                      <w:color w:val="auto"/>
                      <w:sz w:val="18"/>
                      <w:szCs w:val="18"/>
                      <w:lang w:val="en-US" w:eastAsia="zh-CN"/>
                    </w:rPr>
                    <w:t>位于</w:t>
                  </w:r>
                  <w:r>
                    <w:rPr>
                      <w:rFonts w:hint="eastAsia"/>
                      <w:color w:val="auto"/>
                      <w:sz w:val="18"/>
                      <w:szCs w:val="18"/>
                      <w:lang w:val="en-US" w:eastAsia="zh-CN"/>
                    </w:rPr>
                    <w:t>厂区西南</w:t>
                  </w:r>
                  <w:r>
                    <w:rPr>
                      <w:color w:val="auto"/>
                      <w:sz w:val="18"/>
                      <w:szCs w:val="18"/>
                      <w:lang w:val="en-US" w:eastAsia="zh-CN"/>
                    </w:rPr>
                    <w:t>部，用于</w:t>
                  </w:r>
                  <w:r>
                    <w:rPr>
                      <w:rFonts w:hint="eastAsia"/>
                      <w:color w:val="auto"/>
                      <w:sz w:val="18"/>
                      <w:szCs w:val="18"/>
                      <w:lang w:val="en-US" w:eastAsia="zh-CN"/>
                    </w:rPr>
                    <w:t>分区暂存石英砂、纯碱、长石、方解石、硼砂、澄清剂等</w:t>
                  </w:r>
                  <w:r>
                    <w:rPr>
                      <w:color w:val="auto"/>
                      <w:sz w:val="18"/>
                      <w:szCs w:val="18"/>
                      <w:lang w:val="en-US" w:eastAsia="zh-CN"/>
                    </w:rPr>
                    <w:t>原辅料等，建筑面积10</w:t>
                  </w:r>
                  <w:r>
                    <w:rPr>
                      <w:rFonts w:hint="eastAsia"/>
                      <w:color w:val="auto"/>
                      <w:sz w:val="18"/>
                      <w:szCs w:val="18"/>
                      <w:lang w:val="en-US" w:eastAsia="zh-CN"/>
                    </w:rPr>
                    <w:t>976</w:t>
                  </w:r>
                  <w:r>
                    <w:rPr>
                      <w:color w:val="auto"/>
                      <w:sz w:val="18"/>
                      <w:szCs w:val="18"/>
                      <w:lang w:val="en-US" w:eastAsia="zh-CN"/>
                    </w:rPr>
                    <w:t>m</w:t>
                  </w:r>
                  <w:r>
                    <w:rPr>
                      <w:color w:val="auto"/>
                      <w:sz w:val="18"/>
                      <w:szCs w:val="18"/>
                      <w:vertAlign w:val="superscript"/>
                      <w:lang w:val="en-US" w:eastAsia="zh-CN"/>
                    </w:rPr>
                    <w:t>2</w:t>
                  </w:r>
                </w:p>
              </w:tc>
              <w:tc>
                <w:tcPr>
                  <w:tcW w:w="2109" w:type="dxa"/>
                  <w:tcBorders>
                    <w:left w:val="single" w:color="000000" w:sz="6" w:space="0"/>
                    <w:right w:val="single" w:color="000000" w:sz="2" w:space="0"/>
                  </w:tcBorders>
                  <w:noWrap w:val="0"/>
                  <w:vAlign w:val="center"/>
                </w:tcPr>
                <w:p w14:paraId="6D06DC69">
                  <w:pPr>
                    <w:jc w:val="center"/>
                    <w:rPr>
                      <w:rFonts w:hint="default" w:eastAsia="宋体"/>
                      <w:bCs/>
                      <w:color w:val="auto"/>
                      <w:sz w:val="18"/>
                      <w:szCs w:val="18"/>
                      <w:lang w:val="en-US" w:eastAsia="zh-CN"/>
                    </w:rPr>
                  </w:pPr>
                  <w:r>
                    <w:rPr>
                      <w:rFonts w:hint="eastAsia"/>
                      <w:bCs/>
                      <w:color w:val="auto"/>
                      <w:sz w:val="18"/>
                      <w:szCs w:val="18"/>
                      <w:lang w:val="en-US" w:eastAsia="zh-CN"/>
                    </w:rPr>
                    <w:t>本次技改利用现有原料库</w:t>
                  </w:r>
                </w:p>
              </w:tc>
              <w:tc>
                <w:tcPr>
                  <w:tcW w:w="1540" w:type="dxa"/>
                  <w:tcBorders>
                    <w:left w:val="single" w:color="auto" w:sz="4" w:space="0"/>
                    <w:right w:val="single" w:color="auto" w:sz="4" w:space="0"/>
                  </w:tcBorders>
                  <w:noWrap w:val="0"/>
                  <w:vAlign w:val="center"/>
                </w:tcPr>
                <w:p w14:paraId="04E58795">
                  <w:pPr>
                    <w:jc w:val="center"/>
                    <w:rPr>
                      <w:rFonts w:hint="default"/>
                      <w:bCs/>
                      <w:color w:val="auto"/>
                      <w:sz w:val="18"/>
                      <w:szCs w:val="18"/>
                      <w:lang w:val="en-US"/>
                    </w:rPr>
                  </w:pPr>
                  <w:r>
                    <w:rPr>
                      <w:rFonts w:hint="eastAsia"/>
                      <w:bCs/>
                      <w:color w:val="auto"/>
                      <w:sz w:val="18"/>
                      <w:szCs w:val="18"/>
                      <w:lang w:val="en-US" w:eastAsia="zh-CN"/>
                    </w:rPr>
                    <w:t>原料种类不发生变化，用量增加，现有原料库库容能够满足原料暂存要求</w:t>
                  </w:r>
                </w:p>
              </w:tc>
            </w:tr>
            <w:tr w14:paraId="5477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tcBorders>
                    <w:left w:val="single" w:color="auto" w:sz="4" w:space="0"/>
                    <w:right w:val="single" w:color="auto" w:sz="4" w:space="0"/>
                  </w:tcBorders>
                  <w:noWrap w:val="0"/>
                  <w:vAlign w:val="center"/>
                </w:tcPr>
                <w:p w14:paraId="6F1B252E">
                  <w:pPr>
                    <w:jc w:val="center"/>
                    <w:rPr>
                      <w:rFonts w:hint="eastAsia"/>
                      <w:color w:val="auto"/>
                      <w:sz w:val="18"/>
                      <w:szCs w:val="18"/>
                    </w:rPr>
                  </w:pPr>
                </w:p>
              </w:tc>
              <w:tc>
                <w:tcPr>
                  <w:tcW w:w="1279" w:type="dxa"/>
                  <w:tcBorders>
                    <w:top w:val="single" w:color="auto" w:sz="4" w:space="0"/>
                    <w:left w:val="single" w:color="auto" w:sz="4" w:space="0"/>
                    <w:bottom w:val="single" w:color="auto" w:sz="4" w:space="0"/>
                    <w:right w:val="single" w:color="auto" w:sz="4" w:space="0"/>
                  </w:tcBorders>
                  <w:noWrap w:val="0"/>
                  <w:vAlign w:val="center"/>
                </w:tcPr>
                <w:p w14:paraId="2F66C0BB">
                  <w:pPr>
                    <w:pStyle w:val="73"/>
                    <w:ind w:left="0" w:leftChars="0" w:firstLine="0" w:firstLineChars="0"/>
                    <w:jc w:val="both"/>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气瓶暂存区</w:t>
                  </w:r>
                </w:p>
              </w:tc>
              <w:tc>
                <w:tcPr>
                  <w:tcW w:w="2307" w:type="dxa"/>
                  <w:tcBorders>
                    <w:left w:val="single" w:color="000000" w:sz="6" w:space="0"/>
                    <w:right w:val="single" w:color="000000" w:sz="2" w:space="0"/>
                  </w:tcBorders>
                  <w:noWrap w:val="0"/>
                  <w:vAlign w:val="center"/>
                </w:tcPr>
                <w:p w14:paraId="1CB38652">
                  <w:pPr>
                    <w:pStyle w:val="73"/>
                    <w:ind w:left="0" w:leftChars="0" w:firstLine="0" w:firstLineChars="0"/>
                    <w:jc w:val="both"/>
                    <w:rPr>
                      <w:color w:val="auto"/>
                      <w:sz w:val="18"/>
                      <w:szCs w:val="18"/>
                      <w:lang w:val="en-US" w:eastAsia="zh-CN"/>
                    </w:rPr>
                  </w:pPr>
                  <w:r>
                    <w:rPr>
                      <w:rFonts w:hint="eastAsia" w:ascii="Times New Roman" w:hAnsi="Times New Roman" w:eastAsia="宋体" w:cs="Times New Roman"/>
                      <w:color w:val="auto"/>
                      <w:sz w:val="18"/>
                      <w:szCs w:val="18"/>
                      <w:lang w:val="en-US" w:eastAsia="zh-CN"/>
                    </w:rPr>
                    <w:t>位于</w:t>
                  </w:r>
                  <w:r>
                    <w:rPr>
                      <w:rFonts w:ascii="Times New Roman" w:hAnsi="Times New Roman" w:eastAsia="宋体" w:cs="Times New Roman"/>
                      <w:color w:val="auto"/>
                      <w:sz w:val="18"/>
                      <w:szCs w:val="18"/>
                      <w:lang w:val="en-US" w:eastAsia="zh-CN"/>
                    </w:rPr>
                    <w:t>厂区</w:t>
                  </w:r>
                  <w:r>
                    <w:rPr>
                      <w:rFonts w:hint="eastAsia" w:ascii="Times New Roman" w:hAnsi="Times New Roman" w:eastAsia="宋体" w:cs="Times New Roman"/>
                      <w:color w:val="auto"/>
                      <w:sz w:val="18"/>
                      <w:szCs w:val="18"/>
                      <w:lang w:val="en-US" w:eastAsia="zh-CN"/>
                    </w:rPr>
                    <w:t>生产车间正南侧中间，暂存30个LPG气瓶（50kg/瓶）。</w:t>
                  </w:r>
                </w:p>
              </w:tc>
              <w:tc>
                <w:tcPr>
                  <w:tcW w:w="2109" w:type="dxa"/>
                  <w:tcBorders>
                    <w:left w:val="single" w:color="000000" w:sz="6" w:space="0"/>
                    <w:right w:val="single" w:color="000000" w:sz="2" w:space="0"/>
                  </w:tcBorders>
                  <w:noWrap w:val="0"/>
                  <w:vAlign w:val="center"/>
                </w:tcPr>
                <w:p w14:paraId="5842F745">
                  <w:pPr>
                    <w:jc w:val="center"/>
                    <w:rPr>
                      <w:rFonts w:hint="default"/>
                      <w:bCs/>
                      <w:color w:val="auto"/>
                      <w:sz w:val="18"/>
                      <w:szCs w:val="18"/>
                      <w:lang w:val="en-US" w:eastAsia="zh-CN"/>
                    </w:rPr>
                  </w:pPr>
                  <w:r>
                    <w:rPr>
                      <w:rFonts w:hint="eastAsia"/>
                      <w:bCs/>
                      <w:color w:val="auto"/>
                      <w:sz w:val="18"/>
                      <w:szCs w:val="18"/>
                      <w:lang w:val="en-US" w:eastAsia="zh-CN"/>
                    </w:rPr>
                    <w:t>利用现有作为成型工序备用燃料，不增加气瓶暂存量</w:t>
                  </w:r>
                </w:p>
              </w:tc>
              <w:tc>
                <w:tcPr>
                  <w:tcW w:w="1540" w:type="dxa"/>
                  <w:tcBorders>
                    <w:left w:val="single" w:color="auto" w:sz="4" w:space="0"/>
                    <w:right w:val="single" w:color="auto" w:sz="4" w:space="0"/>
                  </w:tcBorders>
                  <w:noWrap w:val="0"/>
                  <w:vAlign w:val="center"/>
                </w:tcPr>
                <w:p w14:paraId="02B5AB39">
                  <w:pPr>
                    <w:jc w:val="center"/>
                    <w:rPr>
                      <w:rFonts w:hint="default" w:eastAsia="宋体"/>
                      <w:bCs/>
                      <w:color w:val="auto"/>
                      <w:sz w:val="18"/>
                      <w:szCs w:val="18"/>
                      <w:lang w:val="en-US" w:eastAsia="zh-CN"/>
                    </w:rPr>
                  </w:pPr>
                  <w:r>
                    <w:rPr>
                      <w:rFonts w:hint="eastAsia"/>
                      <w:bCs/>
                      <w:color w:val="auto"/>
                      <w:sz w:val="18"/>
                      <w:szCs w:val="18"/>
                      <w:lang w:val="en-US" w:eastAsia="zh-CN"/>
                    </w:rPr>
                    <w:t>满足依托可行性</w:t>
                  </w:r>
                </w:p>
              </w:tc>
            </w:tr>
            <w:tr w14:paraId="0576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tcBorders>
                    <w:left w:val="single" w:color="auto" w:sz="4" w:space="0"/>
                    <w:bottom w:val="single" w:color="auto" w:sz="4" w:space="0"/>
                    <w:right w:val="single" w:color="auto" w:sz="4" w:space="0"/>
                  </w:tcBorders>
                  <w:noWrap w:val="0"/>
                  <w:vAlign w:val="center"/>
                </w:tcPr>
                <w:p w14:paraId="5B285C5F">
                  <w:pPr>
                    <w:jc w:val="center"/>
                    <w:rPr>
                      <w:rFonts w:hint="eastAsia"/>
                      <w:color w:val="auto"/>
                      <w:sz w:val="18"/>
                      <w:szCs w:val="18"/>
                    </w:rPr>
                  </w:pPr>
                </w:p>
              </w:tc>
              <w:tc>
                <w:tcPr>
                  <w:tcW w:w="1279" w:type="dxa"/>
                  <w:tcBorders>
                    <w:top w:val="single" w:color="auto" w:sz="4" w:space="0"/>
                    <w:left w:val="single" w:color="auto" w:sz="4" w:space="0"/>
                    <w:bottom w:val="single" w:color="auto" w:sz="4" w:space="0"/>
                    <w:right w:val="single" w:color="auto" w:sz="4" w:space="0"/>
                  </w:tcBorders>
                  <w:noWrap w:val="0"/>
                  <w:vAlign w:val="center"/>
                </w:tcPr>
                <w:p w14:paraId="486B53D8">
                  <w:pPr>
                    <w:pStyle w:val="73"/>
                    <w:ind w:left="0" w:leftChars="0" w:firstLine="0" w:firstLineChars="0"/>
                    <w:jc w:val="both"/>
                    <w:rPr>
                      <w:rFonts w:hint="eastAsia"/>
                      <w:color w:val="auto"/>
                      <w:sz w:val="18"/>
                      <w:szCs w:val="18"/>
                      <w:lang w:val="en-US" w:eastAsia="zh-CN"/>
                    </w:rPr>
                  </w:pPr>
                  <w:r>
                    <w:rPr>
                      <w:rFonts w:hint="eastAsia"/>
                      <w:color w:val="auto"/>
                      <w:sz w:val="18"/>
                      <w:szCs w:val="18"/>
                      <w:lang w:val="en-US" w:eastAsia="zh-CN"/>
                    </w:rPr>
                    <w:t>储罐区</w:t>
                  </w:r>
                </w:p>
              </w:tc>
              <w:tc>
                <w:tcPr>
                  <w:tcW w:w="2307" w:type="dxa"/>
                  <w:tcBorders>
                    <w:left w:val="single" w:color="000000" w:sz="6" w:space="0"/>
                    <w:right w:val="single" w:color="000000" w:sz="2" w:space="0"/>
                  </w:tcBorders>
                  <w:noWrap w:val="0"/>
                  <w:vAlign w:val="center"/>
                </w:tcPr>
                <w:p w14:paraId="025520F3">
                  <w:pPr>
                    <w:pStyle w:val="73"/>
                    <w:ind w:left="0" w:leftChars="0" w:firstLine="0" w:firstLineChars="0"/>
                    <w:jc w:val="left"/>
                    <w:rPr>
                      <w:color w:val="auto"/>
                      <w:sz w:val="18"/>
                      <w:szCs w:val="18"/>
                      <w:lang w:val="en-US" w:eastAsia="zh-CN"/>
                    </w:rPr>
                  </w:pPr>
                  <w:r>
                    <w:rPr>
                      <w:rFonts w:hint="eastAsia" w:ascii="Times New Roman" w:hAnsi="Times New Roman" w:eastAsia="宋体" w:cs="Times New Roman"/>
                      <w:color w:val="auto"/>
                      <w:sz w:val="18"/>
                      <w:szCs w:val="18"/>
                      <w:lang w:val="en-US" w:eastAsia="zh-CN"/>
                    </w:rPr>
                    <w:t>位于厂区西北角。设有2个LNG液化气储罐（20m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、30m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），作为该项目备用燃料；1个50m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液氧储罐，作为助燃。脱硝剂氨水储罐2个位于车间南侧（正中间），规格25立方</w:t>
                  </w:r>
                  <w:r>
                    <w:rPr>
                      <w:rFonts w:hint="eastAsia" w:ascii="Times New Roman" w:hAnsi="Times New Roman" w:cs="Times New Roman"/>
                      <w:color w:val="auto"/>
                      <w:sz w:val="18"/>
                      <w:szCs w:val="18"/>
                      <w:lang w:val="en-US" w:eastAsia="zh-CN"/>
                    </w:rPr>
                    <w:t>。</w:t>
                  </w:r>
                </w:p>
              </w:tc>
              <w:tc>
                <w:tcPr>
                  <w:tcW w:w="2109" w:type="dxa"/>
                  <w:tcBorders>
                    <w:left w:val="single" w:color="000000" w:sz="6" w:space="0"/>
                    <w:right w:val="single" w:color="000000" w:sz="2" w:space="0"/>
                  </w:tcBorders>
                  <w:noWrap w:val="0"/>
                  <w:vAlign w:val="center"/>
                </w:tcPr>
                <w:p w14:paraId="009A4F64">
                  <w:pPr>
                    <w:jc w:val="center"/>
                    <w:rPr>
                      <w:rFonts w:hint="default"/>
                      <w:bCs/>
                      <w:color w:val="auto"/>
                      <w:sz w:val="18"/>
                      <w:szCs w:val="18"/>
                      <w:lang w:val="en-US" w:eastAsia="zh-CN"/>
                    </w:rPr>
                  </w:pPr>
                  <w:r>
                    <w:rPr>
                      <w:rFonts w:hint="eastAsia"/>
                      <w:bCs/>
                      <w:color w:val="auto"/>
                      <w:sz w:val="18"/>
                      <w:szCs w:val="18"/>
                      <w:lang w:val="en-US" w:eastAsia="zh-CN"/>
                    </w:rPr>
                    <w:t>燃料作为熔窑备用燃料，氨水作为脱销装置还原剂，一用一备，配套现有脱硝设备使用</w:t>
                  </w:r>
                </w:p>
              </w:tc>
              <w:tc>
                <w:tcPr>
                  <w:tcW w:w="1540" w:type="dxa"/>
                  <w:tcBorders>
                    <w:left w:val="single" w:color="auto" w:sz="4" w:space="0"/>
                    <w:right w:val="single" w:color="auto" w:sz="4" w:space="0"/>
                  </w:tcBorders>
                  <w:noWrap w:val="0"/>
                  <w:vAlign w:val="center"/>
                </w:tcPr>
                <w:p w14:paraId="6574C473">
                  <w:pPr>
                    <w:jc w:val="center"/>
                    <w:rPr>
                      <w:rFonts w:hint="default" w:eastAsia="宋体"/>
                      <w:bCs/>
                      <w:color w:val="auto"/>
                      <w:sz w:val="18"/>
                      <w:szCs w:val="18"/>
                      <w:lang w:val="en-US" w:eastAsia="zh-CN"/>
                    </w:rPr>
                  </w:pPr>
                  <w:r>
                    <w:rPr>
                      <w:rFonts w:hint="eastAsia"/>
                      <w:bCs/>
                      <w:color w:val="auto"/>
                      <w:sz w:val="18"/>
                      <w:szCs w:val="18"/>
                      <w:lang w:val="en-US" w:eastAsia="zh-CN"/>
                    </w:rPr>
                    <w:t>燃料</w:t>
                  </w:r>
                  <w:r>
                    <w:rPr>
                      <w:rFonts w:hint="eastAsia"/>
                      <w:bCs/>
                      <w:color w:val="auto"/>
                      <w:sz w:val="18"/>
                      <w:szCs w:val="18"/>
                    </w:rPr>
                    <w:t>满足</w:t>
                  </w:r>
                  <w:r>
                    <w:rPr>
                      <w:rFonts w:hint="eastAsia"/>
                      <w:bCs/>
                      <w:color w:val="auto"/>
                      <w:sz w:val="18"/>
                      <w:szCs w:val="18"/>
                      <w:lang w:val="en-US" w:eastAsia="zh-CN"/>
                    </w:rPr>
                    <w:t>原料备用</w:t>
                  </w:r>
                  <w:r>
                    <w:rPr>
                      <w:rFonts w:hint="eastAsia"/>
                      <w:bCs/>
                      <w:color w:val="auto"/>
                      <w:sz w:val="18"/>
                      <w:szCs w:val="18"/>
                    </w:rPr>
                    <w:t>需求</w:t>
                  </w:r>
                  <w:r>
                    <w:rPr>
                      <w:rFonts w:hint="eastAsia"/>
                      <w:bCs/>
                      <w:color w:val="auto"/>
                      <w:sz w:val="18"/>
                      <w:szCs w:val="18"/>
                      <w:lang w:eastAsia="zh-CN"/>
                    </w:rPr>
                    <w:t>、</w:t>
                  </w:r>
                  <w:r>
                    <w:rPr>
                      <w:rFonts w:hint="eastAsia"/>
                      <w:bCs/>
                      <w:color w:val="auto"/>
                      <w:sz w:val="18"/>
                      <w:szCs w:val="18"/>
                      <w:lang w:val="en-US" w:eastAsia="zh-CN"/>
                    </w:rPr>
                    <w:t>还原剂满足脱硝要求</w:t>
                  </w:r>
                </w:p>
              </w:tc>
            </w:tr>
            <w:tr w14:paraId="4E0C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340090C5">
                  <w:pPr>
                    <w:jc w:val="center"/>
                    <w:rPr>
                      <w:rFonts w:hint="eastAsia"/>
                      <w:color w:val="auto"/>
                      <w:sz w:val="18"/>
                      <w:szCs w:val="18"/>
                    </w:rPr>
                  </w:pPr>
                  <w:r>
                    <w:rPr>
                      <w:rFonts w:hint="eastAsia"/>
                      <w:color w:val="auto"/>
                      <w:sz w:val="18"/>
                      <w:szCs w:val="18"/>
                    </w:rPr>
                    <w:t>辅助工程</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71B891DC">
                  <w:pPr>
                    <w:jc w:val="center"/>
                    <w:rPr>
                      <w:rFonts w:hint="eastAsia"/>
                      <w:color w:val="auto"/>
                      <w:sz w:val="18"/>
                      <w:szCs w:val="18"/>
                    </w:rPr>
                  </w:pPr>
                  <w:r>
                    <w:rPr>
                      <w:rFonts w:hint="eastAsia"/>
                      <w:color w:val="auto"/>
                      <w:sz w:val="18"/>
                      <w:szCs w:val="18"/>
                    </w:rPr>
                    <w:t>办公楼、宿舍、食堂</w:t>
                  </w:r>
                </w:p>
              </w:tc>
              <w:tc>
                <w:tcPr>
                  <w:tcW w:w="2307" w:type="dxa"/>
                  <w:tcBorders>
                    <w:left w:val="single" w:color="000000" w:sz="6" w:space="0"/>
                    <w:right w:val="single" w:color="000000" w:sz="2" w:space="0"/>
                  </w:tcBorders>
                  <w:noWrap w:val="0"/>
                  <w:vAlign w:val="center"/>
                </w:tcPr>
                <w:p w14:paraId="397A9803">
                  <w:pPr>
                    <w:jc w:val="center"/>
                    <w:rPr>
                      <w:rFonts w:hint="eastAsia"/>
                      <w:bCs/>
                      <w:color w:val="auto"/>
                      <w:sz w:val="18"/>
                      <w:szCs w:val="18"/>
                    </w:rPr>
                  </w:pPr>
                  <w:r>
                    <w:rPr>
                      <w:rFonts w:hint="eastAsia"/>
                      <w:bCs/>
                      <w:color w:val="auto"/>
                      <w:sz w:val="18"/>
                      <w:szCs w:val="18"/>
                    </w:rPr>
                    <w:t>厂区办公楼、宿舍、食堂均已建成</w:t>
                  </w:r>
                </w:p>
              </w:tc>
              <w:tc>
                <w:tcPr>
                  <w:tcW w:w="2109" w:type="dxa"/>
                  <w:tcBorders>
                    <w:left w:val="single" w:color="000000" w:sz="6" w:space="0"/>
                    <w:right w:val="single" w:color="000000" w:sz="2" w:space="0"/>
                  </w:tcBorders>
                  <w:noWrap w:val="0"/>
                  <w:vAlign w:val="center"/>
                </w:tcPr>
                <w:p w14:paraId="47181D13">
                  <w:pPr>
                    <w:jc w:val="center"/>
                    <w:rPr>
                      <w:rFonts w:hint="eastAsia"/>
                      <w:bCs/>
                      <w:color w:val="auto"/>
                      <w:sz w:val="18"/>
                      <w:szCs w:val="18"/>
                    </w:rPr>
                  </w:pPr>
                  <w:r>
                    <w:rPr>
                      <w:rFonts w:hint="eastAsia"/>
                      <w:bCs/>
                      <w:color w:val="auto"/>
                      <w:sz w:val="18"/>
                      <w:szCs w:val="18"/>
                    </w:rPr>
                    <w:t>利用现有办公楼、宿舍、食堂</w:t>
                  </w:r>
                </w:p>
              </w:tc>
              <w:tc>
                <w:tcPr>
                  <w:tcW w:w="1540" w:type="dxa"/>
                  <w:tcBorders>
                    <w:left w:val="single" w:color="auto" w:sz="4" w:space="0"/>
                    <w:right w:val="single" w:color="auto" w:sz="4" w:space="0"/>
                  </w:tcBorders>
                  <w:noWrap w:val="0"/>
                  <w:vAlign w:val="center"/>
                </w:tcPr>
                <w:p w14:paraId="7B31D034">
                  <w:pPr>
                    <w:jc w:val="center"/>
                    <w:rPr>
                      <w:rFonts w:hint="eastAsia"/>
                      <w:bCs/>
                      <w:color w:val="auto"/>
                      <w:sz w:val="18"/>
                      <w:szCs w:val="18"/>
                    </w:rPr>
                  </w:pPr>
                  <w:r>
                    <w:rPr>
                      <w:rFonts w:hint="eastAsia"/>
                      <w:bCs/>
                      <w:color w:val="auto"/>
                      <w:sz w:val="18"/>
                      <w:szCs w:val="18"/>
                    </w:rPr>
                    <w:t>满足辅助要求</w:t>
                  </w:r>
                </w:p>
              </w:tc>
            </w:tr>
            <w:tr w14:paraId="5285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580F12C1">
                  <w:pPr>
                    <w:jc w:val="center"/>
                    <w:rPr>
                      <w:rFonts w:hint="eastAsia"/>
                      <w:color w:val="auto"/>
                      <w:sz w:val="18"/>
                      <w:szCs w:val="18"/>
                    </w:rPr>
                  </w:pPr>
                  <w:r>
                    <w:rPr>
                      <w:rFonts w:hint="eastAsia"/>
                      <w:color w:val="auto"/>
                      <w:sz w:val="18"/>
                      <w:szCs w:val="18"/>
                    </w:rPr>
                    <w:t>公用工程</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0849B83D">
                  <w:pPr>
                    <w:jc w:val="center"/>
                    <w:rPr>
                      <w:rFonts w:hint="eastAsia"/>
                      <w:color w:val="auto"/>
                      <w:sz w:val="18"/>
                      <w:szCs w:val="18"/>
                    </w:rPr>
                  </w:pPr>
                  <w:r>
                    <w:rPr>
                      <w:rFonts w:hint="eastAsia"/>
                      <w:bCs/>
                      <w:color w:val="auto"/>
                      <w:sz w:val="18"/>
                      <w:szCs w:val="18"/>
                    </w:rPr>
                    <w:t>供水、供电</w:t>
                  </w:r>
                </w:p>
              </w:tc>
              <w:tc>
                <w:tcPr>
                  <w:tcW w:w="2307" w:type="dxa"/>
                  <w:tcBorders>
                    <w:top w:val="single" w:color="000000" w:sz="6" w:space="0"/>
                    <w:left w:val="single" w:color="000000" w:sz="6" w:space="0"/>
                    <w:bottom w:val="single" w:color="000000" w:sz="6" w:space="0"/>
                    <w:right w:val="single" w:color="000000" w:sz="2" w:space="0"/>
                  </w:tcBorders>
                  <w:noWrap w:val="0"/>
                  <w:vAlign w:val="center"/>
                </w:tcPr>
                <w:p w14:paraId="6CCF338B">
                  <w:pPr>
                    <w:jc w:val="center"/>
                    <w:rPr>
                      <w:rFonts w:hint="eastAsia"/>
                      <w:bCs/>
                      <w:color w:val="auto"/>
                      <w:sz w:val="18"/>
                      <w:szCs w:val="18"/>
                    </w:rPr>
                  </w:pPr>
                  <w:r>
                    <w:rPr>
                      <w:rFonts w:hint="eastAsia"/>
                      <w:bCs/>
                      <w:color w:val="auto"/>
                      <w:sz w:val="18"/>
                      <w:szCs w:val="18"/>
                    </w:rPr>
                    <w:t>已建成供水管道、供电线路，配套变配电房</w:t>
                  </w:r>
                </w:p>
              </w:tc>
              <w:tc>
                <w:tcPr>
                  <w:tcW w:w="2109" w:type="dxa"/>
                  <w:tcBorders>
                    <w:top w:val="single" w:color="000000" w:sz="6" w:space="0"/>
                    <w:left w:val="single" w:color="000000" w:sz="6" w:space="0"/>
                    <w:bottom w:val="single" w:color="000000" w:sz="6" w:space="0"/>
                    <w:right w:val="single" w:color="000000" w:sz="2" w:space="0"/>
                  </w:tcBorders>
                  <w:noWrap w:val="0"/>
                  <w:vAlign w:val="center"/>
                </w:tcPr>
                <w:p w14:paraId="29CD2B9B">
                  <w:pPr>
                    <w:jc w:val="center"/>
                    <w:rPr>
                      <w:rFonts w:hint="eastAsia"/>
                      <w:bCs/>
                      <w:color w:val="auto"/>
                      <w:sz w:val="18"/>
                      <w:szCs w:val="18"/>
                    </w:rPr>
                  </w:pPr>
                  <w:r>
                    <w:rPr>
                      <w:rFonts w:hint="eastAsia"/>
                      <w:bCs/>
                      <w:color w:val="auto"/>
                      <w:sz w:val="18"/>
                      <w:szCs w:val="18"/>
                    </w:rPr>
                    <w:t>依托现有供水、供电系统</w:t>
                  </w:r>
                </w:p>
              </w:tc>
              <w:tc>
                <w:tcPr>
                  <w:tcW w:w="1540" w:type="dxa"/>
                  <w:tcBorders>
                    <w:top w:val="single" w:color="auto" w:sz="4" w:space="0"/>
                    <w:left w:val="single" w:color="auto" w:sz="4" w:space="0"/>
                    <w:bottom w:val="single" w:color="auto" w:sz="4" w:space="0"/>
                    <w:right w:val="single" w:color="auto" w:sz="4" w:space="0"/>
                  </w:tcBorders>
                  <w:noWrap w:val="0"/>
                  <w:vAlign w:val="center"/>
                </w:tcPr>
                <w:p w14:paraId="007F4CEF">
                  <w:pPr>
                    <w:jc w:val="center"/>
                    <w:rPr>
                      <w:rFonts w:hint="eastAsia"/>
                      <w:bCs/>
                      <w:color w:val="auto"/>
                      <w:sz w:val="18"/>
                      <w:szCs w:val="18"/>
                    </w:rPr>
                  </w:pPr>
                  <w:r>
                    <w:rPr>
                      <w:rFonts w:hint="eastAsia"/>
                      <w:bCs/>
                      <w:color w:val="auto"/>
                      <w:sz w:val="18"/>
                      <w:szCs w:val="18"/>
                    </w:rPr>
                    <w:t>满足本工程用水、用电需求</w:t>
                  </w:r>
                </w:p>
              </w:tc>
            </w:tr>
            <w:tr w14:paraId="63D3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tcBorders>
                    <w:top w:val="single" w:color="auto" w:sz="4" w:space="0"/>
                    <w:left w:val="single" w:color="auto" w:sz="4" w:space="0"/>
                    <w:right w:val="single" w:color="auto" w:sz="4" w:space="0"/>
                  </w:tcBorders>
                  <w:noWrap w:val="0"/>
                  <w:vAlign w:val="center"/>
                </w:tcPr>
                <w:p w14:paraId="70C0A717">
                  <w:pPr>
                    <w:jc w:val="center"/>
                    <w:rPr>
                      <w:rFonts w:hint="eastAsia"/>
                      <w:color w:val="auto"/>
                      <w:sz w:val="18"/>
                      <w:szCs w:val="18"/>
                    </w:rPr>
                  </w:pPr>
                  <w:r>
                    <w:rPr>
                      <w:rFonts w:hint="eastAsia"/>
                      <w:color w:val="auto"/>
                      <w:sz w:val="18"/>
                      <w:szCs w:val="18"/>
                    </w:rPr>
                    <w:t>环保工程</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3ABC1E30">
                  <w:pPr>
                    <w:jc w:val="center"/>
                    <w:rPr>
                      <w:bCs/>
                      <w:color w:val="auto"/>
                      <w:sz w:val="18"/>
                      <w:szCs w:val="18"/>
                    </w:rPr>
                  </w:pPr>
                  <w:r>
                    <w:rPr>
                      <w:rFonts w:hint="eastAsia"/>
                      <w:color w:val="auto"/>
                      <w:sz w:val="18"/>
                      <w:szCs w:val="18"/>
                    </w:rPr>
                    <w:t>雨污管网、化粪池、雨水排口、污水排口</w:t>
                  </w:r>
                </w:p>
              </w:tc>
              <w:tc>
                <w:tcPr>
                  <w:tcW w:w="2307" w:type="dxa"/>
                  <w:tcBorders>
                    <w:top w:val="single" w:color="000000" w:sz="6" w:space="0"/>
                    <w:left w:val="single" w:color="000000" w:sz="6" w:space="0"/>
                    <w:bottom w:val="single" w:color="000000" w:sz="6" w:space="0"/>
                    <w:right w:val="single" w:color="000000" w:sz="2" w:space="0"/>
                  </w:tcBorders>
                  <w:noWrap w:val="0"/>
                  <w:vAlign w:val="center"/>
                </w:tcPr>
                <w:p w14:paraId="6A43FEF5">
                  <w:pPr>
                    <w:rPr>
                      <w:rFonts w:hint="eastAsia"/>
                      <w:bCs/>
                      <w:color w:val="auto"/>
                      <w:sz w:val="18"/>
                      <w:szCs w:val="18"/>
                    </w:rPr>
                  </w:pPr>
                  <w:r>
                    <w:rPr>
                      <w:rFonts w:hint="eastAsia"/>
                      <w:bCs/>
                      <w:color w:val="auto"/>
                      <w:sz w:val="18"/>
                      <w:szCs w:val="18"/>
                    </w:rPr>
                    <w:t>已建设雨污管网及化粪池</w:t>
                  </w:r>
                </w:p>
              </w:tc>
              <w:tc>
                <w:tcPr>
                  <w:tcW w:w="2109" w:type="dxa"/>
                  <w:tcBorders>
                    <w:top w:val="single" w:color="000000" w:sz="6" w:space="0"/>
                    <w:left w:val="single" w:color="000000" w:sz="6" w:space="0"/>
                    <w:bottom w:val="single" w:color="000000" w:sz="6" w:space="0"/>
                    <w:right w:val="single" w:color="000000" w:sz="2" w:space="0"/>
                  </w:tcBorders>
                  <w:noWrap w:val="0"/>
                  <w:vAlign w:val="center"/>
                </w:tcPr>
                <w:p w14:paraId="1A12A37E">
                  <w:pPr>
                    <w:jc w:val="center"/>
                    <w:rPr>
                      <w:bCs/>
                      <w:color w:val="auto"/>
                      <w:sz w:val="18"/>
                      <w:szCs w:val="18"/>
                    </w:rPr>
                  </w:pPr>
                  <w:r>
                    <w:rPr>
                      <w:rFonts w:hint="eastAsia"/>
                      <w:bCs/>
                      <w:color w:val="auto"/>
                      <w:sz w:val="18"/>
                      <w:szCs w:val="18"/>
                    </w:rPr>
                    <w:t>依托现有排水系统</w:t>
                  </w:r>
                </w:p>
              </w:tc>
              <w:tc>
                <w:tcPr>
                  <w:tcW w:w="1540" w:type="dxa"/>
                  <w:tcBorders>
                    <w:top w:val="single" w:color="auto" w:sz="4" w:space="0"/>
                    <w:left w:val="single" w:color="auto" w:sz="4" w:space="0"/>
                    <w:bottom w:val="single" w:color="auto" w:sz="4" w:space="0"/>
                    <w:right w:val="single" w:color="auto" w:sz="4" w:space="0"/>
                  </w:tcBorders>
                  <w:noWrap w:val="0"/>
                  <w:vAlign w:val="center"/>
                </w:tcPr>
                <w:p w14:paraId="4A1A141A">
                  <w:pPr>
                    <w:jc w:val="center"/>
                    <w:rPr>
                      <w:bCs/>
                      <w:color w:val="auto"/>
                      <w:sz w:val="18"/>
                      <w:szCs w:val="18"/>
                    </w:rPr>
                  </w:pPr>
                  <w:r>
                    <w:rPr>
                      <w:rFonts w:hint="eastAsia"/>
                      <w:bCs/>
                      <w:color w:val="auto"/>
                      <w:sz w:val="18"/>
                      <w:szCs w:val="18"/>
                    </w:rPr>
                    <w:t>本工程仅生活污水排放，依托现有雨污管网符合本次</w:t>
                  </w:r>
                  <w:r>
                    <w:rPr>
                      <w:rFonts w:hint="eastAsia"/>
                      <w:bCs/>
                      <w:color w:val="auto"/>
                      <w:sz w:val="18"/>
                      <w:szCs w:val="18"/>
                      <w:lang w:val="en-US" w:eastAsia="zh-CN"/>
                    </w:rPr>
                    <w:t>技改</w:t>
                  </w:r>
                  <w:r>
                    <w:rPr>
                      <w:rFonts w:hint="eastAsia"/>
                      <w:bCs/>
                      <w:color w:val="auto"/>
                      <w:sz w:val="18"/>
                      <w:szCs w:val="18"/>
                    </w:rPr>
                    <w:t>扩建工程建设要求</w:t>
                  </w:r>
                </w:p>
              </w:tc>
            </w:tr>
            <w:bookmarkEnd w:id="6"/>
          </w:tbl>
          <w:p w14:paraId="3F404775">
            <w:pPr>
              <w:adjustRightInd w:val="0"/>
              <w:snapToGrid w:val="0"/>
              <w:spacing w:line="360" w:lineRule="auto"/>
              <w:ind w:firstLine="422" w:firstLineChars="200"/>
              <w:jc w:val="left"/>
              <w:rPr>
                <w:b/>
                <w:color w:val="auto"/>
                <w:szCs w:val="21"/>
              </w:rPr>
            </w:pPr>
            <w:r>
              <w:rPr>
                <w:b/>
                <w:color w:val="auto"/>
                <w:szCs w:val="21"/>
              </w:rPr>
              <w:t>3</w:t>
            </w:r>
            <w:r>
              <w:rPr>
                <w:rFonts w:hint="eastAsia"/>
                <w:b/>
                <w:color w:val="auto"/>
                <w:szCs w:val="21"/>
              </w:rPr>
              <w:t>、主要产品及产能</w:t>
            </w:r>
          </w:p>
          <w:p w14:paraId="74B90CE1">
            <w:pPr>
              <w:pStyle w:val="84"/>
              <w:rPr>
                <w:color w:val="auto"/>
                <w:lang w:val="en-US" w:eastAsia="zh-CN"/>
              </w:rPr>
            </w:pPr>
            <w:r>
              <w:rPr>
                <w:rFonts w:hint="eastAsia"/>
                <w:color w:val="auto"/>
                <w:lang w:val="en-US" w:eastAsia="zh-CN"/>
              </w:rPr>
              <w:t>本次技改扩建工程主要生产高档器皿、高档玻璃杯，不再生产高档酒瓶，总产能增加至4万吨/年。具体见下表。</w:t>
            </w:r>
          </w:p>
          <w:p w14:paraId="1720C736">
            <w:pPr>
              <w:pStyle w:val="86"/>
              <w:rPr>
                <w:color w:val="auto"/>
              </w:rPr>
            </w:pPr>
            <w:r>
              <w:rPr>
                <w:rFonts w:hint="eastAsia"/>
                <w:color w:val="auto"/>
              </w:rPr>
              <w:t>表2-</w:t>
            </w:r>
            <w:r>
              <w:rPr>
                <w:rFonts w:hint="eastAsia"/>
                <w:color w:val="auto"/>
                <w:lang w:val="en-US" w:eastAsia="zh-CN"/>
              </w:rPr>
              <w:t xml:space="preserve">5  </w:t>
            </w:r>
            <w:r>
              <w:rPr>
                <w:rFonts w:hint="eastAsia"/>
                <w:color w:val="auto"/>
              </w:rPr>
              <w:t>本次技改扩建工程建成后全厂主要产品及产能</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85"/>
              <w:gridCol w:w="708"/>
              <w:gridCol w:w="991"/>
              <w:gridCol w:w="1420"/>
              <w:gridCol w:w="2133"/>
            </w:tblGrid>
            <w:tr w14:paraId="419D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40" w:type="pct"/>
                  <w:vMerge w:val="restart"/>
                  <w:noWrap/>
                  <w:vAlign w:val="center"/>
                </w:tcPr>
                <w:p w14:paraId="34080ED0">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序号</w:t>
                  </w:r>
                </w:p>
              </w:tc>
              <w:tc>
                <w:tcPr>
                  <w:tcW w:w="1250" w:type="pct"/>
                  <w:vMerge w:val="restart"/>
                  <w:noWrap w:val="0"/>
                  <w:vAlign w:val="center"/>
                </w:tcPr>
                <w:p w14:paraId="6F408BCA">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产品名称</w:t>
                  </w:r>
                </w:p>
              </w:tc>
              <w:tc>
                <w:tcPr>
                  <w:tcW w:w="446" w:type="pct"/>
                  <w:vMerge w:val="restart"/>
                  <w:noWrap w:val="0"/>
                  <w:vAlign w:val="center"/>
                </w:tcPr>
                <w:p w14:paraId="36BAD725">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单位</w:t>
                  </w:r>
                </w:p>
              </w:tc>
              <w:tc>
                <w:tcPr>
                  <w:tcW w:w="1518" w:type="pct"/>
                  <w:gridSpan w:val="2"/>
                  <w:noWrap w:val="0"/>
                  <w:vAlign w:val="center"/>
                </w:tcPr>
                <w:p w14:paraId="0A44EA75">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年产能</w:t>
                  </w:r>
                </w:p>
              </w:tc>
              <w:tc>
                <w:tcPr>
                  <w:tcW w:w="1343" w:type="pct"/>
                  <w:vMerge w:val="restart"/>
                  <w:noWrap w:val="0"/>
                  <w:vAlign w:val="center"/>
                </w:tcPr>
                <w:p w14:paraId="0C51F80A">
                  <w:pPr>
                    <w:pStyle w:val="92"/>
                    <w:spacing w:line="240" w:lineRule="auto"/>
                    <w:rPr>
                      <w:rFonts w:ascii="Times New Roman"/>
                      <w:color w:val="auto"/>
                      <w:sz w:val="18"/>
                      <w:szCs w:val="16"/>
                      <w:lang w:val="en-US" w:eastAsia="zh-CN"/>
                    </w:rPr>
                  </w:pPr>
                  <w:r>
                    <w:rPr>
                      <w:rFonts w:hint="eastAsia" w:ascii="Times New Roman"/>
                      <w:color w:val="auto"/>
                      <w:sz w:val="18"/>
                      <w:szCs w:val="16"/>
                      <w:lang w:val="en-US" w:eastAsia="zh-CN"/>
                    </w:rPr>
                    <w:t>标准</w:t>
                  </w:r>
                </w:p>
              </w:tc>
            </w:tr>
            <w:tr w14:paraId="0C6C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40" w:type="pct"/>
                  <w:vMerge w:val="continue"/>
                  <w:noWrap/>
                  <w:vAlign w:val="center"/>
                </w:tcPr>
                <w:p w14:paraId="0F100C8A">
                  <w:pPr>
                    <w:pStyle w:val="92"/>
                    <w:spacing w:line="240" w:lineRule="auto"/>
                    <w:rPr>
                      <w:rFonts w:ascii="Times New Roman"/>
                      <w:color w:val="auto"/>
                      <w:sz w:val="18"/>
                      <w:szCs w:val="16"/>
                      <w:lang w:val="en-US" w:eastAsia="zh-CN"/>
                    </w:rPr>
                  </w:pPr>
                </w:p>
              </w:tc>
              <w:tc>
                <w:tcPr>
                  <w:tcW w:w="1250" w:type="pct"/>
                  <w:vMerge w:val="continue"/>
                  <w:noWrap w:val="0"/>
                  <w:vAlign w:val="center"/>
                </w:tcPr>
                <w:p w14:paraId="332B46FA">
                  <w:pPr>
                    <w:pStyle w:val="92"/>
                    <w:spacing w:line="240" w:lineRule="auto"/>
                    <w:rPr>
                      <w:rFonts w:ascii="Times New Roman"/>
                      <w:color w:val="auto"/>
                      <w:sz w:val="18"/>
                      <w:szCs w:val="16"/>
                      <w:lang w:val="en-US" w:eastAsia="zh-CN"/>
                    </w:rPr>
                  </w:pPr>
                </w:p>
              </w:tc>
              <w:tc>
                <w:tcPr>
                  <w:tcW w:w="446" w:type="pct"/>
                  <w:vMerge w:val="continue"/>
                  <w:noWrap w:val="0"/>
                  <w:vAlign w:val="center"/>
                </w:tcPr>
                <w:p w14:paraId="564DAC34">
                  <w:pPr>
                    <w:pStyle w:val="92"/>
                    <w:spacing w:line="240" w:lineRule="auto"/>
                    <w:rPr>
                      <w:rFonts w:ascii="Times New Roman"/>
                      <w:color w:val="auto"/>
                      <w:sz w:val="18"/>
                      <w:szCs w:val="16"/>
                      <w:lang w:val="en-US" w:eastAsia="zh-CN"/>
                    </w:rPr>
                  </w:pPr>
                </w:p>
              </w:tc>
              <w:tc>
                <w:tcPr>
                  <w:tcW w:w="624" w:type="pct"/>
                  <w:noWrap w:val="0"/>
                  <w:vAlign w:val="center"/>
                </w:tcPr>
                <w:p w14:paraId="43272C42">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技改前</w:t>
                  </w:r>
                </w:p>
              </w:tc>
              <w:tc>
                <w:tcPr>
                  <w:tcW w:w="894" w:type="pct"/>
                  <w:noWrap w:val="0"/>
                  <w:vAlign w:val="center"/>
                </w:tcPr>
                <w:p w14:paraId="6E8D958F">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技改后</w:t>
                  </w:r>
                </w:p>
              </w:tc>
              <w:tc>
                <w:tcPr>
                  <w:tcW w:w="1343" w:type="pct"/>
                  <w:vMerge w:val="continue"/>
                  <w:noWrap w:val="0"/>
                  <w:vAlign w:val="center"/>
                </w:tcPr>
                <w:p w14:paraId="35257CCB">
                  <w:pPr>
                    <w:pStyle w:val="92"/>
                    <w:spacing w:line="240" w:lineRule="auto"/>
                    <w:rPr>
                      <w:rFonts w:ascii="Times New Roman"/>
                      <w:color w:val="auto"/>
                      <w:sz w:val="18"/>
                      <w:szCs w:val="16"/>
                      <w:lang w:val="en-US" w:eastAsia="zh-CN"/>
                    </w:rPr>
                  </w:pPr>
                </w:p>
              </w:tc>
            </w:tr>
            <w:tr w14:paraId="037A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noWrap/>
                  <w:vAlign w:val="center"/>
                </w:tcPr>
                <w:p w14:paraId="2256DB59">
                  <w:pPr>
                    <w:pStyle w:val="92"/>
                    <w:spacing w:line="240" w:lineRule="auto"/>
                    <w:rPr>
                      <w:rFonts w:ascii="Times New Roman"/>
                      <w:bCs/>
                      <w:color w:val="auto"/>
                      <w:sz w:val="18"/>
                      <w:szCs w:val="16"/>
                      <w:lang w:val="en-US" w:eastAsia="zh-CN"/>
                    </w:rPr>
                  </w:pPr>
                  <w:r>
                    <w:rPr>
                      <w:rFonts w:ascii="Times New Roman"/>
                      <w:bCs/>
                      <w:color w:val="auto"/>
                      <w:sz w:val="18"/>
                      <w:szCs w:val="16"/>
                      <w:lang w:val="en-US" w:eastAsia="zh-CN"/>
                    </w:rPr>
                    <w:t>1</w:t>
                  </w:r>
                </w:p>
              </w:tc>
              <w:tc>
                <w:tcPr>
                  <w:tcW w:w="1250" w:type="pct"/>
                  <w:noWrap w:val="0"/>
                  <w:vAlign w:val="center"/>
                </w:tcPr>
                <w:p w14:paraId="551794EB">
                  <w:pPr>
                    <w:jc w:val="center"/>
                    <w:rPr>
                      <w:rFonts w:ascii="Times New Roman"/>
                      <w:color w:val="auto"/>
                      <w:sz w:val="18"/>
                      <w:szCs w:val="18"/>
                      <w:lang w:val="en-US" w:eastAsia="zh-CN"/>
                    </w:rPr>
                  </w:pPr>
                  <w:r>
                    <w:rPr>
                      <w:color w:val="auto"/>
                      <w:sz w:val="18"/>
                      <w:szCs w:val="18"/>
                    </w:rPr>
                    <w:t>高档器皿</w:t>
                  </w:r>
                </w:p>
              </w:tc>
              <w:tc>
                <w:tcPr>
                  <w:tcW w:w="446" w:type="pct"/>
                  <w:noWrap w:val="0"/>
                  <w:vAlign w:val="center"/>
                </w:tcPr>
                <w:p w14:paraId="235383CA">
                  <w:pPr>
                    <w:jc w:val="center"/>
                    <w:rPr>
                      <w:rFonts w:hint="eastAsia" w:ascii="Times New Roman"/>
                      <w:bCs/>
                      <w:color w:val="auto"/>
                      <w:sz w:val="18"/>
                      <w:szCs w:val="18"/>
                      <w:lang w:val="en-US" w:eastAsia="zh-CN"/>
                    </w:rPr>
                  </w:pPr>
                  <w:r>
                    <w:rPr>
                      <w:color w:val="auto"/>
                      <w:sz w:val="18"/>
                      <w:szCs w:val="18"/>
                    </w:rPr>
                    <w:t>万个</w:t>
                  </w:r>
                </w:p>
              </w:tc>
              <w:tc>
                <w:tcPr>
                  <w:tcW w:w="624" w:type="pct"/>
                  <w:noWrap w:val="0"/>
                  <w:vAlign w:val="center"/>
                </w:tcPr>
                <w:p w14:paraId="7D2E79ED">
                  <w:pPr>
                    <w:jc w:val="center"/>
                    <w:rPr>
                      <w:rFonts w:ascii="Times New Roman"/>
                      <w:color w:val="auto"/>
                      <w:sz w:val="18"/>
                      <w:szCs w:val="18"/>
                      <w:lang w:val="en-US" w:eastAsia="zh-CN"/>
                    </w:rPr>
                  </w:pPr>
                  <w:r>
                    <w:rPr>
                      <w:color w:val="auto"/>
                      <w:sz w:val="18"/>
                      <w:szCs w:val="18"/>
                    </w:rPr>
                    <w:t>3600</w:t>
                  </w:r>
                </w:p>
              </w:tc>
              <w:tc>
                <w:tcPr>
                  <w:tcW w:w="894" w:type="pct"/>
                  <w:noWrap w:val="0"/>
                  <w:vAlign w:val="center"/>
                </w:tcPr>
                <w:p w14:paraId="5D83D79C">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4000</w:t>
                  </w:r>
                </w:p>
              </w:tc>
              <w:tc>
                <w:tcPr>
                  <w:tcW w:w="1343" w:type="pct"/>
                  <w:vMerge w:val="restart"/>
                  <w:noWrap w:val="0"/>
                  <w:vAlign w:val="center"/>
                </w:tcPr>
                <w:p w14:paraId="0DA900C4">
                  <w:pPr>
                    <w:pStyle w:val="92"/>
                    <w:spacing w:line="240" w:lineRule="auto"/>
                    <w:jc w:val="center"/>
                    <w:rPr>
                      <w:rFonts w:hint="default" w:ascii="Times New Roman"/>
                      <w:bCs/>
                      <w:color w:val="auto"/>
                      <w:sz w:val="18"/>
                      <w:szCs w:val="16"/>
                      <w:lang w:val="en-US" w:eastAsia="zh-CN"/>
                    </w:rPr>
                  </w:pPr>
                  <w:r>
                    <w:rPr>
                      <w:rFonts w:ascii="Times New Roman" w:hAnsi="Times New Roman" w:eastAsia="宋体" w:cs="Times New Roman"/>
                      <w:color w:val="auto"/>
                      <w:kern w:val="2"/>
                      <w:sz w:val="18"/>
                      <w:szCs w:val="18"/>
                      <w:lang w:val="en-US" w:eastAsia="zh-CN" w:bidi="ar-SA"/>
                    </w:rPr>
                    <w:t>QB/T4162—2021《玻璃器皿 玻璃杯》</w:t>
                  </w:r>
                </w:p>
              </w:tc>
            </w:tr>
            <w:tr w14:paraId="3894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noWrap/>
                  <w:vAlign w:val="center"/>
                </w:tcPr>
                <w:p w14:paraId="62914076">
                  <w:pPr>
                    <w:pStyle w:val="92"/>
                    <w:spacing w:line="240" w:lineRule="auto"/>
                    <w:rPr>
                      <w:rFonts w:ascii="Times New Roman"/>
                      <w:bCs/>
                      <w:color w:val="auto"/>
                      <w:sz w:val="18"/>
                      <w:szCs w:val="16"/>
                      <w:lang w:val="en-US" w:eastAsia="zh-CN"/>
                    </w:rPr>
                  </w:pPr>
                  <w:r>
                    <w:rPr>
                      <w:rFonts w:ascii="Times New Roman"/>
                      <w:bCs/>
                      <w:color w:val="auto"/>
                      <w:sz w:val="18"/>
                      <w:szCs w:val="16"/>
                      <w:lang w:val="en-US" w:eastAsia="zh-CN"/>
                    </w:rPr>
                    <w:t>2</w:t>
                  </w:r>
                </w:p>
              </w:tc>
              <w:tc>
                <w:tcPr>
                  <w:tcW w:w="1250" w:type="pct"/>
                  <w:noWrap w:val="0"/>
                  <w:vAlign w:val="center"/>
                </w:tcPr>
                <w:p w14:paraId="42A98FBC">
                  <w:pPr>
                    <w:jc w:val="center"/>
                    <w:rPr>
                      <w:rFonts w:ascii="Times New Roman"/>
                      <w:color w:val="auto"/>
                      <w:sz w:val="18"/>
                      <w:szCs w:val="18"/>
                      <w:lang w:val="en-US" w:eastAsia="zh-CN"/>
                    </w:rPr>
                  </w:pPr>
                  <w:r>
                    <w:rPr>
                      <w:color w:val="auto"/>
                      <w:sz w:val="18"/>
                      <w:szCs w:val="18"/>
                    </w:rPr>
                    <w:t>高档玻璃杯</w:t>
                  </w:r>
                </w:p>
              </w:tc>
              <w:tc>
                <w:tcPr>
                  <w:tcW w:w="446" w:type="pct"/>
                  <w:noWrap w:val="0"/>
                  <w:vAlign w:val="center"/>
                </w:tcPr>
                <w:p w14:paraId="2E9E28A3">
                  <w:pPr>
                    <w:jc w:val="center"/>
                    <w:rPr>
                      <w:rFonts w:ascii="Times New Roman"/>
                      <w:bCs/>
                      <w:color w:val="auto"/>
                      <w:sz w:val="18"/>
                      <w:szCs w:val="18"/>
                      <w:lang w:val="en-US" w:eastAsia="zh-CN"/>
                    </w:rPr>
                  </w:pPr>
                  <w:r>
                    <w:rPr>
                      <w:color w:val="auto"/>
                      <w:sz w:val="18"/>
                      <w:szCs w:val="18"/>
                    </w:rPr>
                    <w:t>万个</w:t>
                  </w:r>
                </w:p>
              </w:tc>
              <w:tc>
                <w:tcPr>
                  <w:tcW w:w="624" w:type="pct"/>
                  <w:noWrap w:val="0"/>
                  <w:vAlign w:val="center"/>
                </w:tcPr>
                <w:p w14:paraId="724F3AFA">
                  <w:pPr>
                    <w:jc w:val="center"/>
                    <w:rPr>
                      <w:rFonts w:ascii="Times New Roman"/>
                      <w:color w:val="auto"/>
                      <w:sz w:val="18"/>
                      <w:szCs w:val="18"/>
                      <w:lang w:val="en-US" w:eastAsia="zh-CN"/>
                    </w:rPr>
                  </w:pPr>
                  <w:r>
                    <w:rPr>
                      <w:color w:val="auto"/>
                      <w:sz w:val="18"/>
                      <w:szCs w:val="18"/>
                    </w:rPr>
                    <w:t>4500</w:t>
                  </w:r>
                </w:p>
              </w:tc>
              <w:tc>
                <w:tcPr>
                  <w:tcW w:w="894" w:type="pct"/>
                  <w:noWrap w:val="0"/>
                  <w:vAlign w:val="center"/>
                </w:tcPr>
                <w:p w14:paraId="766D10CF">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8000</w:t>
                  </w:r>
                </w:p>
              </w:tc>
              <w:tc>
                <w:tcPr>
                  <w:tcW w:w="1343" w:type="pct"/>
                  <w:vMerge w:val="continue"/>
                  <w:noWrap w:val="0"/>
                  <w:vAlign w:val="center"/>
                </w:tcPr>
                <w:p w14:paraId="5BE8F90F">
                  <w:pPr>
                    <w:pStyle w:val="92"/>
                    <w:spacing w:line="240" w:lineRule="auto"/>
                    <w:rPr>
                      <w:rFonts w:ascii="Times New Roman"/>
                      <w:bCs/>
                      <w:color w:val="auto"/>
                      <w:sz w:val="18"/>
                      <w:szCs w:val="16"/>
                      <w:lang w:val="en-US" w:eastAsia="zh-CN"/>
                    </w:rPr>
                  </w:pPr>
                </w:p>
              </w:tc>
            </w:tr>
            <w:tr w14:paraId="41FA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noWrap/>
                  <w:vAlign w:val="center"/>
                </w:tcPr>
                <w:p w14:paraId="4BF582DF">
                  <w:pPr>
                    <w:pStyle w:val="92"/>
                    <w:spacing w:line="240" w:lineRule="auto"/>
                    <w:rPr>
                      <w:rFonts w:hint="eastAsia" w:ascii="Times New Roman"/>
                      <w:bCs/>
                      <w:color w:val="auto"/>
                      <w:sz w:val="18"/>
                      <w:szCs w:val="16"/>
                      <w:lang w:val="en-US" w:eastAsia="zh-CN"/>
                    </w:rPr>
                  </w:pPr>
                  <w:r>
                    <w:rPr>
                      <w:rFonts w:hint="eastAsia" w:ascii="Times New Roman"/>
                      <w:bCs/>
                      <w:color w:val="auto"/>
                      <w:sz w:val="18"/>
                      <w:szCs w:val="16"/>
                      <w:lang w:val="en-US" w:eastAsia="zh-CN"/>
                    </w:rPr>
                    <w:t>3</w:t>
                  </w:r>
                </w:p>
              </w:tc>
              <w:tc>
                <w:tcPr>
                  <w:tcW w:w="1250" w:type="pct"/>
                  <w:noWrap w:val="0"/>
                  <w:vAlign w:val="center"/>
                </w:tcPr>
                <w:p w14:paraId="19BD115C">
                  <w:pPr>
                    <w:jc w:val="center"/>
                    <w:rPr>
                      <w:rFonts w:ascii="Times New Roman"/>
                      <w:color w:val="auto"/>
                      <w:sz w:val="18"/>
                      <w:szCs w:val="18"/>
                      <w:lang w:val="en-US" w:eastAsia="zh-CN"/>
                    </w:rPr>
                  </w:pPr>
                  <w:r>
                    <w:rPr>
                      <w:color w:val="auto"/>
                      <w:sz w:val="18"/>
                      <w:szCs w:val="18"/>
                    </w:rPr>
                    <w:t>高档酒瓶</w:t>
                  </w:r>
                </w:p>
              </w:tc>
              <w:tc>
                <w:tcPr>
                  <w:tcW w:w="446" w:type="pct"/>
                  <w:noWrap w:val="0"/>
                  <w:vAlign w:val="center"/>
                </w:tcPr>
                <w:p w14:paraId="48DDD1B7">
                  <w:pPr>
                    <w:jc w:val="center"/>
                    <w:rPr>
                      <w:rFonts w:ascii="Times New Roman"/>
                      <w:color w:val="auto"/>
                      <w:sz w:val="18"/>
                      <w:szCs w:val="18"/>
                      <w:lang w:val="en-US" w:eastAsia="zh-CN"/>
                    </w:rPr>
                  </w:pPr>
                  <w:r>
                    <w:rPr>
                      <w:color w:val="auto"/>
                      <w:sz w:val="18"/>
                      <w:szCs w:val="18"/>
                    </w:rPr>
                    <w:t>万个</w:t>
                  </w:r>
                </w:p>
              </w:tc>
              <w:tc>
                <w:tcPr>
                  <w:tcW w:w="624" w:type="pct"/>
                  <w:noWrap w:val="0"/>
                  <w:vAlign w:val="center"/>
                </w:tcPr>
                <w:p w14:paraId="490A08D4">
                  <w:pPr>
                    <w:jc w:val="center"/>
                    <w:rPr>
                      <w:rFonts w:ascii="Times New Roman"/>
                      <w:color w:val="auto"/>
                      <w:sz w:val="18"/>
                      <w:szCs w:val="18"/>
                      <w:lang w:val="en-US" w:eastAsia="zh-CN"/>
                    </w:rPr>
                  </w:pPr>
                  <w:r>
                    <w:rPr>
                      <w:color w:val="auto"/>
                      <w:sz w:val="18"/>
                      <w:szCs w:val="18"/>
                    </w:rPr>
                    <w:t>1200</w:t>
                  </w:r>
                </w:p>
              </w:tc>
              <w:tc>
                <w:tcPr>
                  <w:tcW w:w="894" w:type="pct"/>
                  <w:noWrap w:val="0"/>
                  <w:vAlign w:val="center"/>
                </w:tcPr>
                <w:p w14:paraId="6189FBD9">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w:t>
                  </w:r>
                </w:p>
              </w:tc>
              <w:tc>
                <w:tcPr>
                  <w:tcW w:w="1343" w:type="pct"/>
                  <w:noWrap w:val="0"/>
                  <w:vAlign w:val="center"/>
                </w:tcPr>
                <w:p w14:paraId="0B017A5B">
                  <w:pPr>
                    <w:pStyle w:val="92"/>
                    <w:spacing w:line="240" w:lineRule="auto"/>
                    <w:rPr>
                      <w:rFonts w:ascii="Times New Roman"/>
                      <w:bCs/>
                      <w:color w:val="auto"/>
                      <w:sz w:val="18"/>
                      <w:szCs w:val="16"/>
                      <w:lang w:val="en-US" w:eastAsia="zh-CN"/>
                    </w:rPr>
                  </w:pPr>
                  <w:r>
                    <w:rPr>
                      <w:rFonts w:hint="eastAsia" w:ascii="Times New Roman"/>
                      <w:bCs/>
                      <w:color w:val="auto"/>
                      <w:sz w:val="18"/>
                      <w:szCs w:val="16"/>
                      <w:lang w:val="en-US" w:eastAsia="zh-CN"/>
                    </w:rPr>
                    <w:t>/</w:t>
                  </w:r>
                </w:p>
              </w:tc>
            </w:tr>
          </w:tbl>
          <w:p w14:paraId="3298C957">
            <w:pPr>
              <w:numPr>
                <w:ilvl w:val="0"/>
                <w:numId w:val="0"/>
              </w:numPr>
              <w:adjustRightInd w:val="0"/>
              <w:snapToGrid w:val="0"/>
              <w:spacing w:line="360" w:lineRule="auto"/>
              <w:jc w:val="left"/>
              <w:rPr>
                <w:rFonts w:ascii="宋体" w:hAnsi="宋体" w:eastAsia="宋体" w:cs="宋体"/>
                <w:b w:val="0"/>
                <w:bCs w:val="0"/>
                <w:color w:val="auto"/>
                <w:sz w:val="24"/>
                <w:szCs w:val="24"/>
              </w:rPr>
            </w:pPr>
            <w:r>
              <w:rPr>
                <w:rFonts w:hint="default" w:ascii="Times New Roman" w:hAnsi="Times New Roman" w:eastAsia="宋体" w:cs="Times New Roman"/>
                <w:b/>
                <w:bCs/>
                <w:color w:val="auto"/>
                <w:sz w:val="21"/>
                <w:szCs w:val="21"/>
              </w:rPr>
              <w:t>备注：本项目年产</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万吨</w:t>
            </w:r>
            <w:r>
              <w:rPr>
                <w:rFonts w:hint="default" w:ascii="Times New Roman" w:hAnsi="Times New Roman" w:eastAsia="宋体" w:cs="Times New Roman"/>
                <w:b/>
                <w:bCs/>
                <w:color w:val="auto"/>
                <w:sz w:val="21"/>
                <w:szCs w:val="21"/>
                <w:lang w:val="en-US" w:eastAsia="zh-CN"/>
              </w:rPr>
              <w:t>玻璃制品</w:t>
            </w:r>
            <w:r>
              <w:rPr>
                <w:rFonts w:hint="default" w:ascii="Times New Roman" w:hAnsi="Times New Roman" w:eastAsia="宋体" w:cs="Times New Roman"/>
                <w:b/>
                <w:bCs/>
                <w:color w:val="auto"/>
                <w:sz w:val="21"/>
                <w:szCs w:val="21"/>
              </w:rPr>
              <w:t>是指玻璃炉窑熔制能力，实际</w:t>
            </w:r>
            <w:r>
              <w:rPr>
                <w:rFonts w:hint="eastAsia" w:ascii="Times New Roman" w:hAnsi="Times New Roman" w:eastAsia="宋体" w:cs="Times New Roman"/>
                <w:b/>
                <w:bCs/>
                <w:color w:val="auto"/>
                <w:sz w:val="21"/>
                <w:szCs w:val="21"/>
                <w:lang w:val="en-US" w:eastAsia="zh-CN"/>
              </w:rPr>
              <w:t>日用</w:t>
            </w:r>
            <w:r>
              <w:rPr>
                <w:rFonts w:hint="default" w:ascii="Times New Roman" w:hAnsi="Times New Roman" w:eastAsia="宋体" w:cs="Times New Roman"/>
                <w:b/>
                <w:bCs/>
                <w:color w:val="auto"/>
                <w:sz w:val="21"/>
                <w:szCs w:val="21"/>
              </w:rPr>
              <w:t>玻璃瓶</w:t>
            </w:r>
            <w:r>
              <w:rPr>
                <w:rFonts w:hint="eastAsia" w:ascii="Times New Roman" w:hAnsi="Times New Roman" w:eastAsia="宋体" w:cs="Times New Roman"/>
                <w:b/>
                <w:bCs/>
                <w:color w:val="auto"/>
                <w:sz w:val="21"/>
                <w:szCs w:val="21"/>
                <w:lang w:val="en-US" w:eastAsia="zh-CN"/>
              </w:rPr>
              <w:t>制品</w:t>
            </w:r>
            <w:r>
              <w:rPr>
                <w:rFonts w:hint="default" w:ascii="Times New Roman" w:hAnsi="Times New Roman" w:eastAsia="宋体" w:cs="Times New Roman"/>
                <w:b/>
                <w:bCs/>
                <w:color w:val="auto"/>
                <w:sz w:val="21"/>
                <w:szCs w:val="21"/>
              </w:rPr>
              <w:t>产量约在</w:t>
            </w:r>
            <w:r>
              <w:rPr>
                <w:rFonts w:hint="default" w:ascii="Times New Roman" w:hAnsi="Times New Roman" w:eastAsia="宋体" w:cs="Times New Roman"/>
                <w:b/>
                <w:bCs/>
                <w:color w:val="auto"/>
                <w:sz w:val="21"/>
                <w:szCs w:val="21"/>
                <w:lang w:val="en-US" w:eastAsia="zh-CN"/>
              </w:rPr>
              <w:t>3.6</w:t>
            </w:r>
            <w:r>
              <w:rPr>
                <w:rFonts w:hint="default" w:ascii="Times New Roman" w:hAnsi="Times New Roman" w:eastAsia="宋体" w:cs="Times New Roman"/>
                <w:b/>
                <w:bCs/>
                <w:color w:val="auto"/>
                <w:sz w:val="21"/>
                <w:szCs w:val="21"/>
              </w:rPr>
              <w:t>万吨</w:t>
            </w:r>
            <w:r>
              <w:rPr>
                <w:rFonts w:hint="default" w:ascii="Times New Roman" w:hAnsi="Times New Roman" w:eastAsia="TimesNewRomanPSMT" w:cs="Times New Roman"/>
                <w:b/>
                <w:bCs/>
                <w:color w:val="auto"/>
                <w:sz w:val="21"/>
                <w:szCs w:val="21"/>
              </w:rPr>
              <w:t>/</w:t>
            </w:r>
            <w:r>
              <w:rPr>
                <w:rFonts w:hint="default" w:ascii="Times New Roman" w:hAnsi="Times New Roman" w:eastAsia="宋体" w:cs="Times New Roman"/>
                <w:b/>
                <w:bCs/>
                <w:color w:val="auto"/>
                <w:sz w:val="21"/>
                <w:szCs w:val="21"/>
              </w:rPr>
              <w:t>年。</w:t>
            </w:r>
          </w:p>
          <w:p w14:paraId="636820BE">
            <w:pPr>
              <w:numPr>
                <w:ilvl w:val="0"/>
                <w:numId w:val="5"/>
              </w:numPr>
              <w:adjustRightInd w:val="0"/>
              <w:snapToGrid w:val="0"/>
              <w:spacing w:line="360" w:lineRule="auto"/>
              <w:ind w:firstLine="422" w:firstLineChars="200"/>
              <w:jc w:val="left"/>
              <w:rPr>
                <w:rFonts w:hint="eastAsia"/>
                <w:b/>
                <w:color w:val="auto"/>
                <w:szCs w:val="21"/>
              </w:rPr>
            </w:pPr>
            <w:r>
              <w:rPr>
                <w:rFonts w:hint="eastAsia"/>
                <w:b/>
                <w:color w:val="auto"/>
                <w:szCs w:val="21"/>
              </w:rPr>
              <w:t>主要生产设备</w:t>
            </w:r>
          </w:p>
          <w:p w14:paraId="37E92B08">
            <w:pPr>
              <w:pStyle w:val="84"/>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lang w:val="en-US" w:eastAsia="zh-CN"/>
              </w:rPr>
            </w:pPr>
            <w:r>
              <w:rPr>
                <w:rFonts w:hint="eastAsia"/>
                <w:color w:val="auto"/>
                <w:lang w:val="en-US" w:eastAsia="zh-CN"/>
              </w:rPr>
              <w:t>本次技改扩建工程淘汰现有50m</w:t>
            </w:r>
            <w:r>
              <w:rPr>
                <w:rFonts w:hint="eastAsia"/>
                <w:color w:val="auto"/>
                <w:vertAlign w:val="superscript"/>
                <w:lang w:val="en-US" w:eastAsia="zh-CN"/>
              </w:rPr>
              <w:t>2</w:t>
            </w:r>
            <w:r>
              <w:rPr>
                <w:rFonts w:hint="eastAsia"/>
                <w:color w:val="auto"/>
                <w:vertAlign w:val="baseline"/>
                <w:lang w:val="en-US" w:eastAsia="zh-CN"/>
              </w:rPr>
              <w:t>熔窑改建为66m</w:t>
            </w:r>
            <w:r>
              <w:rPr>
                <w:rFonts w:hint="eastAsia"/>
                <w:color w:val="auto"/>
                <w:vertAlign w:val="superscript"/>
                <w:lang w:val="en-US" w:eastAsia="zh-CN"/>
              </w:rPr>
              <w:t>2</w:t>
            </w:r>
            <w:r>
              <w:rPr>
                <w:rFonts w:hint="eastAsia"/>
                <w:color w:val="auto"/>
                <w:vertAlign w:val="baseline"/>
                <w:lang w:val="en-US" w:eastAsia="zh-CN"/>
              </w:rPr>
              <w:t>熔窑，</w:t>
            </w:r>
            <w:r>
              <w:rPr>
                <w:rFonts w:hint="eastAsia"/>
                <w:color w:val="auto"/>
                <w:lang w:val="en-US" w:eastAsia="zh-CN"/>
              </w:rPr>
              <w:t>利用现有配料设备、成型机等生产设备，新增成型机2台、退火炉3台、输送机3台、加料机2台等设备，主要生产设备见下表。</w:t>
            </w:r>
          </w:p>
          <w:p w14:paraId="54255D08">
            <w:pPr>
              <w:pStyle w:val="8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表2-</w:t>
            </w:r>
            <w:r>
              <w:rPr>
                <w:rFonts w:hint="eastAsia"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rPr>
              <w:t>主要生产设备一览表</w:t>
            </w:r>
          </w:p>
          <w:tbl>
            <w:tblPr>
              <w:tblStyle w:val="35"/>
              <w:tblW w:w="4998" w:type="pct"/>
              <w:tblInd w:w="0" w:type="dxa"/>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00"/>
              <w:gridCol w:w="1413"/>
              <w:gridCol w:w="1596"/>
              <w:gridCol w:w="661"/>
              <w:gridCol w:w="1295"/>
              <w:gridCol w:w="1130"/>
              <w:gridCol w:w="1227"/>
            </w:tblGrid>
            <w:tr w14:paraId="78D9A14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PrEx>
              <w:trPr>
                <w:trHeight w:val="360" w:hRule="atLeast"/>
              </w:trPr>
              <w:tc>
                <w:tcPr>
                  <w:tcW w:w="379" w:type="pct"/>
                  <w:vMerge w:val="restart"/>
                  <w:noWrap w:val="0"/>
                  <w:vAlign w:val="center"/>
                </w:tcPr>
                <w:p w14:paraId="3F359CD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18"/>
                      <w:szCs w:val="18"/>
                    </w:rPr>
                  </w:pPr>
                  <w:r>
                    <w:rPr>
                      <w:b/>
                      <w:color w:val="auto"/>
                      <w:sz w:val="18"/>
                      <w:szCs w:val="18"/>
                    </w:rPr>
                    <w:t>序号</w:t>
                  </w:r>
                </w:p>
              </w:tc>
              <w:tc>
                <w:tcPr>
                  <w:tcW w:w="892" w:type="pct"/>
                  <w:vMerge w:val="restart"/>
                  <w:noWrap w:val="0"/>
                  <w:vAlign w:val="center"/>
                </w:tcPr>
                <w:p w14:paraId="66DC5F2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18"/>
                      <w:szCs w:val="18"/>
                    </w:rPr>
                  </w:pPr>
                  <w:r>
                    <w:rPr>
                      <w:b/>
                      <w:color w:val="auto"/>
                      <w:sz w:val="18"/>
                      <w:szCs w:val="18"/>
                    </w:rPr>
                    <w:t>设备名称</w:t>
                  </w:r>
                </w:p>
              </w:tc>
              <w:tc>
                <w:tcPr>
                  <w:tcW w:w="1007" w:type="pct"/>
                  <w:vMerge w:val="restart"/>
                  <w:noWrap w:val="0"/>
                  <w:vAlign w:val="center"/>
                </w:tcPr>
                <w:p w14:paraId="381E1C1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18"/>
                      <w:szCs w:val="18"/>
                    </w:rPr>
                  </w:pPr>
                  <w:r>
                    <w:rPr>
                      <w:b/>
                      <w:color w:val="auto"/>
                      <w:sz w:val="18"/>
                      <w:szCs w:val="18"/>
                    </w:rPr>
                    <w:t>规格型号或功率</w:t>
                  </w:r>
                </w:p>
              </w:tc>
              <w:tc>
                <w:tcPr>
                  <w:tcW w:w="417" w:type="pct"/>
                  <w:vMerge w:val="restart"/>
                  <w:tcBorders>
                    <w:right w:val="single" w:color="auto" w:sz="4" w:space="0"/>
                  </w:tcBorders>
                  <w:noWrap w:val="0"/>
                  <w:vAlign w:val="center"/>
                </w:tcPr>
                <w:p w14:paraId="725B00D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18"/>
                      <w:szCs w:val="18"/>
                    </w:rPr>
                  </w:pPr>
                  <w:r>
                    <w:rPr>
                      <w:b/>
                      <w:color w:val="auto"/>
                      <w:sz w:val="18"/>
                      <w:szCs w:val="18"/>
                    </w:rPr>
                    <w:t>单位</w:t>
                  </w:r>
                </w:p>
              </w:tc>
              <w:tc>
                <w:tcPr>
                  <w:tcW w:w="1529" w:type="pct"/>
                  <w:gridSpan w:val="2"/>
                  <w:tcBorders>
                    <w:left w:val="single" w:color="auto" w:sz="4" w:space="0"/>
                    <w:bottom w:val="single" w:color="auto" w:sz="4" w:space="0"/>
                  </w:tcBorders>
                  <w:noWrap w:val="0"/>
                  <w:vAlign w:val="center"/>
                </w:tcPr>
                <w:p w14:paraId="7F5E65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color w:val="auto"/>
                      <w:sz w:val="18"/>
                      <w:szCs w:val="18"/>
                      <w:lang w:val="en-US" w:eastAsia="zh-CN"/>
                    </w:rPr>
                  </w:pPr>
                  <w:r>
                    <w:rPr>
                      <w:rFonts w:hint="eastAsia"/>
                      <w:b/>
                      <w:color w:val="auto"/>
                      <w:sz w:val="18"/>
                      <w:szCs w:val="18"/>
                      <w:lang w:val="en-US" w:eastAsia="zh-CN"/>
                    </w:rPr>
                    <w:t>现有数量</w:t>
                  </w:r>
                </w:p>
              </w:tc>
              <w:tc>
                <w:tcPr>
                  <w:tcW w:w="774" w:type="pct"/>
                  <w:vMerge w:val="restart"/>
                  <w:noWrap w:val="0"/>
                  <w:vAlign w:val="center"/>
                </w:tcPr>
                <w:p w14:paraId="586C529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color w:val="auto"/>
                      <w:sz w:val="18"/>
                      <w:szCs w:val="18"/>
                      <w:lang w:val="en-US" w:eastAsia="zh-CN"/>
                    </w:rPr>
                  </w:pPr>
                  <w:r>
                    <w:rPr>
                      <w:rFonts w:hint="eastAsia"/>
                      <w:b/>
                      <w:color w:val="auto"/>
                      <w:sz w:val="18"/>
                      <w:szCs w:val="18"/>
                      <w:lang w:val="en-US" w:eastAsia="zh-CN"/>
                    </w:rPr>
                    <w:t>变化情况</w:t>
                  </w:r>
                </w:p>
              </w:tc>
            </w:tr>
            <w:tr w14:paraId="6E6FD573">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3" w:hRule="atLeast"/>
              </w:trPr>
              <w:tc>
                <w:tcPr>
                  <w:tcW w:w="379" w:type="pct"/>
                  <w:vMerge w:val="continue"/>
                  <w:noWrap w:val="0"/>
                  <w:vAlign w:val="center"/>
                </w:tcPr>
                <w:p w14:paraId="41B1BF0C">
                  <w:pPr>
                    <w:keepNext w:val="0"/>
                    <w:keepLines w:val="0"/>
                    <w:pageBreakBefore w:val="0"/>
                    <w:kinsoku/>
                    <w:wordWrap/>
                    <w:overflowPunct/>
                    <w:topLinePunct w:val="0"/>
                    <w:autoSpaceDE/>
                    <w:autoSpaceDN/>
                    <w:bidi w:val="0"/>
                    <w:spacing w:line="360" w:lineRule="auto"/>
                    <w:jc w:val="center"/>
                    <w:textAlignment w:val="auto"/>
                    <w:rPr>
                      <w:b/>
                      <w:color w:val="auto"/>
                      <w:sz w:val="18"/>
                      <w:szCs w:val="18"/>
                    </w:rPr>
                  </w:pPr>
                </w:p>
              </w:tc>
              <w:tc>
                <w:tcPr>
                  <w:tcW w:w="892" w:type="pct"/>
                  <w:vMerge w:val="continue"/>
                  <w:noWrap w:val="0"/>
                  <w:vAlign w:val="center"/>
                </w:tcPr>
                <w:p w14:paraId="2C1A863B">
                  <w:pPr>
                    <w:keepNext w:val="0"/>
                    <w:keepLines w:val="0"/>
                    <w:pageBreakBefore w:val="0"/>
                    <w:kinsoku/>
                    <w:wordWrap/>
                    <w:overflowPunct/>
                    <w:topLinePunct w:val="0"/>
                    <w:autoSpaceDE/>
                    <w:autoSpaceDN/>
                    <w:bidi w:val="0"/>
                    <w:spacing w:line="360" w:lineRule="auto"/>
                    <w:ind w:firstLine="361" w:firstLineChars="200"/>
                    <w:jc w:val="center"/>
                    <w:textAlignment w:val="auto"/>
                    <w:rPr>
                      <w:b/>
                      <w:color w:val="auto"/>
                      <w:sz w:val="18"/>
                      <w:szCs w:val="18"/>
                    </w:rPr>
                  </w:pPr>
                </w:p>
              </w:tc>
              <w:tc>
                <w:tcPr>
                  <w:tcW w:w="1007" w:type="pct"/>
                  <w:vMerge w:val="continue"/>
                  <w:noWrap w:val="0"/>
                  <w:vAlign w:val="center"/>
                </w:tcPr>
                <w:p w14:paraId="6FFEA693">
                  <w:pPr>
                    <w:keepNext w:val="0"/>
                    <w:keepLines w:val="0"/>
                    <w:pageBreakBefore w:val="0"/>
                    <w:kinsoku/>
                    <w:wordWrap/>
                    <w:overflowPunct/>
                    <w:topLinePunct w:val="0"/>
                    <w:autoSpaceDE/>
                    <w:autoSpaceDN/>
                    <w:bidi w:val="0"/>
                    <w:spacing w:line="360" w:lineRule="auto"/>
                    <w:jc w:val="center"/>
                    <w:textAlignment w:val="auto"/>
                    <w:rPr>
                      <w:b/>
                      <w:color w:val="auto"/>
                      <w:sz w:val="18"/>
                      <w:szCs w:val="18"/>
                    </w:rPr>
                  </w:pPr>
                </w:p>
              </w:tc>
              <w:tc>
                <w:tcPr>
                  <w:tcW w:w="417" w:type="pct"/>
                  <w:vMerge w:val="continue"/>
                  <w:tcBorders>
                    <w:right w:val="single" w:color="auto" w:sz="4" w:space="0"/>
                  </w:tcBorders>
                  <w:noWrap w:val="0"/>
                  <w:vAlign w:val="center"/>
                </w:tcPr>
                <w:p w14:paraId="4F454000">
                  <w:pPr>
                    <w:keepNext w:val="0"/>
                    <w:keepLines w:val="0"/>
                    <w:pageBreakBefore w:val="0"/>
                    <w:kinsoku/>
                    <w:wordWrap/>
                    <w:overflowPunct/>
                    <w:topLinePunct w:val="0"/>
                    <w:autoSpaceDE/>
                    <w:autoSpaceDN/>
                    <w:bidi w:val="0"/>
                    <w:spacing w:line="360" w:lineRule="auto"/>
                    <w:jc w:val="center"/>
                    <w:textAlignment w:val="auto"/>
                    <w:rPr>
                      <w:b/>
                      <w:color w:val="auto"/>
                      <w:sz w:val="18"/>
                      <w:szCs w:val="18"/>
                    </w:rPr>
                  </w:pPr>
                </w:p>
              </w:tc>
              <w:tc>
                <w:tcPr>
                  <w:tcW w:w="816" w:type="pct"/>
                  <w:tcBorders>
                    <w:top w:val="single" w:color="auto" w:sz="4" w:space="0"/>
                    <w:left w:val="single" w:color="auto" w:sz="4" w:space="0"/>
                    <w:right w:val="single" w:color="auto" w:sz="4" w:space="0"/>
                  </w:tcBorders>
                  <w:noWrap w:val="0"/>
                  <w:vAlign w:val="center"/>
                </w:tcPr>
                <w:p w14:paraId="01272A10">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default"/>
                      <w:b/>
                      <w:color w:val="auto"/>
                      <w:sz w:val="18"/>
                      <w:szCs w:val="18"/>
                      <w:lang w:val="en-US" w:eastAsia="zh-CN"/>
                    </w:rPr>
                  </w:pPr>
                  <w:r>
                    <w:rPr>
                      <w:rFonts w:hint="eastAsia"/>
                      <w:b/>
                      <w:color w:val="auto"/>
                      <w:sz w:val="18"/>
                      <w:szCs w:val="18"/>
                      <w:lang w:val="en-US" w:eastAsia="zh-CN"/>
                    </w:rPr>
                    <w:t>现有</w:t>
                  </w:r>
                </w:p>
              </w:tc>
              <w:tc>
                <w:tcPr>
                  <w:tcW w:w="713" w:type="pct"/>
                  <w:tcBorders>
                    <w:top w:val="single" w:color="auto" w:sz="4" w:space="0"/>
                    <w:left w:val="single" w:color="auto" w:sz="4" w:space="0"/>
                  </w:tcBorders>
                  <w:noWrap w:val="0"/>
                  <w:vAlign w:val="center"/>
                </w:tcPr>
                <w:p w14:paraId="53FA3B29">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default"/>
                      <w:b/>
                      <w:color w:val="auto"/>
                      <w:sz w:val="18"/>
                      <w:szCs w:val="18"/>
                      <w:lang w:val="en-US" w:eastAsia="zh-CN"/>
                    </w:rPr>
                  </w:pPr>
                  <w:r>
                    <w:rPr>
                      <w:rFonts w:hint="eastAsia"/>
                      <w:b/>
                      <w:color w:val="auto"/>
                      <w:sz w:val="18"/>
                      <w:szCs w:val="18"/>
                      <w:lang w:val="en-US" w:eastAsia="zh-CN"/>
                    </w:rPr>
                    <w:t>技改后</w:t>
                  </w:r>
                </w:p>
              </w:tc>
              <w:tc>
                <w:tcPr>
                  <w:tcW w:w="774" w:type="pct"/>
                  <w:vMerge w:val="continue"/>
                  <w:noWrap w:val="0"/>
                  <w:vAlign w:val="center"/>
                </w:tcPr>
                <w:p w14:paraId="120F92AA">
                  <w:pPr>
                    <w:keepNext w:val="0"/>
                    <w:keepLines w:val="0"/>
                    <w:pageBreakBefore w:val="0"/>
                    <w:kinsoku/>
                    <w:wordWrap/>
                    <w:overflowPunct/>
                    <w:topLinePunct w:val="0"/>
                    <w:autoSpaceDE/>
                    <w:autoSpaceDN/>
                    <w:bidi w:val="0"/>
                    <w:spacing w:line="360" w:lineRule="auto"/>
                    <w:jc w:val="center"/>
                    <w:textAlignment w:val="auto"/>
                    <w:rPr>
                      <w:rFonts w:hint="eastAsia"/>
                      <w:b/>
                      <w:color w:val="auto"/>
                      <w:sz w:val="18"/>
                      <w:szCs w:val="18"/>
                      <w:lang w:val="en-US" w:eastAsia="zh-CN"/>
                    </w:rPr>
                  </w:pPr>
                </w:p>
              </w:tc>
            </w:tr>
            <w:tr w14:paraId="7B284D02">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6954F80">
                  <w:pPr>
                    <w:keepNext w:val="0"/>
                    <w:keepLines w:val="0"/>
                    <w:pageBreakBefore w:val="0"/>
                    <w:widowControl/>
                    <w:kinsoku/>
                    <w:wordWrap/>
                    <w:overflowPunct/>
                    <w:topLinePunct w:val="0"/>
                    <w:autoSpaceDE/>
                    <w:autoSpaceDN/>
                    <w:bidi w:val="0"/>
                    <w:spacing w:line="360" w:lineRule="auto"/>
                    <w:jc w:val="center"/>
                    <w:textAlignment w:val="auto"/>
                    <w:rPr>
                      <w:b/>
                      <w:bCs/>
                      <w:color w:val="auto"/>
                      <w:kern w:val="0"/>
                      <w:sz w:val="18"/>
                      <w:szCs w:val="18"/>
                    </w:rPr>
                  </w:pPr>
                  <w:r>
                    <w:rPr>
                      <w:b/>
                      <w:bCs/>
                      <w:color w:val="auto"/>
                      <w:kern w:val="0"/>
                      <w:sz w:val="18"/>
                      <w:szCs w:val="18"/>
                    </w:rPr>
                    <w:t>1</w:t>
                  </w:r>
                </w:p>
              </w:tc>
              <w:tc>
                <w:tcPr>
                  <w:tcW w:w="4620" w:type="pct"/>
                  <w:gridSpan w:val="6"/>
                  <w:noWrap w:val="0"/>
                  <w:vAlign w:val="center"/>
                </w:tcPr>
                <w:p w14:paraId="34EDA615">
                  <w:pPr>
                    <w:keepNext w:val="0"/>
                    <w:keepLines w:val="0"/>
                    <w:pageBreakBefore w:val="0"/>
                    <w:widowControl/>
                    <w:kinsoku/>
                    <w:wordWrap/>
                    <w:overflowPunct/>
                    <w:topLinePunct w:val="0"/>
                    <w:autoSpaceDE/>
                    <w:autoSpaceDN/>
                    <w:bidi w:val="0"/>
                    <w:spacing w:line="360" w:lineRule="auto"/>
                    <w:textAlignment w:val="auto"/>
                    <w:rPr>
                      <w:b/>
                      <w:bCs/>
                      <w:color w:val="auto"/>
                      <w:kern w:val="0"/>
                      <w:sz w:val="18"/>
                      <w:szCs w:val="18"/>
                    </w:rPr>
                  </w:pPr>
                  <w:r>
                    <w:rPr>
                      <w:b/>
                      <w:bCs/>
                      <w:color w:val="auto"/>
                      <w:kern w:val="0"/>
                      <w:sz w:val="18"/>
                      <w:szCs w:val="18"/>
                    </w:rPr>
                    <w:t>仓库</w:t>
                  </w:r>
                </w:p>
              </w:tc>
            </w:tr>
            <w:tr w14:paraId="3E37FB5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0F57C155">
                  <w:pPr>
                    <w:widowControl/>
                    <w:jc w:val="center"/>
                    <w:rPr>
                      <w:color w:val="auto"/>
                      <w:kern w:val="0"/>
                      <w:sz w:val="18"/>
                      <w:szCs w:val="18"/>
                    </w:rPr>
                  </w:pPr>
                  <w:r>
                    <w:rPr>
                      <w:color w:val="auto"/>
                      <w:kern w:val="0"/>
                      <w:sz w:val="18"/>
                      <w:szCs w:val="18"/>
                    </w:rPr>
                    <w:t>1.1</w:t>
                  </w:r>
                </w:p>
              </w:tc>
              <w:tc>
                <w:tcPr>
                  <w:tcW w:w="892" w:type="pct"/>
                  <w:noWrap w:val="0"/>
                  <w:vAlign w:val="center"/>
                </w:tcPr>
                <w:p w14:paraId="631A0667">
                  <w:pPr>
                    <w:widowControl/>
                    <w:jc w:val="center"/>
                    <w:rPr>
                      <w:color w:val="auto"/>
                      <w:kern w:val="0"/>
                      <w:sz w:val="18"/>
                      <w:szCs w:val="18"/>
                    </w:rPr>
                  </w:pPr>
                  <w:r>
                    <w:rPr>
                      <w:color w:val="auto"/>
                      <w:kern w:val="0"/>
                      <w:sz w:val="18"/>
                      <w:szCs w:val="18"/>
                    </w:rPr>
                    <w:t>货架</w:t>
                  </w:r>
                </w:p>
              </w:tc>
              <w:tc>
                <w:tcPr>
                  <w:tcW w:w="1007" w:type="pct"/>
                  <w:noWrap w:val="0"/>
                  <w:vAlign w:val="center"/>
                </w:tcPr>
                <w:p w14:paraId="29E7C1DA">
                  <w:pPr>
                    <w:widowControl/>
                    <w:jc w:val="center"/>
                    <w:rPr>
                      <w:color w:val="auto"/>
                      <w:kern w:val="0"/>
                      <w:sz w:val="18"/>
                      <w:szCs w:val="18"/>
                    </w:rPr>
                  </w:pPr>
                </w:p>
              </w:tc>
              <w:tc>
                <w:tcPr>
                  <w:tcW w:w="417" w:type="pct"/>
                  <w:tcBorders>
                    <w:right w:val="single" w:color="auto" w:sz="4" w:space="0"/>
                  </w:tcBorders>
                  <w:noWrap w:val="0"/>
                  <w:vAlign w:val="center"/>
                </w:tcPr>
                <w:p w14:paraId="441A88C8">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center"/>
                </w:tcPr>
                <w:p w14:paraId="68B700C3">
                  <w:pPr>
                    <w:widowControl/>
                    <w:jc w:val="center"/>
                    <w:rPr>
                      <w:color w:val="auto"/>
                      <w:kern w:val="0"/>
                      <w:sz w:val="18"/>
                      <w:szCs w:val="18"/>
                    </w:rPr>
                  </w:pPr>
                  <w:r>
                    <w:rPr>
                      <w:color w:val="auto"/>
                      <w:kern w:val="0"/>
                      <w:sz w:val="18"/>
                      <w:szCs w:val="18"/>
                    </w:rPr>
                    <w:t>50</w:t>
                  </w:r>
                </w:p>
              </w:tc>
              <w:tc>
                <w:tcPr>
                  <w:tcW w:w="713" w:type="pct"/>
                  <w:tcBorders>
                    <w:left w:val="single" w:color="auto" w:sz="4" w:space="0"/>
                  </w:tcBorders>
                  <w:noWrap w:val="0"/>
                  <w:vAlign w:val="center"/>
                </w:tcPr>
                <w:p w14:paraId="0E6640B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50</w:t>
                  </w:r>
                </w:p>
              </w:tc>
              <w:tc>
                <w:tcPr>
                  <w:tcW w:w="774" w:type="pct"/>
                  <w:noWrap w:val="0"/>
                  <w:vAlign w:val="center"/>
                </w:tcPr>
                <w:p w14:paraId="5520C0A8">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0DAEFA0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47087B3">
                  <w:pPr>
                    <w:widowControl/>
                    <w:jc w:val="center"/>
                    <w:rPr>
                      <w:color w:val="auto"/>
                      <w:kern w:val="0"/>
                      <w:sz w:val="18"/>
                      <w:szCs w:val="18"/>
                    </w:rPr>
                  </w:pPr>
                  <w:r>
                    <w:rPr>
                      <w:color w:val="auto"/>
                      <w:kern w:val="0"/>
                      <w:sz w:val="18"/>
                      <w:szCs w:val="18"/>
                    </w:rPr>
                    <w:t>1.2</w:t>
                  </w:r>
                </w:p>
              </w:tc>
              <w:tc>
                <w:tcPr>
                  <w:tcW w:w="892" w:type="pct"/>
                  <w:noWrap w:val="0"/>
                  <w:vAlign w:val="center"/>
                </w:tcPr>
                <w:p w14:paraId="3AF13A57">
                  <w:pPr>
                    <w:widowControl/>
                    <w:jc w:val="center"/>
                    <w:rPr>
                      <w:color w:val="auto"/>
                      <w:kern w:val="0"/>
                      <w:sz w:val="18"/>
                      <w:szCs w:val="18"/>
                    </w:rPr>
                  </w:pPr>
                  <w:r>
                    <w:rPr>
                      <w:color w:val="auto"/>
                      <w:kern w:val="0"/>
                      <w:sz w:val="18"/>
                      <w:szCs w:val="18"/>
                    </w:rPr>
                    <w:t>电子秤</w:t>
                  </w:r>
                </w:p>
              </w:tc>
              <w:tc>
                <w:tcPr>
                  <w:tcW w:w="1007" w:type="pct"/>
                  <w:noWrap w:val="0"/>
                  <w:vAlign w:val="center"/>
                </w:tcPr>
                <w:p w14:paraId="71AC87A1">
                  <w:pPr>
                    <w:widowControl/>
                    <w:jc w:val="center"/>
                    <w:rPr>
                      <w:color w:val="auto"/>
                      <w:kern w:val="0"/>
                      <w:sz w:val="18"/>
                      <w:szCs w:val="18"/>
                    </w:rPr>
                  </w:pPr>
                </w:p>
              </w:tc>
              <w:tc>
                <w:tcPr>
                  <w:tcW w:w="417" w:type="pct"/>
                  <w:tcBorders>
                    <w:right w:val="single" w:color="auto" w:sz="4" w:space="0"/>
                  </w:tcBorders>
                  <w:noWrap w:val="0"/>
                  <w:vAlign w:val="center"/>
                </w:tcPr>
                <w:p w14:paraId="05866FB8">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7569B65A">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0D058BBA">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5EFF0BE6">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0DAB80B2">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31DAD22">
                  <w:pPr>
                    <w:widowControl/>
                    <w:jc w:val="center"/>
                    <w:rPr>
                      <w:color w:val="auto"/>
                      <w:kern w:val="0"/>
                      <w:sz w:val="18"/>
                      <w:szCs w:val="18"/>
                    </w:rPr>
                  </w:pPr>
                  <w:r>
                    <w:rPr>
                      <w:color w:val="auto"/>
                      <w:kern w:val="0"/>
                      <w:sz w:val="18"/>
                      <w:szCs w:val="18"/>
                    </w:rPr>
                    <w:t>1.3</w:t>
                  </w:r>
                </w:p>
              </w:tc>
              <w:tc>
                <w:tcPr>
                  <w:tcW w:w="892" w:type="pct"/>
                  <w:noWrap w:val="0"/>
                  <w:vAlign w:val="center"/>
                </w:tcPr>
                <w:p w14:paraId="2B44A26D">
                  <w:pPr>
                    <w:widowControl/>
                    <w:jc w:val="center"/>
                    <w:rPr>
                      <w:color w:val="auto"/>
                      <w:kern w:val="0"/>
                      <w:sz w:val="18"/>
                      <w:szCs w:val="18"/>
                    </w:rPr>
                  </w:pPr>
                  <w:r>
                    <w:rPr>
                      <w:color w:val="auto"/>
                      <w:kern w:val="0"/>
                      <w:sz w:val="18"/>
                      <w:szCs w:val="18"/>
                    </w:rPr>
                    <w:t>叉车</w:t>
                  </w:r>
                </w:p>
              </w:tc>
              <w:tc>
                <w:tcPr>
                  <w:tcW w:w="1007" w:type="pct"/>
                  <w:noWrap w:val="0"/>
                  <w:vAlign w:val="center"/>
                </w:tcPr>
                <w:p w14:paraId="0D5931A3">
                  <w:pPr>
                    <w:widowControl/>
                    <w:jc w:val="center"/>
                    <w:rPr>
                      <w:color w:val="auto"/>
                      <w:kern w:val="0"/>
                      <w:sz w:val="18"/>
                      <w:szCs w:val="18"/>
                    </w:rPr>
                  </w:pPr>
                </w:p>
              </w:tc>
              <w:tc>
                <w:tcPr>
                  <w:tcW w:w="417" w:type="pct"/>
                  <w:tcBorders>
                    <w:right w:val="single" w:color="auto" w:sz="4" w:space="0"/>
                  </w:tcBorders>
                  <w:noWrap w:val="0"/>
                  <w:vAlign w:val="center"/>
                </w:tcPr>
                <w:p w14:paraId="605AE135">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BB3A16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713" w:type="pct"/>
                  <w:tcBorders>
                    <w:left w:val="single" w:color="auto" w:sz="4" w:space="0"/>
                  </w:tcBorders>
                  <w:noWrap w:val="0"/>
                  <w:vAlign w:val="center"/>
                </w:tcPr>
                <w:p w14:paraId="2842A176">
                  <w:pPr>
                    <w:widowControl/>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774" w:type="pct"/>
                  <w:noWrap w:val="0"/>
                  <w:vAlign w:val="center"/>
                </w:tcPr>
                <w:p w14:paraId="1C33191E">
                  <w:pPr>
                    <w:spacing w:line="360" w:lineRule="auto"/>
                    <w:jc w:val="center"/>
                    <w:rPr>
                      <w:rFonts w:hint="default" w:eastAsia="宋体"/>
                      <w:color w:val="auto"/>
                      <w:sz w:val="18"/>
                      <w:szCs w:val="18"/>
                      <w:lang w:val="en-US" w:eastAsia="zh-CN"/>
                    </w:rPr>
                  </w:pPr>
                  <w:r>
                    <w:rPr>
                      <w:rFonts w:hint="eastAsia" w:eastAsia="宋体"/>
                      <w:color w:val="auto"/>
                      <w:sz w:val="18"/>
                      <w:szCs w:val="18"/>
                      <w:lang w:val="en-US" w:eastAsia="zh-CN"/>
                    </w:rPr>
                    <w:t>/</w:t>
                  </w:r>
                </w:p>
              </w:tc>
            </w:tr>
            <w:tr w14:paraId="10A91EA8">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0E6E9C3A">
                  <w:pPr>
                    <w:widowControl/>
                    <w:jc w:val="center"/>
                    <w:rPr>
                      <w:b/>
                      <w:bCs/>
                      <w:color w:val="auto"/>
                      <w:kern w:val="0"/>
                      <w:sz w:val="18"/>
                      <w:szCs w:val="18"/>
                    </w:rPr>
                  </w:pPr>
                  <w:r>
                    <w:rPr>
                      <w:b/>
                      <w:bCs/>
                      <w:color w:val="auto"/>
                      <w:kern w:val="0"/>
                      <w:sz w:val="18"/>
                      <w:szCs w:val="18"/>
                    </w:rPr>
                    <w:t>2</w:t>
                  </w:r>
                </w:p>
              </w:tc>
              <w:tc>
                <w:tcPr>
                  <w:tcW w:w="4620" w:type="pct"/>
                  <w:gridSpan w:val="6"/>
                  <w:noWrap w:val="0"/>
                  <w:vAlign w:val="center"/>
                </w:tcPr>
                <w:p w14:paraId="3B097A96">
                  <w:pPr>
                    <w:widowControl/>
                    <w:rPr>
                      <w:b/>
                      <w:bCs/>
                      <w:color w:val="auto"/>
                      <w:kern w:val="0"/>
                      <w:sz w:val="18"/>
                      <w:szCs w:val="18"/>
                    </w:rPr>
                  </w:pPr>
                  <w:r>
                    <w:rPr>
                      <w:b/>
                      <w:bCs/>
                      <w:color w:val="auto"/>
                      <w:kern w:val="0"/>
                      <w:sz w:val="18"/>
                      <w:szCs w:val="18"/>
                    </w:rPr>
                    <w:t>配料系统</w:t>
                  </w:r>
                </w:p>
              </w:tc>
            </w:tr>
            <w:tr w14:paraId="465D9672">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A52B616">
                  <w:pPr>
                    <w:widowControl/>
                    <w:jc w:val="center"/>
                    <w:rPr>
                      <w:color w:val="auto"/>
                      <w:kern w:val="0"/>
                      <w:sz w:val="18"/>
                      <w:szCs w:val="18"/>
                    </w:rPr>
                  </w:pPr>
                  <w:r>
                    <w:rPr>
                      <w:color w:val="auto"/>
                      <w:kern w:val="0"/>
                      <w:sz w:val="18"/>
                      <w:szCs w:val="18"/>
                    </w:rPr>
                    <w:t>2.1</w:t>
                  </w:r>
                </w:p>
              </w:tc>
              <w:tc>
                <w:tcPr>
                  <w:tcW w:w="892" w:type="pct"/>
                  <w:noWrap w:val="0"/>
                  <w:vAlign w:val="center"/>
                </w:tcPr>
                <w:p w14:paraId="25CC546E">
                  <w:pPr>
                    <w:widowControl/>
                    <w:jc w:val="center"/>
                    <w:rPr>
                      <w:color w:val="auto"/>
                      <w:kern w:val="0"/>
                      <w:sz w:val="18"/>
                      <w:szCs w:val="18"/>
                    </w:rPr>
                  </w:pPr>
                  <w:r>
                    <w:rPr>
                      <w:color w:val="auto"/>
                      <w:kern w:val="0"/>
                      <w:sz w:val="18"/>
                      <w:szCs w:val="18"/>
                    </w:rPr>
                    <w:t>皮带机</w:t>
                  </w:r>
                </w:p>
              </w:tc>
              <w:tc>
                <w:tcPr>
                  <w:tcW w:w="1007" w:type="pct"/>
                  <w:noWrap w:val="0"/>
                  <w:vAlign w:val="center"/>
                </w:tcPr>
                <w:p w14:paraId="5901B63D">
                  <w:pPr>
                    <w:widowControl/>
                    <w:jc w:val="center"/>
                    <w:rPr>
                      <w:color w:val="auto"/>
                      <w:kern w:val="0"/>
                      <w:sz w:val="18"/>
                      <w:szCs w:val="18"/>
                    </w:rPr>
                  </w:pPr>
                </w:p>
              </w:tc>
              <w:tc>
                <w:tcPr>
                  <w:tcW w:w="417" w:type="pct"/>
                  <w:tcBorders>
                    <w:right w:val="single" w:color="auto" w:sz="4" w:space="0"/>
                  </w:tcBorders>
                  <w:noWrap w:val="0"/>
                  <w:vAlign w:val="center"/>
                </w:tcPr>
                <w:p w14:paraId="506785A7">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451688A3">
                  <w:pPr>
                    <w:widowControl/>
                    <w:jc w:val="center"/>
                    <w:rPr>
                      <w:rFonts w:hint="eastAsia" w:eastAsia="宋体"/>
                      <w:color w:val="auto"/>
                      <w:kern w:val="0"/>
                      <w:sz w:val="18"/>
                      <w:szCs w:val="18"/>
                      <w:lang w:eastAsia="zh-CN"/>
                    </w:rPr>
                  </w:pPr>
                  <w:r>
                    <w:rPr>
                      <w:rFonts w:hint="eastAsia"/>
                      <w:color w:val="auto"/>
                      <w:kern w:val="0"/>
                      <w:sz w:val="18"/>
                      <w:szCs w:val="18"/>
                      <w:lang w:val="en-US" w:eastAsia="zh-CN"/>
                    </w:rPr>
                    <w:t>3</w:t>
                  </w:r>
                </w:p>
              </w:tc>
              <w:tc>
                <w:tcPr>
                  <w:tcW w:w="713" w:type="pct"/>
                  <w:tcBorders>
                    <w:left w:val="single" w:color="auto" w:sz="4" w:space="0"/>
                  </w:tcBorders>
                  <w:noWrap w:val="0"/>
                  <w:vAlign w:val="center"/>
                </w:tcPr>
                <w:p w14:paraId="0419B53F">
                  <w:pPr>
                    <w:widowControl/>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774" w:type="pct"/>
                  <w:noWrap w:val="0"/>
                  <w:vAlign w:val="center"/>
                </w:tcPr>
                <w:p w14:paraId="64430E53">
                  <w:pPr>
                    <w:spacing w:line="360" w:lineRule="auto"/>
                    <w:jc w:val="center"/>
                    <w:rPr>
                      <w:rFonts w:hint="default" w:eastAsia="宋体"/>
                      <w:color w:val="auto"/>
                      <w:sz w:val="18"/>
                      <w:szCs w:val="18"/>
                      <w:lang w:val="en-US" w:eastAsia="zh-CN"/>
                    </w:rPr>
                  </w:pPr>
                  <w:r>
                    <w:rPr>
                      <w:rFonts w:hint="eastAsia" w:eastAsia="宋体"/>
                      <w:color w:val="auto"/>
                      <w:sz w:val="18"/>
                      <w:szCs w:val="18"/>
                      <w:lang w:val="en-US" w:eastAsia="zh-CN"/>
                    </w:rPr>
                    <w:t>+1</w:t>
                  </w:r>
                </w:p>
              </w:tc>
            </w:tr>
            <w:tr w14:paraId="587A758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1A802A7">
                  <w:pPr>
                    <w:widowControl/>
                    <w:jc w:val="center"/>
                    <w:rPr>
                      <w:color w:val="auto"/>
                      <w:kern w:val="0"/>
                      <w:sz w:val="18"/>
                      <w:szCs w:val="18"/>
                    </w:rPr>
                  </w:pPr>
                  <w:r>
                    <w:rPr>
                      <w:color w:val="auto"/>
                      <w:kern w:val="0"/>
                      <w:sz w:val="18"/>
                      <w:szCs w:val="18"/>
                    </w:rPr>
                    <w:t>2.2</w:t>
                  </w:r>
                </w:p>
              </w:tc>
              <w:tc>
                <w:tcPr>
                  <w:tcW w:w="892" w:type="pct"/>
                  <w:noWrap w:val="0"/>
                  <w:vAlign w:val="center"/>
                </w:tcPr>
                <w:p w14:paraId="585DE8A9">
                  <w:pPr>
                    <w:widowControl/>
                    <w:jc w:val="center"/>
                    <w:rPr>
                      <w:color w:val="auto"/>
                      <w:kern w:val="0"/>
                      <w:sz w:val="18"/>
                      <w:szCs w:val="18"/>
                    </w:rPr>
                  </w:pPr>
                  <w:r>
                    <w:rPr>
                      <w:color w:val="auto"/>
                      <w:kern w:val="0"/>
                      <w:sz w:val="18"/>
                      <w:szCs w:val="18"/>
                    </w:rPr>
                    <w:t>料仓</w:t>
                  </w:r>
                </w:p>
              </w:tc>
              <w:tc>
                <w:tcPr>
                  <w:tcW w:w="1007" w:type="pct"/>
                  <w:noWrap w:val="0"/>
                  <w:vAlign w:val="center"/>
                </w:tcPr>
                <w:p w14:paraId="4B6FEE39">
                  <w:pPr>
                    <w:widowControl/>
                    <w:jc w:val="center"/>
                    <w:rPr>
                      <w:color w:val="auto"/>
                      <w:kern w:val="0"/>
                      <w:sz w:val="18"/>
                      <w:szCs w:val="18"/>
                    </w:rPr>
                  </w:pPr>
                </w:p>
              </w:tc>
              <w:tc>
                <w:tcPr>
                  <w:tcW w:w="417" w:type="pct"/>
                  <w:tcBorders>
                    <w:right w:val="single" w:color="auto" w:sz="4" w:space="0"/>
                  </w:tcBorders>
                  <w:noWrap w:val="0"/>
                  <w:vAlign w:val="center"/>
                </w:tcPr>
                <w:p w14:paraId="7E4F9E20">
                  <w:pPr>
                    <w:widowControl/>
                    <w:jc w:val="center"/>
                    <w:rPr>
                      <w:color w:val="auto"/>
                      <w:kern w:val="0"/>
                      <w:sz w:val="18"/>
                      <w:szCs w:val="18"/>
                    </w:rPr>
                  </w:pPr>
                  <w:r>
                    <w:rPr>
                      <w:color w:val="auto"/>
                      <w:kern w:val="0"/>
                      <w:sz w:val="18"/>
                      <w:szCs w:val="18"/>
                    </w:rPr>
                    <w:t>只</w:t>
                  </w:r>
                </w:p>
              </w:tc>
              <w:tc>
                <w:tcPr>
                  <w:tcW w:w="816" w:type="pct"/>
                  <w:tcBorders>
                    <w:left w:val="single" w:color="auto" w:sz="4" w:space="0"/>
                    <w:right w:val="single" w:color="auto" w:sz="4" w:space="0"/>
                  </w:tcBorders>
                  <w:noWrap w:val="0"/>
                  <w:vAlign w:val="center"/>
                </w:tcPr>
                <w:p w14:paraId="06F6101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713" w:type="pct"/>
                  <w:tcBorders>
                    <w:left w:val="single" w:color="auto" w:sz="4" w:space="0"/>
                  </w:tcBorders>
                  <w:noWrap w:val="0"/>
                  <w:vAlign w:val="center"/>
                </w:tcPr>
                <w:p w14:paraId="58B657BA">
                  <w:pPr>
                    <w:widowControl/>
                    <w:jc w:val="center"/>
                    <w:rPr>
                      <w:rFonts w:hint="default"/>
                      <w:color w:val="auto"/>
                      <w:kern w:val="0"/>
                      <w:sz w:val="18"/>
                      <w:szCs w:val="18"/>
                      <w:lang w:val="en-US" w:eastAsia="zh-CN"/>
                    </w:rPr>
                  </w:pPr>
                  <w:r>
                    <w:rPr>
                      <w:rFonts w:hint="eastAsia"/>
                      <w:color w:val="auto"/>
                      <w:kern w:val="0"/>
                      <w:sz w:val="18"/>
                      <w:szCs w:val="18"/>
                      <w:lang w:val="en-US" w:eastAsia="zh-CN"/>
                    </w:rPr>
                    <w:t>12</w:t>
                  </w:r>
                </w:p>
              </w:tc>
              <w:tc>
                <w:tcPr>
                  <w:tcW w:w="774" w:type="pct"/>
                  <w:noWrap w:val="0"/>
                  <w:vAlign w:val="center"/>
                </w:tcPr>
                <w:p w14:paraId="2257434F">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6CAC2141">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EE487DB">
                  <w:pPr>
                    <w:widowControl/>
                    <w:jc w:val="center"/>
                    <w:rPr>
                      <w:color w:val="auto"/>
                      <w:kern w:val="0"/>
                      <w:sz w:val="18"/>
                      <w:szCs w:val="18"/>
                    </w:rPr>
                  </w:pPr>
                  <w:r>
                    <w:rPr>
                      <w:color w:val="auto"/>
                      <w:kern w:val="0"/>
                      <w:sz w:val="18"/>
                      <w:szCs w:val="18"/>
                    </w:rPr>
                    <w:t>2.3</w:t>
                  </w:r>
                </w:p>
              </w:tc>
              <w:tc>
                <w:tcPr>
                  <w:tcW w:w="892" w:type="pct"/>
                  <w:noWrap w:val="0"/>
                  <w:vAlign w:val="center"/>
                </w:tcPr>
                <w:p w14:paraId="58AAC24C">
                  <w:pPr>
                    <w:widowControl/>
                    <w:jc w:val="center"/>
                    <w:rPr>
                      <w:color w:val="auto"/>
                      <w:kern w:val="0"/>
                      <w:sz w:val="18"/>
                      <w:szCs w:val="18"/>
                    </w:rPr>
                  </w:pPr>
                  <w:r>
                    <w:rPr>
                      <w:color w:val="auto"/>
                      <w:kern w:val="0"/>
                      <w:sz w:val="18"/>
                      <w:szCs w:val="18"/>
                    </w:rPr>
                    <w:t>振动给料机</w:t>
                  </w:r>
                </w:p>
              </w:tc>
              <w:tc>
                <w:tcPr>
                  <w:tcW w:w="1007" w:type="pct"/>
                  <w:noWrap w:val="0"/>
                  <w:vAlign w:val="center"/>
                </w:tcPr>
                <w:p w14:paraId="4B4DF3A0">
                  <w:pPr>
                    <w:widowControl/>
                    <w:jc w:val="center"/>
                    <w:rPr>
                      <w:color w:val="auto"/>
                      <w:kern w:val="0"/>
                      <w:sz w:val="18"/>
                      <w:szCs w:val="18"/>
                    </w:rPr>
                  </w:pPr>
                </w:p>
              </w:tc>
              <w:tc>
                <w:tcPr>
                  <w:tcW w:w="417" w:type="pct"/>
                  <w:tcBorders>
                    <w:right w:val="single" w:color="auto" w:sz="4" w:space="0"/>
                  </w:tcBorders>
                  <w:noWrap w:val="0"/>
                  <w:vAlign w:val="center"/>
                </w:tcPr>
                <w:p w14:paraId="7C3B8093">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3B78DE97">
                  <w:pPr>
                    <w:widowControl/>
                    <w:jc w:val="center"/>
                    <w:rPr>
                      <w:rFonts w:hint="eastAsia" w:eastAsia="宋体"/>
                      <w:color w:val="auto"/>
                      <w:kern w:val="0"/>
                      <w:sz w:val="18"/>
                      <w:szCs w:val="18"/>
                      <w:lang w:eastAsia="zh-CN"/>
                    </w:rPr>
                  </w:pPr>
                  <w:r>
                    <w:rPr>
                      <w:rFonts w:hint="eastAsia"/>
                      <w:color w:val="auto"/>
                      <w:kern w:val="0"/>
                      <w:sz w:val="18"/>
                      <w:szCs w:val="18"/>
                      <w:lang w:val="en-US" w:eastAsia="zh-CN"/>
                    </w:rPr>
                    <w:t>8</w:t>
                  </w:r>
                </w:p>
              </w:tc>
              <w:tc>
                <w:tcPr>
                  <w:tcW w:w="713" w:type="pct"/>
                  <w:tcBorders>
                    <w:left w:val="single" w:color="auto" w:sz="4" w:space="0"/>
                  </w:tcBorders>
                  <w:noWrap w:val="0"/>
                  <w:vAlign w:val="center"/>
                </w:tcPr>
                <w:p w14:paraId="0E9E9458">
                  <w:pPr>
                    <w:widowControl/>
                    <w:jc w:val="center"/>
                    <w:rPr>
                      <w:rFonts w:hint="default"/>
                      <w:color w:val="auto"/>
                      <w:kern w:val="0"/>
                      <w:sz w:val="18"/>
                      <w:szCs w:val="18"/>
                      <w:lang w:val="en-US" w:eastAsia="zh-CN"/>
                    </w:rPr>
                  </w:pPr>
                  <w:r>
                    <w:rPr>
                      <w:rFonts w:hint="eastAsia"/>
                      <w:color w:val="auto"/>
                      <w:kern w:val="0"/>
                      <w:sz w:val="18"/>
                      <w:szCs w:val="18"/>
                      <w:lang w:val="en-US" w:eastAsia="zh-CN"/>
                    </w:rPr>
                    <w:t>8</w:t>
                  </w:r>
                </w:p>
              </w:tc>
              <w:tc>
                <w:tcPr>
                  <w:tcW w:w="774" w:type="pct"/>
                  <w:noWrap w:val="0"/>
                  <w:vAlign w:val="center"/>
                </w:tcPr>
                <w:p w14:paraId="1867340B">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4C4A2D6E">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09CDBE7">
                  <w:pPr>
                    <w:widowControl/>
                    <w:jc w:val="center"/>
                    <w:rPr>
                      <w:color w:val="auto"/>
                      <w:kern w:val="0"/>
                      <w:sz w:val="18"/>
                      <w:szCs w:val="18"/>
                    </w:rPr>
                  </w:pPr>
                  <w:r>
                    <w:rPr>
                      <w:color w:val="auto"/>
                      <w:kern w:val="0"/>
                      <w:sz w:val="18"/>
                      <w:szCs w:val="18"/>
                    </w:rPr>
                    <w:t>2.4</w:t>
                  </w:r>
                </w:p>
              </w:tc>
              <w:tc>
                <w:tcPr>
                  <w:tcW w:w="892" w:type="pct"/>
                  <w:noWrap w:val="0"/>
                  <w:vAlign w:val="center"/>
                </w:tcPr>
                <w:p w14:paraId="7D3E93FC">
                  <w:pPr>
                    <w:widowControl/>
                    <w:jc w:val="center"/>
                    <w:rPr>
                      <w:color w:val="auto"/>
                      <w:kern w:val="0"/>
                      <w:sz w:val="18"/>
                      <w:szCs w:val="18"/>
                    </w:rPr>
                  </w:pPr>
                  <w:r>
                    <w:rPr>
                      <w:color w:val="auto"/>
                      <w:kern w:val="0"/>
                      <w:sz w:val="18"/>
                      <w:szCs w:val="18"/>
                    </w:rPr>
                    <w:t>斗提机</w:t>
                  </w:r>
                </w:p>
              </w:tc>
              <w:tc>
                <w:tcPr>
                  <w:tcW w:w="1007" w:type="pct"/>
                  <w:noWrap w:val="0"/>
                  <w:vAlign w:val="center"/>
                </w:tcPr>
                <w:p w14:paraId="3CA22EDF">
                  <w:pPr>
                    <w:widowControl/>
                    <w:jc w:val="center"/>
                    <w:rPr>
                      <w:color w:val="auto"/>
                      <w:kern w:val="0"/>
                      <w:sz w:val="18"/>
                      <w:szCs w:val="18"/>
                    </w:rPr>
                  </w:pPr>
                </w:p>
              </w:tc>
              <w:tc>
                <w:tcPr>
                  <w:tcW w:w="417" w:type="pct"/>
                  <w:tcBorders>
                    <w:right w:val="single" w:color="auto" w:sz="4" w:space="0"/>
                  </w:tcBorders>
                  <w:noWrap w:val="0"/>
                  <w:vAlign w:val="center"/>
                </w:tcPr>
                <w:p w14:paraId="3BE7C3C7">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2C5A732A">
                  <w:pPr>
                    <w:widowControl/>
                    <w:jc w:val="center"/>
                    <w:rPr>
                      <w:rFonts w:hint="eastAsia" w:eastAsia="宋体"/>
                      <w:color w:val="auto"/>
                      <w:kern w:val="0"/>
                      <w:sz w:val="18"/>
                      <w:szCs w:val="18"/>
                      <w:lang w:eastAsia="zh-CN"/>
                    </w:rPr>
                  </w:pPr>
                  <w:r>
                    <w:rPr>
                      <w:rFonts w:hint="eastAsia"/>
                      <w:color w:val="auto"/>
                      <w:kern w:val="0"/>
                      <w:sz w:val="18"/>
                      <w:szCs w:val="18"/>
                      <w:lang w:val="en-US" w:eastAsia="zh-CN"/>
                    </w:rPr>
                    <w:t>3</w:t>
                  </w:r>
                </w:p>
              </w:tc>
              <w:tc>
                <w:tcPr>
                  <w:tcW w:w="713" w:type="pct"/>
                  <w:tcBorders>
                    <w:left w:val="single" w:color="auto" w:sz="4" w:space="0"/>
                  </w:tcBorders>
                  <w:noWrap w:val="0"/>
                  <w:vAlign w:val="center"/>
                </w:tcPr>
                <w:p w14:paraId="076646EE">
                  <w:pPr>
                    <w:widowControl/>
                    <w:jc w:val="center"/>
                    <w:rPr>
                      <w:rFonts w:hint="default"/>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2C5624C0">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372F8F43">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5D31FBB">
                  <w:pPr>
                    <w:widowControl/>
                    <w:jc w:val="center"/>
                    <w:rPr>
                      <w:color w:val="auto"/>
                      <w:kern w:val="0"/>
                      <w:sz w:val="18"/>
                      <w:szCs w:val="18"/>
                    </w:rPr>
                  </w:pPr>
                  <w:r>
                    <w:rPr>
                      <w:color w:val="auto"/>
                      <w:kern w:val="0"/>
                      <w:sz w:val="18"/>
                      <w:szCs w:val="18"/>
                    </w:rPr>
                    <w:t>2.5</w:t>
                  </w:r>
                </w:p>
              </w:tc>
              <w:tc>
                <w:tcPr>
                  <w:tcW w:w="892" w:type="pct"/>
                  <w:noWrap w:val="0"/>
                  <w:vAlign w:val="center"/>
                </w:tcPr>
                <w:p w14:paraId="3EEE208B">
                  <w:pPr>
                    <w:widowControl/>
                    <w:jc w:val="center"/>
                    <w:rPr>
                      <w:color w:val="auto"/>
                      <w:kern w:val="0"/>
                      <w:sz w:val="18"/>
                      <w:szCs w:val="18"/>
                    </w:rPr>
                  </w:pPr>
                  <w:r>
                    <w:rPr>
                      <w:color w:val="auto"/>
                      <w:kern w:val="0"/>
                      <w:sz w:val="18"/>
                      <w:szCs w:val="18"/>
                    </w:rPr>
                    <w:t>升降机</w:t>
                  </w:r>
                </w:p>
              </w:tc>
              <w:tc>
                <w:tcPr>
                  <w:tcW w:w="1007" w:type="pct"/>
                  <w:noWrap w:val="0"/>
                  <w:vAlign w:val="center"/>
                </w:tcPr>
                <w:p w14:paraId="4FF42E8C">
                  <w:pPr>
                    <w:widowControl/>
                    <w:jc w:val="center"/>
                    <w:rPr>
                      <w:color w:val="auto"/>
                      <w:kern w:val="0"/>
                      <w:sz w:val="18"/>
                      <w:szCs w:val="18"/>
                    </w:rPr>
                  </w:pPr>
                </w:p>
              </w:tc>
              <w:tc>
                <w:tcPr>
                  <w:tcW w:w="417" w:type="pct"/>
                  <w:tcBorders>
                    <w:right w:val="single" w:color="auto" w:sz="4" w:space="0"/>
                  </w:tcBorders>
                  <w:noWrap w:val="0"/>
                  <w:vAlign w:val="center"/>
                </w:tcPr>
                <w:p w14:paraId="0CBEC777">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359FD343">
                  <w:pPr>
                    <w:widowControl/>
                    <w:jc w:val="center"/>
                    <w:rPr>
                      <w:rFonts w:hint="eastAsia" w:eastAsia="宋体"/>
                      <w:color w:val="auto"/>
                      <w:kern w:val="0"/>
                      <w:sz w:val="18"/>
                      <w:szCs w:val="18"/>
                      <w:lang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7CE06C57">
                  <w:pPr>
                    <w:widowControl/>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26E5B330">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27FFDF62">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3A031100">
                  <w:pPr>
                    <w:widowControl/>
                    <w:jc w:val="center"/>
                    <w:rPr>
                      <w:color w:val="auto"/>
                      <w:kern w:val="0"/>
                      <w:sz w:val="18"/>
                      <w:szCs w:val="18"/>
                    </w:rPr>
                  </w:pPr>
                  <w:r>
                    <w:rPr>
                      <w:color w:val="auto"/>
                      <w:kern w:val="0"/>
                      <w:sz w:val="18"/>
                      <w:szCs w:val="18"/>
                    </w:rPr>
                    <w:t>2.6</w:t>
                  </w:r>
                </w:p>
              </w:tc>
              <w:tc>
                <w:tcPr>
                  <w:tcW w:w="892" w:type="pct"/>
                  <w:noWrap w:val="0"/>
                  <w:vAlign w:val="center"/>
                </w:tcPr>
                <w:p w14:paraId="403D6B6C">
                  <w:pPr>
                    <w:widowControl/>
                    <w:jc w:val="center"/>
                    <w:rPr>
                      <w:color w:val="auto"/>
                      <w:kern w:val="0"/>
                      <w:sz w:val="18"/>
                      <w:szCs w:val="18"/>
                    </w:rPr>
                  </w:pPr>
                  <w:r>
                    <w:rPr>
                      <w:color w:val="auto"/>
                      <w:kern w:val="0"/>
                      <w:sz w:val="18"/>
                      <w:szCs w:val="18"/>
                    </w:rPr>
                    <w:t>自动控制柜及系统</w:t>
                  </w:r>
                </w:p>
              </w:tc>
              <w:tc>
                <w:tcPr>
                  <w:tcW w:w="1007" w:type="pct"/>
                  <w:noWrap w:val="0"/>
                  <w:vAlign w:val="center"/>
                </w:tcPr>
                <w:p w14:paraId="52B162EA">
                  <w:pPr>
                    <w:widowControl/>
                    <w:jc w:val="center"/>
                    <w:rPr>
                      <w:color w:val="auto"/>
                      <w:kern w:val="0"/>
                      <w:sz w:val="18"/>
                      <w:szCs w:val="18"/>
                    </w:rPr>
                  </w:pPr>
                </w:p>
              </w:tc>
              <w:tc>
                <w:tcPr>
                  <w:tcW w:w="417" w:type="pct"/>
                  <w:tcBorders>
                    <w:right w:val="single" w:color="auto" w:sz="4" w:space="0"/>
                  </w:tcBorders>
                  <w:noWrap w:val="0"/>
                  <w:vAlign w:val="center"/>
                </w:tcPr>
                <w:p w14:paraId="26216314">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235043FC">
                  <w:pPr>
                    <w:widowControl/>
                    <w:jc w:val="center"/>
                    <w:rPr>
                      <w:rFonts w:hint="eastAsia" w:eastAsia="宋体"/>
                      <w:color w:val="auto"/>
                      <w:kern w:val="0"/>
                      <w:sz w:val="18"/>
                      <w:szCs w:val="18"/>
                      <w:lang w:eastAsia="zh-CN"/>
                    </w:rPr>
                  </w:pPr>
                  <w:r>
                    <w:rPr>
                      <w:rFonts w:hint="eastAsia"/>
                      <w:color w:val="auto"/>
                      <w:kern w:val="0"/>
                      <w:sz w:val="18"/>
                      <w:szCs w:val="18"/>
                      <w:lang w:val="en-US" w:eastAsia="zh-CN"/>
                    </w:rPr>
                    <w:t>3</w:t>
                  </w:r>
                </w:p>
              </w:tc>
              <w:tc>
                <w:tcPr>
                  <w:tcW w:w="713" w:type="pct"/>
                  <w:tcBorders>
                    <w:left w:val="single" w:color="auto" w:sz="4" w:space="0"/>
                  </w:tcBorders>
                  <w:noWrap w:val="0"/>
                  <w:vAlign w:val="center"/>
                </w:tcPr>
                <w:p w14:paraId="0B20BAE7">
                  <w:pPr>
                    <w:widowControl/>
                    <w:jc w:val="center"/>
                    <w:rPr>
                      <w:rFonts w:hint="default"/>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0F1D45B8">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0B33D297">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BC40089">
                  <w:pPr>
                    <w:widowControl/>
                    <w:jc w:val="center"/>
                    <w:rPr>
                      <w:color w:val="auto"/>
                      <w:kern w:val="0"/>
                      <w:sz w:val="18"/>
                      <w:szCs w:val="18"/>
                    </w:rPr>
                  </w:pPr>
                  <w:r>
                    <w:rPr>
                      <w:color w:val="auto"/>
                      <w:kern w:val="0"/>
                      <w:sz w:val="18"/>
                      <w:szCs w:val="18"/>
                    </w:rPr>
                    <w:t>2.7</w:t>
                  </w:r>
                </w:p>
              </w:tc>
              <w:tc>
                <w:tcPr>
                  <w:tcW w:w="892" w:type="pct"/>
                  <w:noWrap w:val="0"/>
                  <w:vAlign w:val="center"/>
                </w:tcPr>
                <w:p w14:paraId="45EE285A">
                  <w:pPr>
                    <w:widowControl/>
                    <w:jc w:val="center"/>
                    <w:rPr>
                      <w:color w:val="auto"/>
                      <w:kern w:val="0"/>
                      <w:sz w:val="18"/>
                      <w:szCs w:val="18"/>
                    </w:rPr>
                  </w:pPr>
                  <w:r>
                    <w:rPr>
                      <w:color w:val="auto"/>
                      <w:kern w:val="0"/>
                      <w:sz w:val="18"/>
                      <w:szCs w:val="18"/>
                    </w:rPr>
                    <w:t>电动葫芦</w:t>
                  </w:r>
                </w:p>
              </w:tc>
              <w:tc>
                <w:tcPr>
                  <w:tcW w:w="1007" w:type="pct"/>
                  <w:noWrap w:val="0"/>
                  <w:vAlign w:val="center"/>
                </w:tcPr>
                <w:p w14:paraId="1EE56E9B">
                  <w:pPr>
                    <w:widowControl/>
                    <w:jc w:val="center"/>
                    <w:rPr>
                      <w:color w:val="auto"/>
                      <w:kern w:val="0"/>
                      <w:sz w:val="18"/>
                      <w:szCs w:val="18"/>
                    </w:rPr>
                  </w:pPr>
                </w:p>
              </w:tc>
              <w:tc>
                <w:tcPr>
                  <w:tcW w:w="417" w:type="pct"/>
                  <w:tcBorders>
                    <w:right w:val="single" w:color="auto" w:sz="4" w:space="0"/>
                  </w:tcBorders>
                  <w:noWrap w:val="0"/>
                  <w:vAlign w:val="center"/>
                </w:tcPr>
                <w:p w14:paraId="7BA10D4B">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71E0D4B4">
                  <w:pPr>
                    <w:widowControl/>
                    <w:jc w:val="center"/>
                    <w:rPr>
                      <w:rFonts w:hint="eastAsia" w:eastAsia="宋体"/>
                      <w:color w:val="auto"/>
                      <w:kern w:val="0"/>
                      <w:sz w:val="18"/>
                      <w:szCs w:val="18"/>
                      <w:lang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21332553">
                  <w:pPr>
                    <w:widowControl/>
                    <w:jc w:val="center"/>
                    <w:rPr>
                      <w:rFonts w:hint="default"/>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1355208D">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+1</w:t>
                  </w:r>
                </w:p>
              </w:tc>
            </w:tr>
            <w:tr w14:paraId="3BCD20FC">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392DFA4">
                  <w:pPr>
                    <w:widowControl/>
                    <w:jc w:val="center"/>
                    <w:rPr>
                      <w:color w:val="auto"/>
                      <w:kern w:val="0"/>
                      <w:sz w:val="18"/>
                      <w:szCs w:val="18"/>
                    </w:rPr>
                  </w:pPr>
                  <w:r>
                    <w:rPr>
                      <w:color w:val="auto"/>
                      <w:kern w:val="0"/>
                      <w:sz w:val="18"/>
                      <w:szCs w:val="18"/>
                    </w:rPr>
                    <w:t>2.8</w:t>
                  </w:r>
                </w:p>
              </w:tc>
              <w:tc>
                <w:tcPr>
                  <w:tcW w:w="892" w:type="pct"/>
                  <w:noWrap w:val="0"/>
                  <w:vAlign w:val="center"/>
                </w:tcPr>
                <w:p w14:paraId="01F26574">
                  <w:pPr>
                    <w:widowControl/>
                    <w:jc w:val="center"/>
                    <w:rPr>
                      <w:color w:val="auto"/>
                      <w:kern w:val="0"/>
                      <w:sz w:val="18"/>
                      <w:szCs w:val="18"/>
                    </w:rPr>
                  </w:pPr>
                  <w:r>
                    <w:rPr>
                      <w:color w:val="auto"/>
                      <w:kern w:val="0"/>
                      <w:sz w:val="18"/>
                      <w:szCs w:val="18"/>
                    </w:rPr>
                    <w:t>混料</w:t>
                  </w:r>
                  <w:r>
                    <w:rPr>
                      <w:rFonts w:hint="eastAsia"/>
                      <w:color w:val="auto"/>
                      <w:kern w:val="0"/>
                      <w:sz w:val="18"/>
                      <w:szCs w:val="18"/>
                    </w:rPr>
                    <w:t>机</w:t>
                  </w:r>
                </w:p>
              </w:tc>
              <w:tc>
                <w:tcPr>
                  <w:tcW w:w="1007" w:type="pct"/>
                  <w:noWrap w:val="0"/>
                  <w:vAlign w:val="center"/>
                </w:tcPr>
                <w:p w14:paraId="66204F25">
                  <w:pPr>
                    <w:widowControl/>
                    <w:jc w:val="center"/>
                    <w:rPr>
                      <w:color w:val="auto"/>
                      <w:kern w:val="0"/>
                      <w:sz w:val="18"/>
                      <w:szCs w:val="18"/>
                    </w:rPr>
                  </w:pPr>
                  <w:r>
                    <w:rPr>
                      <w:color w:val="auto"/>
                      <w:kern w:val="0"/>
                      <w:sz w:val="18"/>
                      <w:szCs w:val="18"/>
                    </w:rPr>
                    <w:t>1500型</w:t>
                  </w:r>
                </w:p>
              </w:tc>
              <w:tc>
                <w:tcPr>
                  <w:tcW w:w="417" w:type="pct"/>
                  <w:tcBorders>
                    <w:right w:val="single" w:color="auto" w:sz="4" w:space="0"/>
                  </w:tcBorders>
                  <w:noWrap w:val="0"/>
                  <w:vAlign w:val="center"/>
                </w:tcPr>
                <w:p w14:paraId="637DF2DB">
                  <w:pPr>
                    <w:widowControl/>
                    <w:jc w:val="center"/>
                    <w:rPr>
                      <w:color w:val="auto"/>
                      <w:kern w:val="0"/>
                      <w:sz w:val="18"/>
                      <w:szCs w:val="18"/>
                    </w:rPr>
                  </w:pPr>
                  <w:r>
                    <w:rPr>
                      <w:rFonts w:hint="eastAsia"/>
                      <w:color w:val="auto"/>
                      <w:kern w:val="0"/>
                      <w:sz w:val="18"/>
                      <w:szCs w:val="18"/>
                    </w:rPr>
                    <w:t>台</w:t>
                  </w:r>
                </w:p>
              </w:tc>
              <w:tc>
                <w:tcPr>
                  <w:tcW w:w="816" w:type="pct"/>
                  <w:tcBorders>
                    <w:left w:val="single" w:color="auto" w:sz="4" w:space="0"/>
                    <w:right w:val="single" w:color="auto" w:sz="4" w:space="0"/>
                  </w:tcBorders>
                  <w:noWrap w:val="0"/>
                  <w:vAlign w:val="center"/>
                </w:tcPr>
                <w:p w14:paraId="1F8010C2">
                  <w:pPr>
                    <w:widowControl/>
                    <w:jc w:val="center"/>
                    <w:rPr>
                      <w:color w:val="auto"/>
                      <w:kern w:val="0"/>
                      <w:sz w:val="18"/>
                      <w:szCs w:val="18"/>
                    </w:rPr>
                  </w:pPr>
                  <w:r>
                    <w:rPr>
                      <w:rFonts w:hint="eastAsia"/>
                      <w:color w:val="auto"/>
                      <w:kern w:val="0"/>
                      <w:sz w:val="18"/>
                      <w:szCs w:val="18"/>
                    </w:rPr>
                    <w:t>1</w:t>
                  </w:r>
                </w:p>
              </w:tc>
              <w:tc>
                <w:tcPr>
                  <w:tcW w:w="713" w:type="pct"/>
                  <w:tcBorders>
                    <w:left w:val="single" w:color="auto" w:sz="4" w:space="0"/>
                  </w:tcBorders>
                  <w:noWrap w:val="0"/>
                  <w:vAlign w:val="center"/>
                </w:tcPr>
                <w:p w14:paraId="0DED662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3448D456">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38BFD01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24257AA8">
                  <w:pPr>
                    <w:widowControl/>
                    <w:jc w:val="center"/>
                    <w:rPr>
                      <w:color w:val="auto"/>
                      <w:kern w:val="0"/>
                      <w:sz w:val="18"/>
                      <w:szCs w:val="18"/>
                    </w:rPr>
                  </w:pPr>
                  <w:r>
                    <w:rPr>
                      <w:rFonts w:hint="eastAsia"/>
                      <w:color w:val="auto"/>
                      <w:kern w:val="0"/>
                      <w:sz w:val="18"/>
                      <w:szCs w:val="18"/>
                    </w:rPr>
                    <w:t>2.9</w:t>
                  </w:r>
                </w:p>
              </w:tc>
              <w:tc>
                <w:tcPr>
                  <w:tcW w:w="892" w:type="pct"/>
                  <w:noWrap w:val="0"/>
                  <w:vAlign w:val="center"/>
                </w:tcPr>
                <w:p w14:paraId="3EC499E0">
                  <w:pPr>
                    <w:widowControl/>
                    <w:jc w:val="center"/>
                    <w:rPr>
                      <w:color w:val="auto"/>
                      <w:kern w:val="0"/>
                      <w:sz w:val="18"/>
                      <w:szCs w:val="18"/>
                    </w:rPr>
                  </w:pPr>
                  <w:r>
                    <w:rPr>
                      <w:color w:val="auto"/>
                      <w:kern w:val="0"/>
                      <w:sz w:val="18"/>
                      <w:szCs w:val="18"/>
                    </w:rPr>
                    <w:t>搅拌机</w:t>
                  </w:r>
                </w:p>
              </w:tc>
              <w:tc>
                <w:tcPr>
                  <w:tcW w:w="1007" w:type="pct"/>
                  <w:noWrap w:val="0"/>
                  <w:vAlign w:val="center"/>
                </w:tcPr>
                <w:p w14:paraId="2484FEA8">
                  <w:pPr>
                    <w:widowControl/>
                    <w:jc w:val="center"/>
                    <w:rPr>
                      <w:color w:val="auto"/>
                      <w:kern w:val="0"/>
                      <w:sz w:val="18"/>
                      <w:szCs w:val="18"/>
                    </w:rPr>
                  </w:pPr>
                </w:p>
              </w:tc>
              <w:tc>
                <w:tcPr>
                  <w:tcW w:w="417" w:type="pct"/>
                  <w:tcBorders>
                    <w:right w:val="single" w:color="auto" w:sz="4" w:space="0"/>
                  </w:tcBorders>
                  <w:noWrap w:val="0"/>
                  <w:vAlign w:val="center"/>
                </w:tcPr>
                <w:p w14:paraId="29B0E197">
                  <w:pPr>
                    <w:widowControl/>
                    <w:jc w:val="center"/>
                    <w:rPr>
                      <w:color w:val="auto"/>
                      <w:kern w:val="0"/>
                      <w:sz w:val="18"/>
                      <w:szCs w:val="18"/>
                    </w:rPr>
                  </w:pPr>
                  <w:r>
                    <w:rPr>
                      <w:rFonts w:hint="eastAsia"/>
                      <w:color w:val="auto"/>
                      <w:kern w:val="0"/>
                      <w:sz w:val="18"/>
                      <w:szCs w:val="18"/>
                    </w:rPr>
                    <w:t>台</w:t>
                  </w:r>
                </w:p>
              </w:tc>
              <w:tc>
                <w:tcPr>
                  <w:tcW w:w="816" w:type="pct"/>
                  <w:tcBorders>
                    <w:left w:val="single" w:color="auto" w:sz="4" w:space="0"/>
                    <w:right w:val="single" w:color="auto" w:sz="4" w:space="0"/>
                  </w:tcBorders>
                  <w:noWrap w:val="0"/>
                  <w:vAlign w:val="center"/>
                </w:tcPr>
                <w:p w14:paraId="3FBAE2F0">
                  <w:pPr>
                    <w:widowControl/>
                    <w:jc w:val="center"/>
                    <w:rPr>
                      <w:color w:val="auto"/>
                      <w:kern w:val="0"/>
                      <w:sz w:val="18"/>
                      <w:szCs w:val="18"/>
                    </w:rPr>
                  </w:pPr>
                  <w:r>
                    <w:rPr>
                      <w:rFonts w:hint="eastAsia"/>
                      <w:color w:val="auto"/>
                      <w:kern w:val="0"/>
                      <w:sz w:val="18"/>
                      <w:szCs w:val="18"/>
                    </w:rPr>
                    <w:t>1</w:t>
                  </w:r>
                </w:p>
              </w:tc>
              <w:tc>
                <w:tcPr>
                  <w:tcW w:w="713" w:type="pct"/>
                  <w:tcBorders>
                    <w:left w:val="single" w:color="auto" w:sz="4" w:space="0"/>
                  </w:tcBorders>
                  <w:noWrap w:val="0"/>
                  <w:vAlign w:val="center"/>
                </w:tcPr>
                <w:p w14:paraId="0782188E">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369C5D05">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3AD1120C">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05A001F">
                  <w:pPr>
                    <w:widowControl/>
                    <w:jc w:val="center"/>
                    <w:rPr>
                      <w:b/>
                      <w:bCs/>
                      <w:color w:val="auto"/>
                      <w:kern w:val="0"/>
                      <w:sz w:val="18"/>
                      <w:szCs w:val="18"/>
                    </w:rPr>
                  </w:pPr>
                  <w:r>
                    <w:rPr>
                      <w:b/>
                      <w:bCs/>
                      <w:color w:val="auto"/>
                      <w:kern w:val="0"/>
                      <w:sz w:val="18"/>
                      <w:szCs w:val="18"/>
                    </w:rPr>
                    <w:t>3</w:t>
                  </w:r>
                </w:p>
              </w:tc>
              <w:tc>
                <w:tcPr>
                  <w:tcW w:w="3133" w:type="pct"/>
                  <w:gridSpan w:val="4"/>
                  <w:tcBorders>
                    <w:right w:val="single" w:color="auto" w:sz="4" w:space="0"/>
                  </w:tcBorders>
                  <w:noWrap w:val="0"/>
                  <w:vAlign w:val="center"/>
                </w:tcPr>
                <w:p w14:paraId="02E23477">
                  <w:pPr>
                    <w:widowControl/>
                    <w:rPr>
                      <w:b/>
                      <w:bCs/>
                      <w:color w:val="auto"/>
                      <w:kern w:val="0"/>
                      <w:sz w:val="18"/>
                      <w:szCs w:val="18"/>
                    </w:rPr>
                  </w:pPr>
                  <w:r>
                    <w:rPr>
                      <w:b/>
                      <w:bCs/>
                      <w:color w:val="auto"/>
                      <w:kern w:val="0"/>
                      <w:sz w:val="18"/>
                      <w:szCs w:val="18"/>
                    </w:rPr>
                    <w:t>熔配成型包检系统</w:t>
                  </w:r>
                </w:p>
              </w:tc>
              <w:tc>
                <w:tcPr>
                  <w:tcW w:w="1487" w:type="pct"/>
                  <w:gridSpan w:val="2"/>
                  <w:tcBorders>
                    <w:left w:val="single" w:color="auto" w:sz="4" w:space="0"/>
                  </w:tcBorders>
                  <w:noWrap w:val="0"/>
                  <w:vAlign w:val="center"/>
                </w:tcPr>
                <w:p w14:paraId="6407EAEF">
                  <w:pPr>
                    <w:widowControl/>
                    <w:rPr>
                      <w:b/>
                      <w:bCs/>
                      <w:color w:val="auto"/>
                      <w:kern w:val="0"/>
                      <w:sz w:val="18"/>
                      <w:szCs w:val="18"/>
                    </w:rPr>
                  </w:pPr>
                </w:p>
              </w:tc>
            </w:tr>
            <w:tr w14:paraId="37C9E3B0">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C8574C8">
                  <w:pPr>
                    <w:widowControl/>
                    <w:jc w:val="center"/>
                    <w:rPr>
                      <w:color w:val="auto"/>
                      <w:kern w:val="0"/>
                      <w:sz w:val="18"/>
                      <w:szCs w:val="18"/>
                    </w:rPr>
                  </w:pPr>
                  <w:r>
                    <w:rPr>
                      <w:color w:val="auto"/>
                      <w:kern w:val="0"/>
                      <w:sz w:val="18"/>
                      <w:szCs w:val="18"/>
                    </w:rPr>
                    <w:t>3.1</w:t>
                  </w:r>
                </w:p>
              </w:tc>
              <w:tc>
                <w:tcPr>
                  <w:tcW w:w="892" w:type="pct"/>
                  <w:noWrap w:val="0"/>
                  <w:vAlign w:val="center"/>
                </w:tcPr>
                <w:p w14:paraId="2A8BBD3D">
                  <w:pPr>
                    <w:widowControl/>
                    <w:jc w:val="center"/>
                    <w:rPr>
                      <w:color w:val="auto"/>
                      <w:kern w:val="0"/>
                      <w:sz w:val="18"/>
                      <w:szCs w:val="18"/>
                    </w:rPr>
                  </w:pPr>
                  <w:r>
                    <w:rPr>
                      <w:color w:val="auto"/>
                      <w:kern w:val="0"/>
                      <w:sz w:val="18"/>
                      <w:szCs w:val="18"/>
                    </w:rPr>
                    <w:t>池炉</w:t>
                  </w:r>
                </w:p>
              </w:tc>
              <w:tc>
                <w:tcPr>
                  <w:tcW w:w="1007" w:type="pct"/>
                  <w:noWrap w:val="0"/>
                  <w:vAlign w:val="center"/>
                </w:tcPr>
                <w:p w14:paraId="69ADEED8">
                  <w:pPr>
                    <w:widowControl/>
                    <w:jc w:val="center"/>
                    <w:rPr>
                      <w:color w:val="auto"/>
                      <w:kern w:val="0"/>
                      <w:sz w:val="18"/>
                      <w:szCs w:val="18"/>
                    </w:rPr>
                  </w:pPr>
                  <w:r>
                    <w:rPr>
                      <w:color w:val="auto"/>
                      <w:kern w:val="0"/>
                      <w:sz w:val="18"/>
                      <w:szCs w:val="18"/>
                    </w:rPr>
                    <w:t>50m</w:t>
                  </w:r>
                  <w:r>
                    <w:rPr>
                      <w:color w:val="auto"/>
                      <w:kern w:val="0"/>
                      <w:sz w:val="18"/>
                      <w:szCs w:val="18"/>
                      <w:vertAlign w:val="superscript"/>
                    </w:rPr>
                    <w:t>2</w:t>
                  </w:r>
                </w:p>
              </w:tc>
              <w:tc>
                <w:tcPr>
                  <w:tcW w:w="417" w:type="pct"/>
                  <w:tcBorders>
                    <w:right w:val="single" w:color="auto" w:sz="4" w:space="0"/>
                  </w:tcBorders>
                  <w:noWrap w:val="0"/>
                  <w:vAlign w:val="center"/>
                </w:tcPr>
                <w:p w14:paraId="27514223">
                  <w:pPr>
                    <w:widowControl/>
                    <w:jc w:val="center"/>
                    <w:rPr>
                      <w:color w:val="auto"/>
                      <w:kern w:val="0"/>
                      <w:sz w:val="18"/>
                      <w:szCs w:val="18"/>
                    </w:rPr>
                  </w:pPr>
                  <w:r>
                    <w:rPr>
                      <w:color w:val="auto"/>
                      <w:kern w:val="0"/>
                      <w:sz w:val="18"/>
                      <w:szCs w:val="18"/>
                    </w:rPr>
                    <w:t>座</w:t>
                  </w:r>
                </w:p>
              </w:tc>
              <w:tc>
                <w:tcPr>
                  <w:tcW w:w="816" w:type="pct"/>
                  <w:tcBorders>
                    <w:left w:val="single" w:color="auto" w:sz="4" w:space="0"/>
                    <w:right w:val="single" w:color="auto" w:sz="4" w:space="0"/>
                  </w:tcBorders>
                  <w:noWrap w:val="0"/>
                  <w:vAlign w:val="center"/>
                </w:tcPr>
                <w:p w14:paraId="06DD5098">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06553D4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2C2AD3C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改为66</w:t>
                  </w:r>
                  <w:r>
                    <w:rPr>
                      <w:color w:val="auto"/>
                      <w:kern w:val="0"/>
                      <w:sz w:val="18"/>
                      <w:szCs w:val="18"/>
                    </w:rPr>
                    <w:t>m</w:t>
                  </w:r>
                  <w:r>
                    <w:rPr>
                      <w:color w:val="auto"/>
                      <w:kern w:val="0"/>
                      <w:sz w:val="18"/>
                      <w:szCs w:val="18"/>
                      <w:vertAlign w:val="superscript"/>
                    </w:rPr>
                    <w:t>2</w:t>
                  </w:r>
                </w:p>
              </w:tc>
            </w:tr>
            <w:tr w14:paraId="3157CA9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02C1C3C">
                  <w:pPr>
                    <w:widowControl/>
                    <w:jc w:val="center"/>
                    <w:rPr>
                      <w:color w:val="auto"/>
                      <w:kern w:val="0"/>
                      <w:sz w:val="18"/>
                      <w:szCs w:val="18"/>
                    </w:rPr>
                  </w:pPr>
                  <w:r>
                    <w:rPr>
                      <w:color w:val="auto"/>
                      <w:kern w:val="0"/>
                      <w:sz w:val="18"/>
                      <w:szCs w:val="18"/>
                    </w:rPr>
                    <w:t>3.2</w:t>
                  </w:r>
                </w:p>
              </w:tc>
              <w:tc>
                <w:tcPr>
                  <w:tcW w:w="892" w:type="pct"/>
                  <w:noWrap w:val="0"/>
                  <w:vAlign w:val="center"/>
                </w:tcPr>
                <w:p w14:paraId="38B16ED5">
                  <w:pPr>
                    <w:widowControl/>
                    <w:jc w:val="center"/>
                    <w:rPr>
                      <w:color w:val="auto"/>
                      <w:kern w:val="0"/>
                      <w:sz w:val="18"/>
                      <w:szCs w:val="18"/>
                    </w:rPr>
                  </w:pPr>
                  <w:r>
                    <w:rPr>
                      <w:color w:val="auto"/>
                      <w:kern w:val="0"/>
                      <w:sz w:val="18"/>
                      <w:szCs w:val="18"/>
                    </w:rPr>
                    <w:t>炉窑基础处理</w:t>
                  </w:r>
                </w:p>
              </w:tc>
              <w:tc>
                <w:tcPr>
                  <w:tcW w:w="1007" w:type="pct"/>
                  <w:noWrap w:val="0"/>
                  <w:vAlign w:val="center"/>
                </w:tcPr>
                <w:p w14:paraId="54ACAFDF">
                  <w:pPr>
                    <w:widowControl/>
                    <w:jc w:val="center"/>
                    <w:rPr>
                      <w:color w:val="auto"/>
                      <w:kern w:val="0"/>
                      <w:sz w:val="18"/>
                      <w:szCs w:val="18"/>
                    </w:rPr>
                  </w:pPr>
                </w:p>
              </w:tc>
              <w:tc>
                <w:tcPr>
                  <w:tcW w:w="417" w:type="pct"/>
                  <w:tcBorders>
                    <w:right w:val="single" w:color="auto" w:sz="4" w:space="0"/>
                  </w:tcBorders>
                  <w:noWrap w:val="0"/>
                  <w:vAlign w:val="center"/>
                </w:tcPr>
                <w:p w14:paraId="0DF589C2">
                  <w:pPr>
                    <w:widowControl/>
                    <w:jc w:val="center"/>
                    <w:rPr>
                      <w:color w:val="auto"/>
                      <w:kern w:val="0"/>
                      <w:sz w:val="18"/>
                      <w:szCs w:val="18"/>
                    </w:rPr>
                  </w:pPr>
                  <w:r>
                    <w:rPr>
                      <w:color w:val="auto"/>
                      <w:kern w:val="0"/>
                      <w:sz w:val="18"/>
                      <w:szCs w:val="18"/>
                    </w:rPr>
                    <w:t>座</w:t>
                  </w:r>
                </w:p>
              </w:tc>
              <w:tc>
                <w:tcPr>
                  <w:tcW w:w="816" w:type="pct"/>
                  <w:tcBorders>
                    <w:left w:val="single" w:color="auto" w:sz="4" w:space="0"/>
                    <w:right w:val="single" w:color="auto" w:sz="4" w:space="0"/>
                  </w:tcBorders>
                  <w:noWrap w:val="0"/>
                  <w:vAlign w:val="center"/>
                </w:tcPr>
                <w:p w14:paraId="0E36E2FF">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19C6C92E">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40214966">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eastAsia="宋体"/>
                      <w:color w:val="auto"/>
                      <w:sz w:val="18"/>
                      <w:szCs w:val="18"/>
                      <w:lang w:val="en-US" w:eastAsia="zh-CN"/>
                    </w:rPr>
                    <w:t>/</w:t>
                  </w:r>
                </w:p>
              </w:tc>
            </w:tr>
            <w:tr w14:paraId="7D4D46B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20C1906">
                  <w:pPr>
                    <w:widowControl/>
                    <w:jc w:val="center"/>
                    <w:rPr>
                      <w:color w:val="auto"/>
                      <w:kern w:val="0"/>
                      <w:sz w:val="18"/>
                      <w:szCs w:val="18"/>
                    </w:rPr>
                  </w:pPr>
                  <w:r>
                    <w:rPr>
                      <w:color w:val="auto"/>
                      <w:kern w:val="0"/>
                      <w:sz w:val="18"/>
                      <w:szCs w:val="18"/>
                    </w:rPr>
                    <w:t>3.3</w:t>
                  </w:r>
                </w:p>
              </w:tc>
              <w:tc>
                <w:tcPr>
                  <w:tcW w:w="892" w:type="pct"/>
                  <w:noWrap w:val="0"/>
                  <w:vAlign w:val="center"/>
                </w:tcPr>
                <w:p w14:paraId="6266688C">
                  <w:pPr>
                    <w:widowControl/>
                    <w:jc w:val="center"/>
                    <w:rPr>
                      <w:color w:val="auto"/>
                      <w:kern w:val="0"/>
                      <w:sz w:val="18"/>
                      <w:szCs w:val="18"/>
                    </w:rPr>
                  </w:pPr>
                  <w:r>
                    <w:rPr>
                      <w:color w:val="auto"/>
                      <w:kern w:val="0"/>
                      <w:sz w:val="18"/>
                      <w:szCs w:val="18"/>
                    </w:rPr>
                    <w:t>料道</w:t>
                  </w:r>
                </w:p>
              </w:tc>
              <w:tc>
                <w:tcPr>
                  <w:tcW w:w="1007" w:type="pct"/>
                  <w:noWrap w:val="0"/>
                  <w:vAlign w:val="center"/>
                </w:tcPr>
                <w:p w14:paraId="76041792">
                  <w:pPr>
                    <w:widowControl/>
                    <w:jc w:val="center"/>
                    <w:rPr>
                      <w:color w:val="auto"/>
                      <w:kern w:val="0"/>
                      <w:sz w:val="18"/>
                      <w:szCs w:val="18"/>
                    </w:rPr>
                  </w:pPr>
                </w:p>
              </w:tc>
              <w:tc>
                <w:tcPr>
                  <w:tcW w:w="417" w:type="pct"/>
                  <w:tcBorders>
                    <w:right w:val="single" w:color="auto" w:sz="4" w:space="0"/>
                  </w:tcBorders>
                  <w:noWrap w:val="0"/>
                  <w:vAlign w:val="center"/>
                </w:tcPr>
                <w:p w14:paraId="3C115728">
                  <w:pPr>
                    <w:widowControl/>
                    <w:jc w:val="center"/>
                    <w:rPr>
                      <w:color w:val="auto"/>
                      <w:kern w:val="0"/>
                      <w:sz w:val="18"/>
                      <w:szCs w:val="18"/>
                    </w:rPr>
                  </w:pPr>
                  <w:r>
                    <w:rPr>
                      <w:color w:val="auto"/>
                      <w:kern w:val="0"/>
                      <w:sz w:val="18"/>
                      <w:szCs w:val="18"/>
                    </w:rPr>
                    <w:t>条</w:t>
                  </w:r>
                </w:p>
              </w:tc>
              <w:tc>
                <w:tcPr>
                  <w:tcW w:w="816" w:type="pct"/>
                  <w:tcBorders>
                    <w:left w:val="single" w:color="auto" w:sz="4" w:space="0"/>
                    <w:right w:val="single" w:color="auto" w:sz="4" w:space="0"/>
                  </w:tcBorders>
                  <w:noWrap w:val="0"/>
                  <w:vAlign w:val="center"/>
                </w:tcPr>
                <w:p w14:paraId="2612756D">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55478738">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1005D120">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5C18949F">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20062CD">
                  <w:pPr>
                    <w:widowControl/>
                    <w:jc w:val="center"/>
                    <w:rPr>
                      <w:color w:val="auto"/>
                      <w:kern w:val="0"/>
                      <w:sz w:val="18"/>
                      <w:szCs w:val="18"/>
                    </w:rPr>
                  </w:pPr>
                  <w:r>
                    <w:rPr>
                      <w:color w:val="auto"/>
                      <w:kern w:val="0"/>
                      <w:sz w:val="18"/>
                      <w:szCs w:val="18"/>
                    </w:rPr>
                    <w:t>3.4</w:t>
                  </w:r>
                </w:p>
              </w:tc>
              <w:tc>
                <w:tcPr>
                  <w:tcW w:w="892" w:type="pct"/>
                  <w:noWrap w:val="0"/>
                  <w:vAlign w:val="center"/>
                </w:tcPr>
                <w:p w14:paraId="7B71A28E">
                  <w:pPr>
                    <w:widowControl/>
                    <w:jc w:val="center"/>
                    <w:rPr>
                      <w:color w:val="auto"/>
                      <w:kern w:val="0"/>
                      <w:sz w:val="18"/>
                      <w:szCs w:val="18"/>
                    </w:rPr>
                  </w:pPr>
                  <w:r>
                    <w:rPr>
                      <w:color w:val="auto"/>
                      <w:kern w:val="0"/>
                      <w:sz w:val="18"/>
                      <w:szCs w:val="18"/>
                    </w:rPr>
                    <w:t>输送机（纵向）</w:t>
                  </w:r>
                </w:p>
              </w:tc>
              <w:tc>
                <w:tcPr>
                  <w:tcW w:w="1007" w:type="pct"/>
                  <w:noWrap w:val="0"/>
                  <w:vAlign w:val="center"/>
                </w:tcPr>
                <w:p w14:paraId="6477277B">
                  <w:pPr>
                    <w:widowControl/>
                    <w:jc w:val="center"/>
                    <w:rPr>
                      <w:color w:val="auto"/>
                      <w:kern w:val="0"/>
                      <w:sz w:val="18"/>
                      <w:szCs w:val="18"/>
                    </w:rPr>
                  </w:pPr>
                </w:p>
              </w:tc>
              <w:tc>
                <w:tcPr>
                  <w:tcW w:w="417" w:type="pct"/>
                  <w:tcBorders>
                    <w:right w:val="single" w:color="auto" w:sz="4" w:space="0"/>
                  </w:tcBorders>
                  <w:noWrap w:val="0"/>
                  <w:vAlign w:val="center"/>
                </w:tcPr>
                <w:p w14:paraId="7CF21362">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12BA10E">
                  <w:pPr>
                    <w:widowControl/>
                    <w:jc w:val="center"/>
                    <w:rPr>
                      <w:rFonts w:hint="eastAsia" w:eastAsia="宋体"/>
                      <w:color w:val="auto"/>
                      <w:kern w:val="0"/>
                      <w:sz w:val="18"/>
                      <w:szCs w:val="18"/>
                      <w:lang w:eastAsia="zh-CN"/>
                    </w:rPr>
                  </w:pPr>
                  <w:r>
                    <w:rPr>
                      <w:rFonts w:hint="eastAsia"/>
                      <w:color w:val="auto"/>
                      <w:kern w:val="0"/>
                      <w:sz w:val="18"/>
                      <w:szCs w:val="18"/>
                      <w:lang w:val="en-US" w:eastAsia="zh-CN"/>
                    </w:rPr>
                    <w:t>4</w:t>
                  </w:r>
                </w:p>
              </w:tc>
              <w:tc>
                <w:tcPr>
                  <w:tcW w:w="713" w:type="pct"/>
                  <w:tcBorders>
                    <w:left w:val="single" w:color="auto" w:sz="4" w:space="0"/>
                  </w:tcBorders>
                  <w:noWrap w:val="0"/>
                  <w:vAlign w:val="center"/>
                </w:tcPr>
                <w:p w14:paraId="53FCDE16">
                  <w:pPr>
                    <w:widowControl/>
                    <w:jc w:val="center"/>
                    <w:rPr>
                      <w:rFonts w:hint="default"/>
                      <w:color w:val="auto"/>
                      <w:kern w:val="0"/>
                      <w:sz w:val="18"/>
                      <w:szCs w:val="18"/>
                      <w:lang w:val="en-US" w:eastAsia="zh-CN"/>
                    </w:rPr>
                  </w:pPr>
                  <w:r>
                    <w:rPr>
                      <w:rFonts w:hint="eastAsia"/>
                      <w:color w:val="auto"/>
                      <w:kern w:val="0"/>
                      <w:sz w:val="18"/>
                      <w:szCs w:val="18"/>
                      <w:lang w:val="en-US" w:eastAsia="zh-CN"/>
                    </w:rPr>
                    <w:t>12</w:t>
                  </w:r>
                </w:p>
              </w:tc>
              <w:tc>
                <w:tcPr>
                  <w:tcW w:w="774" w:type="pct"/>
                  <w:noWrap w:val="0"/>
                  <w:vAlign w:val="center"/>
                </w:tcPr>
                <w:p w14:paraId="4AE59113">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+8</w:t>
                  </w:r>
                </w:p>
              </w:tc>
            </w:tr>
            <w:tr w14:paraId="4E5FFB8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7D38B8C">
                  <w:pPr>
                    <w:widowControl/>
                    <w:jc w:val="center"/>
                    <w:rPr>
                      <w:color w:val="auto"/>
                      <w:kern w:val="0"/>
                      <w:sz w:val="18"/>
                      <w:szCs w:val="18"/>
                    </w:rPr>
                  </w:pPr>
                  <w:r>
                    <w:rPr>
                      <w:color w:val="auto"/>
                      <w:kern w:val="0"/>
                      <w:sz w:val="18"/>
                      <w:szCs w:val="18"/>
                    </w:rPr>
                    <w:t>3.5</w:t>
                  </w:r>
                </w:p>
              </w:tc>
              <w:tc>
                <w:tcPr>
                  <w:tcW w:w="892" w:type="pct"/>
                  <w:noWrap w:val="0"/>
                  <w:vAlign w:val="center"/>
                </w:tcPr>
                <w:p w14:paraId="125640D5">
                  <w:pPr>
                    <w:widowControl/>
                    <w:jc w:val="center"/>
                    <w:rPr>
                      <w:color w:val="auto"/>
                      <w:kern w:val="0"/>
                      <w:sz w:val="18"/>
                      <w:szCs w:val="18"/>
                    </w:rPr>
                  </w:pPr>
                  <w:r>
                    <w:rPr>
                      <w:color w:val="auto"/>
                      <w:kern w:val="0"/>
                      <w:sz w:val="18"/>
                      <w:szCs w:val="18"/>
                    </w:rPr>
                    <w:t>输送机（横向）</w:t>
                  </w:r>
                </w:p>
              </w:tc>
              <w:tc>
                <w:tcPr>
                  <w:tcW w:w="1007" w:type="pct"/>
                  <w:noWrap w:val="0"/>
                  <w:vAlign w:val="center"/>
                </w:tcPr>
                <w:p w14:paraId="179DF85F">
                  <w:pPr>
                    <w:widowControl/>
                    <w:jc w:val="center"/>
                    <w:rPr>
                      <w:color w:val="auto"/>
                      <w:kern w:val="0"/>
                      <w:sz w:val="18"/>
                      <w:szCs w:val="18"/>
                    </w:rPr>
                  </w:pPr>
                </w:p>
              </w:tc>
              <w:tc>
                <w:tcPr>
                  <w:tcW w:w="417" w:type="pct"/>
                  <w:tcBorders>
                    <w:right w:val="single" w:color="auto" w:sz="4" w:space="0"/>
                  </w:tcBorders>
                  <w:noWrap w:val="0"/>
                  <w:vAlign w:val="center"/>
                </w:tcPr>
                <w:p w14:paraId="21AC6FD2">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0EED13D">
                  <w:pPr>
                    <w:widowControl/>
                    <w:jc w:val="center"/>
                    <w:rPr>
                      <w:rFonts w:hint="eastAsia" w:eastAsia="宋体"/>
                      <w:color w:val="auto"/>
                      <w:kern w:val="0"/>
                      <w:sz w:val="18"/>
                      <w:szCs w:val="18"/>
                      <w:lang w:eastAsia="zh-CN"/>
                    </w:rPr>
                  </w:pPr>
                  <w:r>
                    <w:rPr>
                      <w:rFonts w:hint="eastAsia"/>
                      <w:color w:val="auto"/>
                      <w:kern w:val="0"/>
                      <w:sz w:val="18"/>
                      <w:szCs w:val="18"/>
                      <w:lang w:val="en-US" w:eastAsia="zh-CN"/>
                    </w:rPr>
                    <w:t>9</w:t>
                  </w:r>
                </w:p>
              </w:tc>
              <w:tc>
                <w:tcPr>
                  <w:tcW w:w="713" w:type="pct"/>
                  <w:tcBorders>
                    <w:left w:val="single" w:color="auto" w:sz="4" w:space="0"/>
                  </w:tcBorders>
                  <w:noWrap w:val="0"/>
                  <w:vAlign w:val="center"/>
                </w:tcPr>
                <w:p w14:paraId="4CAE8A0F">
                  <w:pPr>
                    <w:widowControl/>
                    <w:jc w:val="center"/>
                    <w:rPr>
                      <w:rFonts w:hint="default"/>
                      <w:color w:val="auto"/>
                      <w:kern w:val="0"/>
                      <w:sz w:val="18"/>
                      <w:szCs w:val="18"/>
                      <w:lang w:val="en-US" w:eastAsia="zh-CN"/>
                    </w:rPr>
                  </w:pPr>
                  <w:r>
                    <w:rPr>
                      <w:rFonts w:hint="eastAsia"/>
                      <w:color w:val="auto"/>
                      <w:kern w:val="0"/>
                      <w:sz w:val="18"/>
                      <w:szCs w:val="18"/>
                      <w:lang w:val="en-US" w:eastAsia="zh-CN"/>
                    </w:rPr>
                    <w:t>21</w:t>
                  </w:r>
                </w:p>
              </w:tc>
              <w:tc>
                <w:tcPr>
                  <w:tcW w:w="774" w:type="pct"/>
                  <w:noWrap w:val="0"/>
                  <w:vAlign w:val="center"/>
                </w:tcPr>
                <w:p w14:paraId="2222B5ED">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+12</w:t>
                  </w:r>
                </w:p>
              </w:tc>
            </w:tr>
            <w:tr w14:paraId="171CBB2E">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3B2B96E2">
                  <w:pPr>
                    <w:widowControl/>
                    <w:jc w:val="center"/>
                    <w:rPr>
                      <w:color w:val="auto"/>
                      <w:kern w:val="0"/>
                      <w:sz w:val="18"/>
                      <w:szCs w:val="18"/>
                    </w:rPr>
                  </w:pPr>
                  <w:r>
                    <w:rPr>
                      <w:color w:val="auto"/>
                      <w:kern w:val="0"/>
                      <w:sz w:val="18"/>
                      <w:szCs w:val="18"/>
                    </w:rPr>
                    <w:t>3.6</w:t>
                  </w:r>
                </w:p>
              </w:tc>
              <w:tc>
                <w:tcPr>
                  <w:tcW w:w="892" w:type="pct"/>
                  <w:noWrap w:val="0"/>
                  <w:vAlign w:val="center"/>
                </w:tcPr>
                <w:p w14:paraId="79BE33DE">
                  <w:pPr>
                    <w:widowControl/>
                    <w:jc w:val="center"/>
                    <w:rPr>
                      <w:color w:val="auto"/>
                      <w:kern w:val="0"/>
                      <w:sz w:val="18"/>
                      <w:szCs w:val="18"/>
                    </w:rPr>
                  </w:pPr>
                  <w:r>
                    <w:rPr>
                      <w:color w:val="auto"/>
                      <w:kern w:val="0"/>
                      <w:sz w:val="18"/>
                      <w:szCs w:val="18"/>
                    </w:rPr>
                    <w:t>推瓶机</w:t>
                  </w:r>
                </w:p>
              </w:tc>
              <w:tc>
                <w:tcPr>
                  <w:tcW w:w="1007" w:type="pct"/>
                  <w:noWrap w:val="0"/>
                  <w:vAlign w:val="center"/>
                </w:tcPr>
                <w:p w14:paraId="085E1E63">
                  <w:pPr>
                    <w:widowControl/>
                    <w:jc w:val="center"/>
                    <w:rPr>
                      <w:color w:val="auto"/>
                      <w:kern w:val="0"/>
                      <w:sz w:val="18"/>
                      <w:szCs w:val="18"/>
                    </w:rPr>
                  </w:pPr>
                </w:p>
              </w:tc>
              <w:tc>
                <w:tcPr>
                  <w:tcW w:w="417" w:type="pct"/>
                  <w:tcBorders>
                    <w:right w:val="single" w:color="auto" w:sz="4" w:space="0"/>
                  </w:tcBorders>
                  <w:noWrap w:val="0"/>
                  <w:vAlign w:val="center"/>
                </w:tcPr>
                <w:p w14:paraId="02F921C2">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1236994C">
                  <w:pPr>
                    <w:widowControl/>
                    <w:jc w:val="center"/>
                    <w:rPr>
                      <w:rFonts w:hint="eastAsia" w:eastAsia="宋体"/>
                      <w:color w:val="auto"/>
                      <w:kern w:val="0"/>
                      <w:sz w:val="18"/>
                      <w:szCs w:val="18"/>
                      <w:lang w:eastAsia="zh-CN"/>
                    </w:rPr>
                  </w:pPr>
                  <w:r>
                    <w:rPr>
                      <w:rFonts w:hint="eastAsia"/>
                      <w:color w:val="auto"/>
                      <w:kern w:val="0"/>
                      <w:sz w:val="18"/>
                      <w:szCs w:val="18"/>
                      <w:lang w:val="en-US" w:eastAsia="zh-CN"/>
                    </w:rPr>
                    <w:t>5</w:t>
                  </w:r>
                </w:p>
              </w:tc>
              <w:tc>
                <w:tcPr>
                  <w:tcW w:w="713" w:type="pct"/>
                  <w:tcBorders>
                    <w:left w:val="single" w:color="auto" w:sz="4" w:space="0"/>
                  </w:tcBorders>
                  <w:noWrap w:val="0"/>
                  <w:vAlign w:val="center"/>
                </w:tcPr>
                <w:p w14:paraId="25DE37FA">
                  <w:pPr>
                    <w:widowControl/>
                    <w:jc w:val="center"/>
                    <w:rPr>
                      <w:rFonts w:hint="default"/>
                      <w:color w:val="auto"/>
                      <w:kern w:val="0"/>
                      <w:sz w:val="18"/>
                      <w:szCs w:val="18"/>
                      <w:lang w:val="en-US" w:eastAsia="zh-CN"/>
                    </w:rPr>
                  </w:pPr>
                  <w:r>
                    <w:rPr>
                      <w:rFonts w:hint="eastAsia"/>
                      <w:color w:val="auto"/>
                      <w:kern w:val="0"/>
                      <w:sz w:val="18"/>
                      <w:szCs w:val="18"/>
                      <w:lang w:val="en-US" w:eastAsia="zh-CN"/>
                    </w:rPr>
                    <w:t>11</w:t>
                  </w:r>
                </w:p>
              </w:tc>
              <w:tc>
                <w:tcPr>
                  <w:tcW w:w="774" w:type="pct"/>
                  <w:noWrap w:val="0"/>
                  <w:vAlign w:val="center"/>
                </w:tcPr>
                <w:p w14:paraId="6968F627">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+6</w:t>
                  </w:r>
                </w:p>
              </w:tc>
            </w:tr>
            <w:tr w14:paraId="241C5441">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37E5E886">
                  <w:pPr>
                    <w:widowControl/>
                    <w:jc w:val="center"/>
                    <w:rPr>
                      <w:color w:val="auto"/>
                      <w:kern w:val="0"/>
                      <w:sz w:val="18"/>
                      <w:szCs w:val="18"/>
                    </w:rPr>
                  </w:pPr>
                  <w:r>
                    <w:rPr>
                      <w:color w:val="auto"/>
                      <w:kern w:val="0"/>
                      <w:sz w:val="18"/>
                      <w:szCs w:val="18"/>
                    </w:rPr>
                    <w:t>3.7</w:t>
                  </w:r>
                </w:p>
              </w:tc>
              <w:tc>
                <w:tcPr>
                  <w:tcW w:w="892" w:type="pct"/>
                  <w:noWrap w:val="0"/>
                  <w:vAlign w:val="center"/>
                </w:tcPr>
                <w:p w14:paraId="508041CA">
                  <w:pPr>
                    <w:widowControl/>
                    <w:jc w:val="center"/>
                    <w:rPr>
                      <w:color w:val="auto"/>
                      <w:kern w:val="0"/>
                      <w:sz w:val="18"/>
                      <w:szCs w:val="18"/>
                    </w:rPr>
                  </w:pPr>
                  <w:r>
                    <w:rPr>
                      <w:color w:val="auto"/>
                      <w:kern w:val="0"/>
                      <w:sz w:val="18"/>
                      <w:szCs w:val="18"/>
                    </w:rPr>
                    <w:t>退火炉</w:t>
                  </w:r>
                </w:p>
              </w:tc>
              <w:tc>
                <w:tcPr>
                  <w:tcW w:w="1007" w:type="pct"/>
                  <w:noWrap w:val="0"/>
                  <w:vAlign w:val="center"/>
                </w:tcPr>
                <w:p w14:paraId="44A3C22B">
                  <w:pPr>
                    <w:widowControl/>
                    <w:jc w:val="center"/>
                    <w:rPr>
                      <w:color w:val="auto"/>
                      <w:kern w:val="0"/>
                      <w:sz w:val="18"/>
                      <w:szCs w:val="18"/>
                    </w:rPr>
                  </w:pPr>
                  <w:r>
                    <w:rPr>
                      <w:color w:val="auto"/>
                      <w:kern w:val="0"/>
                      <w:sz w:val="18"/>
                      <w:szCs w:val="18"/>
                    </w:rPr>
                    <w:t>W=2.1 M L=24M</w:t>
                  </w:r>
                </w:p>
              </w:tc>
              <w:tc>
                <w:tcPr>
                  <w:tcW w:w="417" w:type="pct"/>
                  <w:tcBorders>
                    <w:right w:val="single" w:color="auto" w:sz="4" w:space="0"/>
                  </w:tcBorders>
                  <w:noWrap w:val="0"/>
                  <w:vAlign w:val="center"/>
                </w:tcPr>
                <w:p w14:paraId="7D06D754">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D41E6DE">
                  <w:pPr>
                    <w:widowControl/>
                    <w:jc w:val="center"/>
                    <w:rPr>
                      <w:rFonts w:hint="eastAsia" w:eastAsia="宋体"/>
                      <w:color w:val="auto"/>
                      <w:kern w:val="0"/>
                      <w:sz w:val="18"/>
                      <w:szCs w:val="18"/>
                      <w:lang w:eastAsia="zh-CN"/>
                    </w:rPr>
                  </w:pPr>
                  <w:r>
                    <w:rPr>
                      <w:rFonts w:hint="eastAsia"/>
                      <w:color w:val="auto"/>
                      <w:kern w:val="0"/>
                      <w:sz w:val="18"/>
                      <w:szCs w:val="18"/>
                      <w:lang w:val="en-US" w:eastAsia="zh-CN"/>
                    </w:rPr>
                    <w:t>5</w:t>
                  </w:r>
                </w:p>
              </w:tc>
              <w:tc>
                <w:tcPr>
                  <w:tcW w:w="713" w:type="pct"/>
                  <w:tcBorders>
                    <w:left w:val="single" w:color="auto" w:sz="4" w:space="0"/>
                  </w:tcBorders>
                  <w:noWrap w:val="0"/>
                  <w:vAlign w:val="center"/>
                </w:tcPr>
                <w:p w14:paraId="3D6C64EF">
                  <w:pPr>
                    <w:widowControl/>
                    <w:jc w:val="center"/>
                    <w:rPr>
                      <w:rFonts w:hint="default"/>
                      <w:color w:val="auto"/>
                      <w:kern w:val="0"/>
                      <w:sz w:val="18"/>
                      <w:szCs w:val="18"/>
                      <w:lang w:val="en-US" w:eastAsia="zh-CN"/>
                    </w:rPr>
                  </w:pPr>
                  <w:r>
                    <w:rPr>
                      <w:rFonts w:hint="eastAsia"/>
                      <w:color w:val="auto"/>
                      <w:kern w:val="0"/>
                      <w:sz w:val="18"/>
                      <w:szCs w:val="18"/>
                      <w:lang w:val="en-US" w:eastAsia="zh-CN"/>
                    </w:rPr>
                    <w:t>7</w:t>
                  </w:r>
                </w:p>
              </w:tc>
              <w:tc>
                <w:tcPr>
                  <w:tcW w:w="774" w:type="pct"/>
                  <w:noWrap w:val="0"/>
                  <w:vAlign w:val="center"/>
                </w:tcPr>
                <w:p w14:paraId="6F121160">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+2</w:t>
                  </w:r>
                </w:p>
              </w:tc>
            </w:tr>
            <w:tr w14:paraId="628AACA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9307DB4">
                  <w:pPr>
                    <w:widowControl/>
                    <w:jc w:val="center"/>
                    <w:rPr>
                      <w:color w:val="auto"/>
                      <w:kern w:val="0"/>
                      <w:sz w:val="18"/>
                      <w:szCs w:val="18"/>
                    </w:rPr>
                  </w:pPr>
                  <w:r>
                    <w:rPr>
                      <w:color w:val="auto"/>
                      <w:kern w:val="0"/>
                      <w:sz w:val="18"/>
                      <w:szCs w:val="18"/>
                    </w:rPr>
                    <w:t>3.8</w:t>
                  </w:r>
                </w:p>
              </w:tc>
              <w:tc>
                <w:tcPr>
                  <w:tcW w:w="892" w:type="pct"/>
                  <w:noWrap w:val="0"/>
                  <w:vAlign w:val="center"/>
                </w:tcPr>
                <w:p w14:paraId="1968E102">
                  <w:pPr>
                    <w:widowControl/>
                    <w:jc w:val="center"/>
                    <w:rPr>
                      <w:rFonts w:hint="eastAsia" w:eastAsia="宋体"/>
                      <w:color w:val="auto"/>
                      <w:kern w:val="0"/>
                      <w:sz w:val="18"/>
                      <w:szCs w:val="18"/>
                      <w:lang w:eastAsia="zh-CN"/>
                    </w:rPr>
                  </w:pPr>
                  <w:r>
                    <w:rPr>
                      <w:color w:val="auto"/>
                      <w:kern w:val="0"/>
                      <w:sz w:val="18"/>
                      <w:szCs w:val="18"/>
                    </w:rPr>
                    <w:t>供料机</w:t>
                  </w:r>
                </w:p>
              </w:tc>
              <w:tc>
                <w:tcPr>
                  <w:tcW w:w="1007" w:type="pct"/>
                  <w:noWrap w:val="0"/>
                  <w:vAlign w:val="center"/>
                </w:tcPr>
                <w:p w14:paraId="3675286C">
                  <w:pPr>
                    <w:widowControl/>
                    <w:jc w:val="center"/>
                    <w:rPr>
                      <w:color w:val="auto"/>
                      <w:kern w:val="0"/>
                      <w:sz w:val="18"/>
                      <w:szCs w:val="18"/>
                    </w:rPr>
                  </w:pPr>
                </w:p>
              </w:tc>
              <w:tc>
                <w:tcPr>
                  <w:tcW w:w="417" w:type="pct"/>
                  <w:tcBorders>
                    <w:right w:val="single" w:color="auto" w:sz="4" w:space="0"/>
                  </w:tcBorders>
                  <w:noWrap w:val="0"/>
                  <w:vAlign w:val="center"/>
                </w:tcPr>
                <w:p w14:paraId="1348E3D4">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2D4E7F19">
                  <w:pPr>
                    <w:widowControl/>
                    <w:jc w:val="center"/>
                    <w:rPr>
                      <w:color w:val="auto"/>
                      <w:kern w:val="0"/>
                      <w:sz w:val="18"/>
                      <w:szCs w:val="18"/>
                    </w:rPr>
                  </w:pPr>
                  <w:r>
                    <w:rPr>
                      <w:color w:val="auto"/>
                      <w:kern w:val="0"/>
                      <w:sz w:val="18"/>
                      <w:szCs w:val="18"/>
                    </w:rPr>
                    <w:t>9</w:t>
                  </w:r>
                </w:p>
              </w:tc>
              <w:tc>
                <w:tcPr>
                  <w:tcW w:w="713" w:type="pct"/>
                  <w:tcBorders>
                    <w:left w:val="single" w:color="auto" w:sz="4" w:space="0"/>
                  </w:tcBorders>
                  <w:noWrap w:val="0"/>
                  <w:vAlign w:val="center"/>
                </w:tcPr>
                <w:p w14:paraId="79729895">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774" w:type="pct"/>
                  <w:noWrap w:val="0"/>
                  <w:vAlign w:val="center"/>
                </w:tcPr>
                <w:p w14:paraId="7D051509">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+3</w:t>
                  </w:r>
                </w:p>
              </w:tc>
            </w:tr>
            <w:tr w14:paraId="3122F4DA">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33018B5A">
                  <w:pPr>
                    <w:widowControl/>
                    <w:jc w:val="center"/>
                    <w:rPr>
                      <w:color w:val="auto"/>
                      <w:kern w:val="0"/>
                      <w:sz w:val="18"/>
                      <w:szCs w:val="18"/>
                    </w:rPr>
                  </w:pPr>
                  <w:r>
                    <w:rPr>
                      <w:color w:val="auto"/>
                      <w:kern w:val="0"/>
                      <w:sz w:val="18"/>
                      <w:szCs w:val="18"/>
                    </w:rPr>
                    <w:t>3.9</w:t>
                  </w:r>
                </w:p>
              </w:tc>
              <w:tc>
                <w:tcPr>
                  <w:tcW w:w="892" w:type="pct"/>
                  <w:noWrap w:val="0"/>
                  <w:vAlign w:val="center"/>
                </w:tcPr>
                <w:p w14:paraId="1192C5EA">
                  <w:pPr>
                    <w:widowControl/>
                    <w:jc w:val="center"/>
                    <w:rPr>
                      <w:color w:val="auto"/>
                      <w:kern w:val="0"/>
                      <w:sz w:val="18"/>
                      <w:szCs w:val="18"/>
                    </w:rPr>
                  </w:pPr>
                  <w:r>
                    <w:rPr>
                      <w:color w:val="auto"/>
                      <w:kern w:val="0"/>
                      <w:sz w:val="18"/>
                      <w:szCs w:val="18"/>
                    </w:rPr>
                    <w:t>加料机</w:t>
                  </w:r>
                </w:p>
              </w:tc>
              <w:tc>
                <w:tcPr>
                  <w:tcW w:w="1007" w:type="pct"/>
                  <w:noWrap w:val="0"/>
                  <w:vAlign w:val="center"/>
                </w:tcPr>
                <w:p w14:paraId="4E2D6572">
                  <w:pPr>
                    <w:widowControl/>
                    <w:jc w:val="center"/>
                    <w:rPr>
                      <w:color w:val="auto"/>
                      <w:kern w:val="0"/>
                      <w:sz w:val="18"/>
                      <w:szCs w:val="18"/>
                    </w:rPr>
                  </w:pPr>
                </w:p>
              </w:tc>
              <w:tc>
                <w:tcPr>
                  <w:tcW w:w="417" w:type="pct"/>
                  <w:tcBorders>
                    <w:right w:val="single" w:color="auto" w:sz="4" w:space="0"/>
                  </w:tcBorders>
                  <w:noWrap w:val="0"/>
                  <w:vAlign w:val="center"/>
                </w:tcPr>
                <w:p w14:paraId="0E82878A">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1C0F5D75">
                  <w:pPr>
                    <w:widowControl/>
                    <w:jc w:val="center"/>
                    <w:rPr>
                      <w:rFonts w:hint="eastAsia" w:eastAsia="宋体"/>
                      <w:color w:val="auto"/>
                      <w:kern w:val="0"/>
                      <w:sz w:val="18"/>
                      <w:szCs w:val="18"/>
                      <w:lang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5BAA506A">
                  <w:pPr>
                    <w:widowControl/>
                    <w:jc w:val="center"/>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7C6626E1">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r>
            <w:tr w14:paraId="31D8017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A44DF36">
                  <w:pPr>
                    <w:widowControl/>
                    <w:jc w:val="center"/>
                    <w:rPr>
                      <w:color w:val="auto"/>
                      <w:kern w:val="0"/>
                      <w:sz w:val="18"/>
                      <w:szCs w:val="18"/>
                    </w:rPr>
                  </w:pPr>
                  <w:r>
                    <w:rPr>
                      <w:color w:val="auto"/>
                      <w:kern w:val="0"/>
                      <w:sz w:val="18"/>
                      <w:szCs w:val="18"/>
                    </w:rPr>
                    <w:t>3.10</w:t>
                  </w:r>
                </w:p>
              </w:tc>
              <w:tc>
                <w:tcPr>
                  <w:tcW w:w="892" w:type="pct"/>
                  <w:noWrap w:val="0"/>
                  <w:vAlign w:val="center"/>
                </w:tcPr>
                <w:p w14:paraId="755724CB">
                  <w:pPr>
                    <w:widowControl/>
                    <w:jc w:val="center"/>
                    <w:rPr>
                      <w:color w:val="auto"/>
                      <w:kern w:val="0"/>
                      <w:sz w:val="18"/>
                      <w:szCs w:val="18"/>
                    </w:rPr>
                  </w:pPr>
                  <w:r>
                    <w:rPr>
                      <w:color w:val="auto"/>
                      <w:kern w:val="0"/>
                      <w:sz w:val="18"/>
                      <w:szCs w:val="18"/>
                    </w:rPr>
                    <w:t>模具</w:t>
                  </w:r>
                </w:p>
              </w:tc>
              <w:tc>
                <w:tcPr>
                  <w:tcW w:w="1007" w:type="pct"/>
                  <w:noWrap w:val="0"/>
                  <w:vAlign w:val="center"/>
                </w:tcPr>
                <w:p w14:paraId="763913AC">
                  <w:pPr>
                    <w:widowControl/>
                    <w:jc w:val="center"/>
                    <w:rPr>
                      <w:color w:val="auto"/>
                      <w:kern w:val="0"/>
                      <w:sz w:val="18"/>
                      <w:szCs w:val="18"/>
                    </w:rPr>
                  </w:pPr>
                </w:p>
              </w:tc>
              <w:tc>
                <w:tcPr>
                  <w:tcW w:w="417" w:type="pct"/>
                  <w:tcBorders>
                    <w:right w:val="single" w:color="auto" w:sz="4" w:space="0"/>
                  </w:tcBorders>
                  <w:noWrap w:val="0"/>
                  <w:vAlign w:val="center"/>
                </w:tcPr>
                <w:p w14:paraId="2C33A0F3">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45ADF3C2">
                  <w:pPr>
                    <w:widowControl/>
                    <w:jc w:val="center"/>
                    <w:rPr>
                      <w:color w:val="auto"/>
                      <w:kern w:val="0"/>
                      <w:sz w:val="18"/>
                      <w:szCs w:val="18"/>
                    </w:rPr>
                  </w:pPr>
                  <w:r>
                    <w:rPr>
                      <w:color w:val="auto"/>
                      <w:kern w:val="0"/>
                      <w:sz w:val="18"/>
                      <w:szCs w:val="18"/>
                    </w:rPr>
                    <w:t>200</w:t>
                  </w:r>
                </w:p>
              </w:tc>
              <w:tc>
                <w:tcPr>
                  <w:tcW w:w="713" w:type="pct"/>
                  <w:tcBorders>
                    <w:left w:val="single" w:color="auto" w:sz="4" w:space="0"/>
                  </w:tcBorders>
                  <w:noWrap w:val="0"/>
                  <w:vAlign w:val="center"/>
                </w:tcPr>
                <w:p w14:paraId="0BB2BD8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800</w:t>
                  </w:r>
                </w:p>
              </w:tc>
              <w:tc>
                <w:tcPr>
                  <w:tcW w:w="774" w:type="pct"/>
                  <w:noWrap w:val="0"/>
                  <w:vAlign w:val="center"/>
                </w:tcPr>
                <w:p w14:paraId="597AC61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+600</w:t>
                  </w:r>
                </w:p>
              </w:tc>
            </w:tr>
            <w:tr w14:paraId="621D9AAA">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98601BE">
                  <w:pPr>
                    <w:widowControl/>
                    <w:jc w:val="center"/>
                    <w:rPr>
                      <w:color w:val="auto"/>
                      <w:kern w:val="0"/>
                      <w:sz w:val="18"/>
                      <w:szCs w:val="18"/>
                    </w:rPr>
                  </w:pPr>
                  <w:r>
                    <w:rPr>
                      <w:color w:val="auto"/>
                      <w:kern w:val="0"/>
                      <w:sz w:val="18"/>
                      <w:szCs w:val="18"/>
                    </w:rPr>
                    <w:t>3.11</w:t>
                  </w:r>
                </w:p>
              </w:tc>
              <w:tc>
                <w:tcPr>
                  <w:tcW w:w="892" w:type="pct"/>
                  <w:noWrap w:val="0"/>
                  <w:vAlign w:val="center"/>
                </w:tcPr>
                <w:p w14:paraId="3B3E1CD8">
                  <w:pPr>
                    <w:widowControl/>
                    <w:jc w:val="center"/>
                    <w:rPr>
                      <w:color w:val="auto"/>
                      <w:kern w:val="0"/>
                      <w:sz w:val="18"/>
                      <w:szCs w:val="18"/>
                    </w:rPr>
                  </w:pPr>
                  <w:r>
                    <w:rPr>
                      <w:color w:val="auto"/>
                      <w:kern w:val="0"/>
                      <w:sz w:val="18"/>
                      <w:szCs w:val="18"/>
                    </w:rPr>
                    <w:t>检验排瓶机</w:t>
                  </w:r>
                </w:p>
              </w:tc>
              <w:tc>
                <w:tcPr>
                  <w:tcW w:w="1007" w:type="pct"/>
                  <w:noWrap w:val="0"/>
                  <w:vAlign w:val="center"/>
                </w:tcPr>
                <w:p w14:paraId="3FFA8768">
                  <w:pPr>
                    <w:widowControl/>
                    <w:jc w:val="center"/>
                    <w:rPr>
                      <w:color w:val="auto"/>
                      <w:kern w:val="0"/>
                      <w:sz w:val="18"/>
                      <w:szCs w:val="18"/>
                    </w:rPr>
                  </w:pPr>
                </w:p>
              </w:tc>
              <w:tc>
                <w:tcPr>
                  <w:tcW w:w="417" w:type="pct"/>
                  <w:tcBorders>
                    <w:right w:val="single" w:color="auto" w:sz="4" w:space="0"/>
                  </w:tcBorders>
                  <w:noWrap w:val="0"/>
                  <w:vAlign w:val="center"/>
                </w:tcPr>
                <w:p w14:paraId="603875FD">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7BCED130">
                  <w:pPr>
                    <w:widowControl/>
                    <w:jc w:val="center"/>
                    <w:rPr>
                      <w:rFonts w:hint="eastAsia" w:eastAsia="宋体"/>
                      <w:color w:val="auto"/>
                      <w:kern w:val="0"/>
                      <w:sz w:val="18"/>
                      <w:szCs w:val="18"/>
                      <w:lang w:eastAsia="zh-CN"/>
                    </w:rPr>
                  </w:pPr>
                  <w:r>
                    <w:rPr>
                      <w:rFonts w:hint="eastAsia"/>
                      <w:color w:val="auto"/>
                      <w:kern w:val="0"/>
                      <w:sz w:val="18"/>
                      <w:szCs w:val="18"/>
                      <w:lang w:val="en-US" w:eastAsia="zh-CN"/>
                    </w:rPr>
                    <w:t>9</w:t>
                  </w:r>
                </w:p>
              </w:tc>
              <w:tc>
                <w:tcPr>
                  <w:tcW w:w="713" w:type="pct"/>
                  <w:tcBorders>
                    <w:left w:val="single" w:color="auto" w:sz="4" w:space="0"/>
                  </w:tcBorders>
                  <w:noWrap w:val="0"/>
                  <w:vAlign w:val="center"/>
                </w:tcPr>
                <w:p w14:paraId="7F4F3DB5">
                  <w:pPr>
                    <w:widowControl/>
                    <w:jc w:val="center"/>
                    <w:rPr>
                      <w:rFonts w:hint="default"/>
                      <w:color w:val="auto"/>
                      <w:kern w:val="0"/>
                      <w:sz w:val="18"/>
                      <w:szCs w:val="18"/>
                      <w:lang w:val="en-US" w:eastAsia="zh-CN"/>
                    </w:rPr>
                  </w:pPr>
                  <w:r>
                    <w:rPr>
                      <w:rFonts w:hint="eastAsia"/>
                      <w:color w:val="auto"/>
                      <w:kern w:val="0"/>
                      <w:sz w:val="18"/>
                      <w:szCs w:val="18"/>
                      <w:lang w:val="en-US" w:eastAsia="zh-CN"/>
                    </w:rPr>
                    <w:t>0</w:t>
                  </w:r>
                </w:p>
              </w:tc>
              <w:tc>
                <w:tcPr>
                  <w:tcW w:w="774" w:type="pct"/>
                  <w:noWrap w:val="0"/>
                  <w:vAlign w:val="center"/>
                </w:tcPr>
                <w:p w14:paraId="640BD1C1">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-9</w:t>
                  </w:r>
                </w:p>
              </w:tc>
            </w:tr>
            <w:tr w14:paraId="3008745F">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6C851CB">
                  <w:pPr>
                    <w:widowControl/>
                    <w:jc w:val="center"/>
                    <w:rPr>
                      <w:color w:val="auto"/>
                      <w:kern w:val="0"/>
                      <w:sz w:val="18"/>
                      <w:szCs w:val="18"/>
                    </w:rPr>
                  </w:pPr>
                  <w:r>
                    <w:rPr>
                      <w:color w:val="auto"/>
                      <w:kern w:val="0"/>
                      <w:sz w:val="18"/>
                      <w:szCs w:val="18"/>
                    </w:rPr>
                    <w:t>3.12</w:t>
                  </w:r>
                </w:p>
              </w:tc>
              <w:tc>
                <w:tcPr>
                  <w:tcW w:w="892" w:type="pct"/>
                  <w:noWrap w:val="0"/>
                  <w:vAlign w:val="center"/>
                </w:tcPr>
                <w:p w14:paraId="06945F79">
                  <w:pPr>
                    <w:widowControl/>
                    <w:jc w:val="center"/>
                    <w:rPr>
                      <w:color w:val="auto"/>
                      <w:kern w:val="0"/>
                      <w:sz w:val="18"/>
                      <w:szCs w:val="18"/>
                    </w:rPr>
                  </w:pPr>
                  <w:r>
                    <w:rPr>
                      <w:color w:val="auto"/>
                      <w:kern w:val="0"/>
                      <w:sz w:val="18"/>
                      <w:szCs w:val="18"/>
                    </w:rPr>
                    <w:t>炉窑仪表控制</w:t>
                  </w:r>
                </w:p>
              </w:tc>
              <w:tc>
                <w:tcPr>
                  <w:tcW w:w="1007" w:type="pct"/>
                  <w:noWrap w:val="0"/>
                  <w:vAlign w:val="center"/>
                </w:tcPr>
                <w:p w14:paraId="02E085F5">
                  <w:pPr>
                    <w:widowControl/>
                    <w:jc w:val="center"/>
                    <w:rPr>
                      <w:color w:val="auto"/>
                      <w:kern w:val="0"/>
                      <w:sz w:val="18"/>
                      <w:szCs w:val="18"/>
                    </w:rPr>
                  </w:pPr>
                </w:p>
              </w:tc>
              <w:tc>
                <w:tcPr>
                  <w:tcW w:w="417" w:type="pct"/>
                  <w:tcBorders>
                    <w:right w:val="single" w:color="auto" w:sz="4" w:space="0"/>
                  </w:tcBorders>
                  <w:noWrap w:val="0"/>
                  <w:vAlign w:val="center"/>
                </w:tcPr>
                <w:p w14:paraId="27B6A897">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1D91A67C">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2B6D2193">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4C053FA4">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54EC9A27">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01149D7">
                  <w:pPr>
                    <w:widowControl/>
                    <w:jc w:val="center"/>
                    <w:rPr>
                      <w:color w:val="auto"/>
                      <w:kern w:val="0"/>
                      <w:sz w:val="18"/>
                      <w:szCs w:val="18"/>
                    </w:rPr>
                  </w:pPr>
                  <w:r>
                    <w:rPr>
                      <w:color w:val="auto"/>
                      <w:kern w:val="0"/>
                      <w:sz w:val="18"/>
                      <w:szCs w:val="18"/>
                    </w:rPr>
                    <w:t>3.13</w:t>
                  </w:r>
                </w:p>
              </w:tc>
              <w:tc>
                <w:tcPr>
                  <w:tcW w:w="892" w:type="pct"/>
                  <w:noWrap w:val="0"/>
                  <w:vAlign w:val="center"/>
                </w:tcPr>
                <w:p w14:paraId="20166AF7">
                  <w:pPr>
                    <w:widowControl/>
                    <w:jc w:val="center"/>
                    <w:rPr>
                      <w:color w:val="auto"/>
                      <w:kern w:val="0"/>
                      <w:sz w:val="18"/>
                      <w:szCs w:val="18"/>
                    </w:rPr>
                  </w:pPr>
                  <w:r>
                    <w:rPr>
                      <w:color w:val="auto"/>
                      <w:kern w:val="0"/>
                      <w:sz w:val="18"/>
                      <w:szCs w:val="18"/>
                    </w:rPr>
                    <w:t>维修机械设备</w:t>
                  </w:r>
                </w:p>
              </w:tc>
              <w:tc>
                <w:tcPr>
                  <w:tcW w:w="1007" w:type="pct"/>
                  <w:noWrap w:val="0"/>
                  <w:vAlign w:val="center"/>
                </w:tcPr>
                <w:p w14:paraId="0C9671A8">
                  <w:pPr>
                    <w:widowControl/>
                    <w:jc w:val="center"/>
                    <w:rPr>
                      <w:color w:val="auto"/>
                      <w:kern w:val="0"/>
                      <w:sz w:val="18"/>
                      <w:szCs w:val="18"/>
                    </w:rPr>
                  </w:pPr>
                </w:p>
              </w:tc>
              <w:tc>
                <w:tcPr>
                  <w:tcW w:w="417" w:type="pct"/>
                  <w:tcBorders>
                    <w:right w:val="single" w:color="auto" w:sz="4" w:space="0"/>
                  </w:tcBorders>
                  <w:noWrap w:val="0"/>
                  <w:vAlign w:val="center"/>
                </w:tcPr>
                <w:p w14:paraId="5A4EC6E9">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49DB54E0">
                  <w:pPr>
                    <w:widowControl/>
                    <w:jc w:val="center"/>
                    <w:rPr>
                      <w:color w:val="auto"/>
                      <w:kern w:val="0"/>
                      <w:sz w:val="18"/>
                      <w:szCs w:val="18"/>
                    </w:rPr>
                  </w:pPr>
                  <w:r>
                    <w:rPr>
                      <w:color w:val="auto"/>
                      <w:kern w:val="0"/>
                      <w:sz w:val="18"/>
                      <w:szCs w:val="18"/>
                    </w:rPr>
                    <w:t>6</w:t>
                  </w:r>
                </w:p>
              </w:tc>
              <w:tc>
                <w:tcPr>
                  <w:tcW w:w="713" w:type="pct"/>
                  <w:tcBorders>
                    <w:left w:val="single" w:color="auto" w:sz="4" w:space="0"/>
                  </w:tcBorders>
                  <w:noWrap w:val="0"/>
                  <w:vAlign w:val="center"/>
                </w:tcPr>
                <w:p w14:paraId="779ED07F">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774" w:type="pct"/>
                  <w:noWrap w:val="0"/>
                  <w:vAlign w:val="center"/>
                </w:tcPr>
                <w:p w14:paraId="77FB79D1">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58640042">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4AAECD7">
                  <w:pPr>
                    <w:widowControl/>
                    <w:jc w:val="center"/>
                    <w:rPr>
                      <w:color w:val="auto"/>
                      <w:kern w:val="0"/>
                      <w:sz w:val="18"/>
                      <w:szCs w:val="18"/>
                    </w:rPr>
                  </w:pPr>
                  <w:r>
                    <w:rPr>
                      <w:color w:val="auto"/>
                      <w:kern w:val="0"/>
                      <w:sz w:val="18"/>
                      <w:szCs w:val="18"/>
                    </w:rPr>
                    <w:t>3.14</w:t>
                  </w:r>
                </w:p>
              </w:tc>
              <w:tc>
                <w:tcPr>
                  <w:tcW w:w="892" w:type="pct"/>
                  <w:noWrap w:val="0"/>
                  <w:vAlign w:val="center"/>
                </w:tcPr>
                <w:p w14:paraId="16D337FB">
                  <w:pPr>
                    <w:widowControl/>
                    <w:jc w:val="center"/>
                    <w:rPr>
                      <w:color w:val="auto"/>
                      <w:kern w:val="0"/>
                      <w:sz w:val="18"/>
                      <w:szCs w:val="18"/>
                    </w:rPr>
                  </w:pPr>
                  <w:r>
                    <w:rPr>
                      <w:color w:val="auto"/>
                      <w:kern w:val="0"/>
                      <w:sz w:val="18"/>
                      <w:szCs w:val="18"/>
                    </w:rPr>
                    <w:t>行车</w:t>
                  </w:r>
                </w:p>
              </w:tc>
              <w:tc>
                <w:tcPr>
                  <w:tcW w:w="1007" w:type="pct"/>
                  <w:noWrap w:val="0"/>
                  <w:vAlign w:val="center"/>
                </w:tcPr>
                <w:p w14:paraId="05ECCA85">
                  <w:pPr>
                    <w:widowControl/>
                    <w:jc w:val="center"/>
                    <w:rPr>
                      <w:color w:val="auto"/>
                      <w:kern w:val="0"/>
                      <w:sz w:val="18"/>
                      <w:szCs w:val="18"/>
                    </w:rPr>
                  </w:pPr>
                  <w:r>
                    <w:rPr>
                      <w:rFonts w:hint="eastAsia"/>
                      <w:color w:val="auto"/>
                      <w:kern w:val="0"/>
                      <w:sz w:val="18"/>
                      <w:szCs w:val="18"/>
                      <w:lang w:val="en-US" w:eastAsia="zh-CN"/>
                    </w:rPr>
                    <w:t>2.8T</w:t>
                  </w:r>
                </w:p>
              </w:tc>
              <w:tc>
                <w:tcPr>
                  <w:tcW w:w="417" w:type="pct"/>
                  <w:tcBorders>
                    <w:right w:val="single" w:color="auto" w:sz="4" w:space="0"/>
                  </w:tcBorders>
                  <w:noWrap w:val="0"/>
                  <w:vAlign w:val="center"/>
                </w:tcPr>
                <w:p w14:paraId="0EC5181E">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2AE39BA2">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439CF531">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4D11A15F">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r>
            <w:tr w14:paraId="0B14188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0CC3759">
                  <w:pPr>
                    <w:widowControl/>
                    <w:jc w:val="center"/>
                    <w:rPr>
                      <w:color w:val="auto"/>
                      <w:kern w:val="0"/>
                      <w:sz w:val="18"/>
                      <w:szCs w:val="18"/>
                    </w:rPr>
                  </w:pPr>
                  <w:r>
                    <w:rPr>
                      <w:color w:val="auto"/>
                      <w:kern w:val="0"/>
                      <w:sz w:val="18"/>
                      <w:szCs w:val="18"/>
                    </w:rPr>
                    <w:t>3.15</w:t>
                  </w:r>
                </w:p>
              </w:tc>
              <w:tc>
                <w:tcPr>
                  <w:tcW w:w="892" w:type="pct"/>
                  <w:noWrap w:val="0"/>
                  <w:vAlign w:val="center"/>
                </w:tcPr>
                <w:p w14:paraId="050B0536">
                  <w:pPr>
                    <w:widowControl/>
                    <w:jc w:val="center"/>
                    <w:rPr>
                      <w:color w:val="auto"/>
                      <w:kern w:val="0"/>
                      <w:sz w:val="18"/>
                      <w:szCs w:val="18"/>
                    </w:rPr>
                  </w:pPr>
                  <w:r>
                    <w:rPr>
                      <w:rFonts w:hint="eastAsia"/>
                      <w:color w:val="auto"/>
                      <w:kern w:val="0"/>
                      <w:sz w:val="18"/>
                      <w:szCs w:val="18"/>
                    </w:rPr>
                    <w:t>引</w:t>
                  </w:r>
                  <w:r>
                    <w:rPr>
                      <w:color w:val="auto"/>
                      <w:kern w:val="0"/>
                      <w:sz w:val="18"/>
                      <w:szCs w:val="18"/>
                    </w:rPr>
                    <w:t>风机</w:t>
                  </w:r>
                </w:p>
              </w:tc>
              <w:tc>
                <w:tcPr>
                  <w:tcW w:w="1007" w:type="pct"/>
                  <w:noWrap w:val="0"/>
                  <w:vAlign w:val="center"/>
                </w:tcPr>
                <w:p w14:paraId="163ABA38">
                  <w:pPr>
                    <w:widowControl/>
                    <w:jc w:val="center"/>
                    <w:rPr>
                      <w:color w:val="auto"/>
                      <w:kern w:val="0"/>
                      <w:sz w:val="18"/>
                      <w:szCs w:val="18"/>
                    </w:rPr>
                  </w:pPr>
                  <w:r>
                    <w:rPr>
                      <w:color w:val="auto"/>
                      <w:kern w:val="0"/>
                      <w:sz w:val="18"/>
                      <w:szCs w:val="18"/>
                    </w:rPr>
                    <w:t>4-88-01</w:t>
                  </w:r>
                </w:p>
              </w:tc>
              <w:tc>
                <w:tcPr>
                  <w:tcW w:w="417" w:type="pct"/>
                  <w:tcBorders>
                    <w:right w:val="single" w:color="auto" w:sz="4" w:space="0"/>
                  </w:tcBorders>
                  <w:noWrap w:val="0"/>
                  <w:vAlign w:val="center"/>
                </w:tcPr>
                <w:p w14:paraId="3A2B26B1">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501C40C6">
                  <w:pPr>
                    <w:widowControl/>
                    <w:jc w:val="center"/>
                    <w:rPr>
                      <w:rFonts w:hint="eastAsia" w:eastAsia="宋体"/>
                      <w:color w:val="auto"/>
                      <w:kern w:val="0"/>
                      <w:sz w:val="18"/>
                      <w:szCs w:val="18"/>
                      <w:lang w:eastAsia="zh-CN"/>
                    </w:rPr>
                  </w:pPr>
                  <w:r>
                    <w:rPr>
                      <w:rFonts w:hint="eastAsia"/>
                      <w:color w:val="auto"/>
                      <w:kern w:val="0"/>
                      <w:sz w:val="18"/>
                      <w:szCs w:val="18"/>
                      <w:lang w:val="en-US" w:eastAsia="zh-CN"/>
                    </w:rPr>
                    <w:t>5</w:t>
                  </w:r>
                </w:p>
              </w:tc>
              <w:tc>
                <w:tcPr>
                  <w:tcW w:w="713" w:type="pct"/>
                  <w:tcBorders>
                    <w:left w:val="single" w:color="auto" w:sz="4" w:space="0"/>
                  </w:tcBorders>
                  <w:noWrap w:val="0"/>
                  <w:vAlign w:val="center"/>
                </w:tcPr>
                <w:p w14:paraId="7028E993">
                  <w:pPr>
                    <w:widowControl/>
                    <w:jc w:val="center"/>
                    <w:rPr>
                      <w:rFonts w:hint="default"/>
                      <w:color w:val="auto"/>
                      <w:kern w:val="0"/>
                      <w:sz w:val="18"/>
                      <w:szCs w:val="18"/>
                      <w:lang w:val="en-US" w:eastAsia="zh-CN"/>
                    </w:rPr>
                  </w:pPr>
                  <w:r>
                    <w:rPr>
                      <w:rFonts w:hint="eastAsia"/>
                      <w:color w:val="auto"/>
                      <w:kern w:val="0"/>
                      <w:sz w:val="18"/>
                      <w:szCs w:val="18"/>
                      <w:lang w:val="en-US" w:eastAsia="zh-CN"/>
                    </w:rPr>
                    <w:t>5</w:t>
                  </w:r>
                </w:p>
              </w:tc>
              <w:tc>
                <w:tcPr>
                  <w:tcW w:w="774" w:type="pct"/>
                  <w:noWrap w:val="0"/>
                  <w:vAlign w:val="center"/>
                </w:tcPr>
                <w:p w14:paraId="37D27BD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w:t>
                  </w:r>
                </w:p>
              </w:tc>
            </w:tr>
            <w:tr w14:paraId="7875D09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CDE01A1">
                  <w:pPr>
                    <w:widowControl/>
                    <w:jc w:val="center"/>
                    <w:rPr>
                      <w:color w:val="auto"/>
                      <w:kern w:val="0"/>
                      <w:sz w:val="18"/>
                      <w:szCs w:val="18"/>
                    </w:rPr>
                  </w:pPr>
                  <w:r>
                    <w:rPr>
                      <w:color w:val="auto"/>
                      <w:kern w:val="0"/>
                      <w:sz w:val="18"/>
                      <w:szCs w:val="18"/>
                    </w:rPr>
                    <w:t>3.16</w:t>
                  </w:r>
                </w:p>
              </w:tc>
              <w:tc>
                <w:tcPr>
                  <w:tcW w:w="892" w:type="pct"/>
                  <w:noWrap w:val="0"/>
                  <w:vAlign w:val="center"/>
                </w:tcPr>
                <w:p w14:paraId="1A8A7054">
                  <w:pPr>
                    <w:widowControl/>
                    <w:jc w:val="center"/>
                    <w:rPr>
                      <w:color w:val="auto"/>
                      <w:kern w:val="0"/>
                      <w:sz w:val="18"/>
                      <w:szCs w:val="18"/>
                    </w:rPr>
                  </w:pPr>
                  <w:r>
                    <w:rPr>
                      <w:color w:val="auto"/>
                      <w:kern w:val="0"/>
                      <w:sz w:val="18"/>
                      <w:szCs w:val="18"/>
                    </w:rPr>
                    <w:t>干粉输送泵</w:t>
                  </w:r>
                </w:p>
              </w:tc>
              <w:tc>
                <w:tcPr>
                  <w:tcW w:w="1007" w:type="pct"/>
                  <w:noWrap w:val="0"/>
                  <w:vAlign w:val="center"/>
                </w:tcPr>
                <w:p w14:paraId="3BDCD722">
                  <w:pPr>
                    <w:widowControl/>
                    <w:jc w:val="center"/>
                    <w:rPr>
                      <w:color w:val="auto"/>
                      <w:kern w:val="0"/>
                      <w:sz w:val="18"/>
                      <w:szCs w:val="18"/>
                    </w:rPr>
                  </w:pPr>
                </w:p>
              </w:tc>
              <w:tc>
                <w:tcPr>
                  <w:tcW w:w="417" w:type="pct"/>
                  <w:tcBorders>
                    <w:right w:val="single" w:color="auto" w:sz="4" w:space="0"/>
                  </w:tcBorders>
                  <w:noWrap w:val="0"/>
                  <w:vAlign w:val="center"/>
                </w:tcPr>
                <w:p w14:paraId="4C50C4DD">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F7630BC">
                  <w:pPr>
                    <w:widowControl/>
                    <w:jc w:val="center"/>
                    <w:rPr>
                      <w:color w:val="auto"/>
                      <w:kern w:val="0"/>
                      <w:sz w:val="18"/>
                      <w:szCs w:val="18"/>
                    </w:rPr>
                  </w:pPr>
                  <w:r>
                    <w:rPr>
                      <w:color w:val="auto"/>
                      <w:kern w:val="0"/>
                      <w:sz w:val="18"/>
                      <w:szCs w:val="18"/>
                    </w:rPr>
                    <w:t>3</w:t>
                  </w:r>
                </w:p>
              </w:tc>
              <w:tc>
                <w:tcPr>
                  <w:tcW w:w="713" w:type="pct"/>
                  <w:tcBorders>
                    <w:left w:val="single" w:color="auto" w:sz="4" w:space="0"/>
                  </w:tcBorders>
                  <w:noWrap w:val="0"/>
                  <w:vAlign w:val="center"/>
                </w:tcPr>
                <w:p w14:paraId="03ECF297">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1CE8A27C">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619063A8">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65F675E">
                  <w:pPr>
                    <w:widowControl/>
                    <w:jc w:val="center"/>
                    <w:rPr>
                      <w:color w:val="auto"/>
                      <w:kern w:val="0"/>
                      <w:sz w:val="18"/>
                      <w:szCs w:val="18"/>
                    </w:rPr>
                  </w:pPr>
                  <w:r>
                    <w:rPr>
                      <w:color w:val="auto"/>
                      <w:kern w:val="0"/>
                      <w:sz w:val="18"/>
                      <w:szCs w:val="18"/>
                    </w:rPr>
                    <w:t>3.17</w:t>
                  </w:r>
                </w:p>
              </w:tc>
              <w:tc>
                <w:tcPr>
                  <w:tcW w:w="892" w:type="pct"/>
                  <w:noWrap w:val="0"/>
                  <w:vAlign w:val="center"/>
                </w:tcPr>
                <w:p w14:paraId="76CB4613">
                  <w:pPr>
                    <w:widowControl/>
                    <w:jc w:val="center"/>
                    <w:rPr>
                      <w:color w:val="auto"/>
                      <w:kern w:val="0"/>
                      <w:sz w:val="18"/>
                      <w:szCs w:val="18"/>
                    </w:rPr>
                  </w:pPr>
                  <w:r>
                    <w:rPr>
                      <w:color w:val="auto"/>
                      <w:kern w:val="0"/>
                      <w:sz w:val="18"/>
                      <w:szCs w:val="18"/>
                    </w:rPr>
                    <w:t>行列机</w:t>
                  </w:r>
                </w:p>
              </w:tc>
              <w:tc>
                <w:tcPr>
                  <w:tcW w:w="1007" w:type="pct"/>
                  <w:noWrap w:val="0"/>
                  <w:vAlign w:val="center"/>
                </w:tcPr>
                <w:p w14:paraId="4A622E84">
                  <w:pPr>
                    <w:widowControl/>
                    <w:jc w:val="center"/>
                    <w:rPr>
                      <w:color w:val="auto"/>
                      <w:kern w:val="0"/>
                      <w:sz w:val="18"/>
                      <w:szCs w:val="18"/>
                    </w:rPr>
                  </w:pPr>
                  <w:r>
                    <w:rPr>
                      <w:color w:val="auto"/>
                      <w:kern w:val="0"/>
                      <w:sz w:val="18"/>
                      <w:szCs w:val="18"/>
                    </w:rPr>
                    <w:t>QD8A</w:t>
                  </w:r>
                </w:p>
              </w:tc>
              <w:tc>
                <w:tcPr>
                  <w:tcW w:w="417" w:type="pct"/>
                  <w:tcBorders>
                    <w:right w:val="single" w:color="auto" w:sz="4" w:space="0"/>
                  </w:tcBorders>
                  <w:noWrap w:val="0"/>
                  <w:vAlign w:val="center"/>
                </w:tcPr>
                <w:p w14:paraId="3E23E66A">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4DFABE4A">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3273F945">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1DB1210A">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1C69F1AA">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E118CBE">
                  <w:pPr>
                    <w:widowControl/>
                    <w:jc w:val="center"/>
                    <w:rPr>
                      <w:color w:val="auto"/>
                      <w:kern w:val="0"/>
                      <w:sz w:val="18"/>
                      <w:szCs w:val="18"/>
                    </w:rPr>
                  </w:pPr>
                  <w:r>
                    <w:rPr>
                      <w:color w:val="auto"/>
                      <w:kern w:val="0"/>
                      <w:sz w:val="18"/>
                      <w:szCs w:val="18"/>
                    </w:rPr>
                    <w:t>3.18</w:t>
                  </w:r>
                </w:p>
              </w:tc>
              <w:tc>
                <w:tcPr>
                  <w:tcW w:w="892" w:type="pct"/>
                  <w:noWrap w:val="0"/>
                  <w:vAlign w:val="center"/>
                </w:tcPr>
                <w:p w14:paraId="2008790B">
                  <w:pPr>
                    <w:widowControl/>
                    <w:jc w:val="center"/>
                    <w:rPr>
                      <w:color w:val="auto"/>
                      <w:kern w:val="0"/>
                      <w:sz w:val="18"/>
                      <w:szCs w:val="18"/>
                    </w:rPr>
                  </w:pPr>
                  <w:r>
                    <w:rPr>
                      <w:color w:val="auto"/>
                      <w:kern w:val="0"/>
                      <w:sz w:val="18"/>
                      <w:szCs w:val="18"/>
                    </w:rPr>
                    <w:t>行列风机</w:t>
                  </w:r>
                </w:p>
              </w:tc>
              <w:tc>
                <w:tcPr>
                  <w:tcW w:w="1007" w:type="pct"/>
                  <w:noWrap w:val="0"/>
                  <w:vAlign w:val="center"/>
                </w:tcPr>
                <w:p w14:paraId="04B41FD3">
                  <w:pPr>
                    <w:widowControl/>
                    <w:jc w:val="center"/>
                    <w:rPr>
                      <w:color w:val="auto"/>
                      <w:kern w:val="0"/>
                      <w:sz w:val="18"/>
                      <w:szCs w:val="18"/>
                    </w:rPr>
                  </w:pPr>
                  <w:r>
                    <w:rPr>
                      <w:color w:val="auto"/>
                      <w:kern w:val="0"/>
                      <w:sz w:val="18"/>
                      <w:szCs w:val="18"/>
                    </w:rPr>
                    <w:t>70W</w:t>
                  </w:r>
                </w:p>
              </w:tc>
              <w:tc>
                <w:tcPr>
                  <w:tcW w:w="417" w:type="pct"/>
                  <w:tcBorders>
                    <w:right w:val="single" w:color="auto" w:sz="4" w:space="0"/>
                  </w:tcBorders>
                  <w:noWrap w:val="0"/>
                  <w:vAlign w:val="center"/>
                </w:tcPr>
                <w:p w14:paraId="0D07D5D3">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53796FB9">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58C30D71">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485D034">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1D945E23">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D36FF31">
                  <w:pPr>
                    <w:widowControl/>
                    <w:jc w:val="center"/>
                    <w:rPr>
                      <w:color w:val="auto"/>
                      <w:kern w:val="0"/>
                      <w:sz w:val="18"/>
                      <w:szCs w:val="18"/>
                    </w:rPr>
                  </w:pPr>
                  <w:r>
                    <w:rPr>
                      <w:color w:val="auto"/>
                      <w:kern w:val="0"/>
                      <w:sz w:val="18"/>
                      <w:szCs w:val="18"/>
                    </w:rPr>
                    <w:t>3.19</w:t>
                  </w:r>
                </w:p>
              </w:tc>
              <w:tc>
                <w:tcPr>
                  <w:tcW w:w="892" w:type="pct"/>
                  <w:noWrap w:val="0"/>
                  <w:vAlign w:val="center"/>
                </w:tcPr>
                <w:p w14:paraId="272087BE">
                  <w:pPr>
                    <w:widowControl/>
                    <w:jc w:val="center"/>
                    <w:rPr>
                      <w:color w:val="auto"/>
                      <w:kern w:val="0"/>
                      <w:sz w:val="18"/>
                      <w:szCs w:val="18"/>
                    </w:rPr>
                  </w:pPr>
                  <w:r>
                    <w:rPr>
                      <w:color w:val="auto"/>
                      <w:kern w:val="0"/>
                      <w:sz w:val="18"/>
                      <w:szCs w:val="18"/>
                    </w:rPr>
                    <w:t>压机</w:t>
                  </w:r>
                </w:p>
              </w:tc>
              <w:tc>
                <w:tcPr>
                  <w:tcW w:w="1007" w:type="pct"/>
                  <w:noWrap w:val="0"/>
                  <w:vAlign w:val="center"/>
                </w:tcPr>
                <w:p w14:paraId="67D28A28">
                  <w:pPr>
                    <w:widowControl/>
                    <w:jc w:val="center"/>
                    <w:rPr>
                      <w:color w:val="auto"/>
                      <w:kern w:val="0"/>
                      <w:sz w:val="18"/>
                      <w:szCs w:val="18"/>
                    </w:rPr>
                  </w:pPr>
                </w:p>
              </w:tc>
              <w:tc>
                <w:tcPr>
                  <w:tcW w:w="417" w:type="pct"/>
                  <w:tcBorders>
                    <w:right w:val="single" w:color="auto" w:sz="4" w:space="0"/>
                  </w:tcBorders>
                  <w:noWrap w:val="0"/>
                  <w:vAlign w:val="center"/>
                </w:tcPr>
                <w:p w14:paraId="63E1844B">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C2D074A">
                  <w:pPr>
                    <w:widowControl/>
                    <w:jc w:val="center"/>
                    <w:rPr>
                      <w:rFonts w:hint="eastAsia" w:eastAsia="宋体"/>
                      <w:color w:val="auto"/>
                      <w:kern w:val="0"/>
                      <w:sz w:val="18"/>
                      <w:szCs w:val="18"/>
                      <w:lang w:eastAsia="zh-CN"/>
                    </w:rPr>
                  </w:pPr>
                  <w:r>
                    <w:rPr>
                      <w:rFonts w:hint="eastAsia"/>
                      <w:color w:val="auto"/>
                      <w:kern w:val="0"/>
                      <w:sz w:val="18"/>
                      <w:szCs w:val="18"/>
                      <w:lang w:val="en-US" w:eastAsia="zh-CN"/>
                    </w:rPr>
                    <w:t>9</w:t>
                  </w:r>
                </w:p>
              </w:tc>
              <w:tc>
                <w:tcPr>
                  <w:tcW w:w="713" w:type="pct"/>
                  <w:tcBorders>
                    <w:left w:val="single" w:color="auto" w:sz="4" w:space="0"/>
                  </w:tcBorders>
                  <w:noWrap w:val="0"/>
                  <w:vAlign w:val="center"/>
                </w:tcPr>
                <w:p w14:paraId="3BEEF2BD">
                  <w:pPr>
                    <w:widowControl/>
                    <w:jc w:val="center"/>
                    <w:rPr>
                      <w:rFonts w:hint="default"/>
                      <w:color w:val="auto"/>
                      <w:kern w:val="0"/>
                      <w:sz w:val="18"/>
                      <w:szCs w:val="18"/>
                      <w:lang w:val="en-US" w:eastAsia="zh-CN"/>
                    </w:rPr>
                  </w:pPr>
                  <w:r>
                    <w:rPr>
                      <w:rFonts w:hint="eastAsia"/>
                      <w:color w:val="auto"/>
                      <w:kern w:val="0"/>
                      <w:sz w:val="18"/>
                      <w:szCs w:val="18"/>
                      <w:lang w:val="en-US" w:eastAsia="zh-CN"/>
                    </w:rPr>
                    <w:t>12</w:t>
                  </w:r>
                </w:p>
              </w:tc>
              <w:tc>
                <w:tcPr>
                  <w:tcW w:w="774" w:type="pct"/>
                  <w:noWrap w:val="0"/>
                  <w:vAlign w:val="center"/>
                </w:tcPr>
                <w:p w14:paraId="4CB3A8F7">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+3</w:t>
                  </w:r>
                </w:p>
              </w:tc>
            </w:tr>
            <w:tr w14:paraId="184D0DF8">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F48ED30">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3.20</w:t>
                  </w:r>
                </w:p>
              </w:tc>
              <w:tc>
                <w:tcPr>
                  <w:tcW w:w="892" w:type="pct"/>
                  <w:noWrap w:val="0"/>
                  <w:vAlign w:val="center"/>
                </w:tcPr>
                <w:p w14:paraId="496C8858">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自动码垛机</w:t>
                  </w:r>
                </w:p>
              </w:tc>
              <w:tc>
                <w:tcPr>
                  <w:tcW w:w="1007" w:type="pct"/>
                  <w:noWrap w:val="0"/>
                  <w:vAlign w:val="center"/>
                </w:tcPr>
                <w:p w14:paraId="6B1EF750">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MT07</w:t>
                  </w:r>
                </w:p>
              </w:tc>
              <w:tc>
                <w:tcPr>
                  <w:tcW w:w="417" w:type="pct"/>
                  <w:tcBorders>
                    <w:right w:val="single" w:color="auto" w:sz="4" w:space="0"/>
                  </w:tcBorders>
                  <w:noWrap w:val="0"/>
                  <w:vAlign w:val="center"/>
                </w:tcPr>
                <w:p w14:paraId="00462F83">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75A69922">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3BAE242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774" w:type="pct"/>
                  <w:noWrap w:val="0"/>
                  <w:vAlign w:val="center"/>
                </w:tcPr>
                <w:p w14:paraId="425010BA">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-2</w:t>
                  </w:r>
                </w:p>
              </w:tc>
            </w:tr>
            <w:tr w14:paraId="4BFEE5F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3B60D46">
                  <w:pPr>
                    <w:widowControl/>
                    <w:jc w:val="center"/>
                    <w:rPr>
                      <w:color w:val="auto"/>
                      <w:kern w:val="0"/>
                      <w:sz w:val="18"/>
                      <w:szCs w:val="18"/>
                    </w:rPr>
                  </w:pPr>
                  <w:r>
                    <w:rPr>
                      <w:color w:val="auto"/>
                      <w:kern w:val="0"/>
                      <w:sz w:val="18"/>
                      <w:szCs w:val="18"/>
                    </w:rPr>
                    <w:t>3.21</w:t>
                  </w:r>
                </w:p>
              </w:tc>
              <w:tc>
                <w:tcPr>
                  <w:tcW w:w="892" w:type="pct"/>
                  <w:noWrap w:val="0"/>
                  <w:vAlign w:val="center"/>
                </w:tcPr>
                <w:p w14:paraId="22802E30">
                  <w:pPr>
                    <w:widowControl/>
                    <w:jc w:val="center"/>
                    <w:rPr>
                      <w:color w:val="auto"/>
                      <w:kern w:val="0"/>
                      <w:sz w:val="18"/>
                      <w:szCs w:val="18"/>
                    </w:rPr>
                  </w:pPr>
                  <w:r>
                    <w:rPr>
                      <w:color w:val="auto"/>
                      <w:kern w:val="0"/>
                      <w:sz w:val="18"/>
                      <w:szCs w:val="18"/>
                    </w:rPr>
                    <w:t>自动缠膜机</w:t>
                  </w:r>
                </w:p>
              </w:tc>
              <w:tc>
                <w:tcPr>
                  <w:tcW w:w="1007" w:type="pct"/>
                  <w:noWrap w:val="0"/>
                  <w:vAlign w:val="center"/>
                </w:tcPr>
                <w:p w14:paraId="57EC1F3F">
                  <w:pPr>
                    <w:widowControl/>
                    <w:jc w:val="center"/>
                    <w:rPr>
                      <w:color w:val="auto"/>
                      <w:kern w:val="0"/>
                      <w:sz w:val="18"/>
                      <w:szCs w:val="18"/>
                    </w:rPr>
                  </w:pPr>
                  <w:r>
                    <w:rPr>
                      <w:color w:val="auto"/>
                      <w:kern w:val="0"/>
                      <w:sz w:val="18"/>
                      <w:szCs w:val="18"/>
                    </w:rPr>
                    <w:t>R12-00</w:t>
                  </w:r>
                </w:p>
              </w:tc>
              <w:tc>
                <w:tcPr>
                  <w:tcW w:w="417" w:type="pct"/>
                  <w:tcBorders>
                    <w:right w:val="single" w:color="auto" w:sz="4" w:space="0"/>
                  </w:tcBorders>
                  <w:noWrap w:val="0"/>
                  <w:vAlign w:val="center"/>
                </w:tcPr>
                <w:p w14:paraId="56431F8D">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A02ECE2">
                  <w:pPr>
                    <w:widowControl/>
                    <w:jc w:val="center"/>
                    <w:rPr>
                      <w:rFonts w:hint="eastAsia" w:eastAsia="宋体"/>
                      <w:color w:val="auto"/>
                      <w:kern w:val="0"/>
                      <w:sz w:val="18"/>
                      <w:szCs w:val="18"/>
                      <w:lang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6EE45B10">
                  <w:pPr>
                    <w:widowControl/>
                    <w:jc w:val="center"/>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3184F952">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1EA82AE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3CB2098">
                  <w:pPr>
                    <w:widowControl/>
                    <w:jc w:val="center"/>
                    <w:rPr>
                      <w:color w:val="auto"/>
                      <w:kern w:val="0"/>
                      <w:sz w:val="18"/>
                      <w:szCs w:val="18"/>
                    </w:rPr>
                  </w:pPr>
                  <w:r>
                    <w:rPr>
                      <w:color w:val="auto"/>
                      <w:kern w:val="0"/>
                      <w:sz w:val="18"/>
                      <w:szCs w:val="18"/>
                    </w:rPr>
                    <w:t>3.22</w:t>
                  </w:r>
                </w:p>
              </w:tc>
              <w:tc>
                <w:tcPr>
                  <w:tcW w:w="892" w:type="pct"/>
                  <w:noWrap w:val="0"/>
                  <w:vAlign w:val="center"/>
                </w:tcPr>
                <w:p w14:paraId="26413B6E">
                  <w:pPr>
                    <w:widowControl/>
                    <w:jc w:val="center"/>
                    <w:rPr>
                      <w:color w:val="auto"/>
                      <w:kern w:val="0"/>
                      <w:sz w:val="18"/>
                      <w:szCs w:val="18"/>
                    </w:rPr>
                  </w:pPr>
                  <w:r>
                    <w:rPr>
                      <w:color w:val="auto"/>
                      <w:kern w:val="0"/>
                      <w:sz w:val="18"/>
                      <w:szCs w:val="18"/>
                    </w:rPr>
                    <w:t>热缩包装机</w:t>
                  </w:r>
                </w:p>
              </w:tc>
              <w:tc>
                <w:tcPr>
                  <w:tcW w:w="1007" w:type="pct"/>
                  <w:noWrap w:val="0"/>
                  <w:vAlign w:val="center"/>
                </w:tcPr>
                <w:p w14:paraId="697BE608">
                  <w:pPr>
                    <w:widowControl/>
                    <w:jc w:val="center"/>
                    <w:rPr>
                      <w:color w:val="auto"/>
                      <w:kern w:val="0"/>
                      <w:sz w:val="18"/>
                      <w:szCs w:val="18"/>
                    </w:rPr>
                  </w:pPr>
                  <w:r>
                    <w:rPr>
                      <w:color w:val="auto"/>
                      <w:kern w:val="0"/>
                      <w:sz w:val="18"/>
                      <w:szCs w:val="18"/>
                    </w:rPr>
                    <w:t>XP180-675</w:t>
                  </w:r>
                </w:p>
              </w:tc>
              <w:tc>
                <w:tcPr>
                  <w:tcW w:w="417" w:type="pct"/>
                  <w:tcBorders>
                    <w:right w:val="single" w:color="auto" w:sz="4" w:space="0"/>
                  </w:tcBorders>
                  <w:noWrap w:val="0"/>
                  <w:vAlign w:val="center"/>
                </w:tcPr>
                <w:p w14:paraId="2872F78B">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17FEBC6F">
                  <w:pPr>
                    <w:widowControl/>
                    <w:jc w:val="center"/>
                    <w:rPr>
                      <w:color w:val="auto"/>
                      <w:kern w:val="0"/>
                      <w:sz w:val="18"/>
                      <w:szCs w:val="18"/>
                    </w:rPr>
                  </w:pPr>
                  <w:r>
                    <w:rPr>
                      <w:color w:val="auto"/>
                      <w:kern w:val="0"/>
                      <w:sz w:val="18"/>
                      <w:szCs w:val="18"/>
                    </w:rPr>
                    <w:t>3</w:t>
                  </w:r>
                </w:p>
              </w:tc>
              <w:tc>
                <w:tcPr>
                  <w:tcW w:w="713" w:type="pct"/>
                  <w:tcBorders>
                    <w:left w:val="single" w:color="auto" w:sz="4" w:space="0"/>
                  </w:tcBorders>
                  <w:noWrap w:val="0"/>
                  <w:vAlign w:val="center"/>
                </w:tcPr>
                <w:p w14:paraId="27171720">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3</w:t>
                  </w:r>
                </w:p>
              </w:tc>
              <w:tc>
                <w:tcPr>
                  <w:tcW w:w="774" w:type="pct"/>
                  <w:noWrap w:val="0"/>
                  <w:vAlign w:val="center"/>
                </w:tcPr>
                <w:p w14:paraId="31E18780">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7D8E3386">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FA4EA95">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3.23</w:t>
                  </w:r>
                </w:p>
              </w:tc>
              <w:tc>
                <w:tcPr>
                  <w:tcW w:w="892" w:type="pct"/>
                  <w:noWrap w:val="0"/>
                  <w:vAlign w:val="center"/>
                </w:tcPr>
                <w:p w14:paraId="6214C959">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多功能自动检测机</w:t>
                  </w:r>
                </w:p>
              </w:tc>
              <w:tc>
                <w:tcPr>
                  <w:tcW w:w="1007" w:type="pct"/>
                  <w:noWrap w:val="0"/>
                  <w:vAlign w:val="center"/>
                </w:tcPr>
                <w:p w14:paraId="0AC9A0E0">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K270A</w:t>
                  </w:r>
                </w:p>
              </w:tc>
              <w:tc>
                <w:tcPr>
                  <w:tcW w:w="417" w:type="pct"/>
                  <w:tcBorders>
                    <w:right w:val="single" w:color="auto" w:sz="4" w:space="0"/>
                  </w:tcBorders>
                  <w:noWrap w:val="0"/>
                  <w:vAlign w:val="center"/>
                </w:tcPr>
                <w:p w14:paraId="65769735">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48E5FC47">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54D8ECF6">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774" w:type="pct"/>
                  <w:noWrap w:val="0"/>
                  <w:vAlign w:val="center"/>
                </w:tcPr>
                <w:p w14:paraId="583476B6">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-2</w:t>
                  </w:r>
                </w:p>
              </w:tc>
            </w:tr>
            <w:tr w14:paraId="448B5BA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1159CB6">
                  <w:pPr>
                    <w:widowControl/>
                    <w:jc w:val="center"/>
                    <w:rPr>
                      <w:b/>
                      <w:bCs/>
                      <w:color w:val="auto"/>
                      <w:kern w:val="0"/>
                      <w:sz w:val="18"/>
                      <w:szCs w:val="18"/>
                    </w:rPr>
                  </w:pPr>
                  <w:r>
                    <w:rPr>
                      <w:b/>
                      <w:bCs/>
                      <w:color w:val="auto"/>
                      <w:kern w:val="0"/>
                      <w:sz w:val="18"/>
                      <w:szCs w:val="18"/>
                    </w:rPr>
                    <w:t>4</w:t>
                  </w:r>
                </w:p>
              </w:tc>
              <w:tc>
                <w:tcPr>
                  <w:tcW w:w="4620" w:type="pct"/>
                  <w:gridSpan w:val="6"/>
                  <w:noWrap w:val="0"/>
                  <w:vAlign w:val="center"/>
                </w:tcPr>
                <w:p w14:paraId="5B1D95C1">
                  <w:pPr>
                    <w:keepNext w:val="0"/>
                    <w:keepLines w:val="0"/>
                    <w:pageBreakBefore w:val="0"/>
                    <w:widowControl w:val="0"/>
                    <w:kinsoku/>
                    <w:wordWrap/>
                    <w:overflowPunct/>
                    <w:topLinePunct w:val="0"/>
                    <w:autoSpaceDE/>
                    <w:autoSpaceDN/>
                    <w:bidi w:val="0"/>
                    <w:adjustRightInd/>
                    <w:snapToGrid/>
                    <w:spacing w:line="240" w:lineRule="atLeast"/>
                    <w:textAlignment w:val="auto"/>
                    <w:rPr>
                      <w:b/>
                      <w:bCs/>
                      <w:color w:val="auto"/>
                      <w:kern w:val="0"/>
                      <w:sz w:val="18"/>
                      <w:szCs w:val="18"/>
                    </w:rPr>
                  </w:pPr>
                  <w:r>
                    <w:rPr>
                      <w:b/>
                      <w:bCs/>
                      <w:color w:val="auto"/>
                      <w:kern w:val="0"/>
                      <w:sz w:val="18"/>
                      <w:szCs w:val="18"/>
                    </w:rPr>
                    <w:t>辅助系统</w:t>
                  </w:r>
                </w:p>
              </w:tc>
            </w:tr>
            <w:tr w14:paraId="27C081E8">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23DA2477">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4.1</w:t>
                  </w:r>
                </w:p>
              </w:tc>
              <w:tc>
                <w:tcPr>
                  <w:tcW w:w="892" w:type="pct"/>
                  <w:noWrap w:val="0"/>
                  <w:vAlign w:val="center"/>
                </w:tcPr>
                <w:p w14:paraId="73E4CAF1">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空压机</w:t>
                  </w:r>
                </w:p>
              </w:tc>
              <w:tc>
                <w:tcPr>
                  <w:tcW w:w="1007" w:type="pct"/>
                  <w:noWrap w:val="0"/>
                  <w:vAlign w:val="center"/>
                </w:tcPr>
                <w:p w14:paraId="45CC9C26">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L3.5N40/4</w:t>
                  </w:r>
                </w:p>
              </w:tc>
              <w:tc>
                <w:tcPr>
                  <w:tcW w:w="417" w:type="pct"/>
                  <w:tcBorders>
                    <w:right w:val="single" w:color="auto" w:sz="4" w:space="0"/>
                  </w:tcBorders>
                  <w:noWrap w:val="0"/>
                  <w:vAlign w:val="center"/>
                </w:tcPr>
                <w:p w14:paraId="20FED37F">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19D8F2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10：441.5KW</w:t>
                  </w:r>
                </w:p>
              </w:tc>
              <w:tc>
                <w:tcPr>
                  <w:tcW w:w="713" w:type="pct"/>
                  <w:tcBorders>
                    <w:left w:val="single" w:color="auto" w:sz="4" w:space="0"/>
                  </w:tcBorders>
                  <w:noWrap w:val="0"/>
                  <w:vAlign w:val="center"/>
                </w:tcPr>
                <w:p w14:paraId="749277F6">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b/>
                      <w:bCs/>
                      <w:color w:val="auto"/>
                      <w:kern w:val="0"/>
                      <w:sz w:val="18"/>
                      <w:szCs w:val="18"/>
                      <w:lang w:val="en-US" w:eastAsia="zh-CN"/>
                    </w:rPr>
                  </w:pPr>
                  <w:r>
                    <w:rPr>
                      <w:rFonts w:hint="eastAsia"/>
                      <w:color w:val="auto"/>
                      <w:kern w:val="0"/>
                      <w:sz w:val="18"/>
                      <w:szCs w:val="18"/>
                      <w:lang w:val="en-US" w:eastAsia="zh-CN"/>
                    </w:rPr>
                    <w:t>13</w:t>
                  </w:r>
                </w:p>
              </w:tc>
              <w:tc>
                <w:tcPr>
                  <w:tcW w:w="774" w:type="pct"/>
                  <w:noWrap w:val="0"/>
                  <w:vAlign w:val="center"/>
                </w:tcPr>
                <w:p w14:paraId="4384BFB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eastAsia="zh-CN"/>
                    </w:rPr>
                  </w:pPr>
                  <w:r>
                    <w:rPr>
                      <w:rFonts w:hint="eastAsia"/>
                      <w:color w:val="auto"/>
                      <w:kern w:val="0"/>
                      <w:sz w:val="18"/>
                      <w:szCs w:val="18"/>
                      <w:lang w:val="en-US" w:eastAsia="zh-CN"/>
                    </w:rPr>
                    <w:t>+3（365KW）</w:t>
                  </w:r>
                </w:p>
              </w:tc>
            </w:tr>
            <w:tr w14:paraId="77C6FC99">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06B01EC">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4.2</w:t>
                  </w:r>
                </w:p>
              </w:tc>
              <w:tc>
                <w:tcPr>
                  <w:tcW w:w="892" w:type="pct"/>
                  <w:noWrap w:val="0"/>
                  <w:vAlign w:val="center"/>
                </w:tcPr>
                <w:p w14:paraId="4BB60C0A">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柴油发电机组</w:t>
                  </w:r>
                </w:p>
              </w:tc>
              <w:tc>
                <w:tcPr>
                  <w:tcW w:w="1007" w:type="pct"/>
                  <w:noWrap w:val="0"/>
                  <w:vAlign w:val="center"/>
                </w:tcPr>
                <w:p w14:paraId="046D0683">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200GF-10-2</w:t>
                  </w:r>
                </w:p>
              </w:tc>
              <w:tc>
                <w:tcPr>
                  <w:tcW w:w="417" w:type="pct"/>
                  <w:tcBorders>
                    <w:right w:val="single" w:color="auto" w:sz="4" w:space="0"/>
                  </w:tcBorders>
                  <w:noWrap w:val="0"/>
                  <w:vAlign w:val="center"/>
                </w:tcPr>
                <w:p w14:paraId="2867A624">
                  <w:pPr>
                    <w:keepNext w:val="0"/>
                    <w:keepLines w:val="0"/>
                    <w:pageBreakBefore w:val="0"/>
                    <w:widowControl/>
                    <w:kinsoku/>
                    <w:wordWrap/>
                    <w:overflowPunct/>
                    <w:topLinePunct w:val="0"/>
                    <w:autoSpaceDE/>
                    <w:autoSpaceDN/>
                    <w:bidi w:val="0"/>
                    <w:adjustRightInd/>
                    <w:snapToGrid/>
                    <w:spacing w:line="240" w:lineRule="atLeast"/>
                    <w:jc w:val="center"/>
                    <w:textAlignment w:val="auto"/>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D38740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749AFF6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53491F5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+1（880KW）</w:t>
                  </w:r>
                </w:p>
              </w:tc>
            </w:tr>
            <w:tr w14:paraId="473A0641">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3106BA5">
                  <w:pPr>
                    <w:widowControl/>
                    <w:jc w:val="center"/>
                    <w:rPr>
                      <w:color w:val="auto"/>
                      <w:kern w:val="0"/>
                      <w:sz w:val="18"/>
                      <w:szCs w:val="18"/>
                    </w:rPr>
                  </w:pPr>
                  <w:r>
                    <w:rPr>
                      <w:color w:val="auto"/>
                      <w:kern w:val="0"/>
                      <w:sz w:val="18"/>
                      <w:szCs w:val="18"/>
                    </w:rPr>
                    <w:t>4.3</w:t>
                  </w:r>
                </w:p>
              </w:tc>
              <w:tc>
                <w:tcPr>
                  <w:tcW w:w="892" w:type="pct"/>
                  <w:noWrap w:val="0"/>
                  <w:vAlign w:val="center"/>
                </w:tcPr>
                <w:p w14:paraId="5F9B6021">
                  <w:pPr>
                    <w:widowControl/>
                    <w:jc w:val="center"/>
                    <w:rPr>
                      <w:color w:val="auto"/>
                      <w:kern w:val="0"/>
                      <w:sz w:val="18"/>
                      <w:szCs w:val="18"/>
                    </w:rPr>
                  </w:pPr>
                  <w:r>
                    <w:rPr>
                      <w:color w:val="auto"/>
                      <w:kern w:val="0"/>
                      <w:sz w:val="18"/>
                      <w:szCs w:val="18"/>
                    </w:rPr>
                    <w:t>变压器</w:t>
                  </w:r>
                </w:p>
              </w:tc>
              <w:tc>
                <w:tcPr>
                  <w:tcW w:w="1007" w:type="pct"/>
                  <w:noWrap w:val="0"/>
                  <w:vAlign w:val="center"/>
                </w:tcPr>
                <w:p w14:paraId="7FBC54EB">
                  <w:pPr>
                    <w:widowControl/>
                    <w:jc w:val="center"/>
                    <w:rPr>
                      <w:color w:val="auto"/>
                      <w:kern w:val="0"/>
                      <w:sz w:val="18"/>
                      <w:szCs w:val="18"/>
                    </w:rPr>
                  </w:pPr>
                  <w:r>
                    <w:rPr>
                      <w:color w:val="auto"/>
                      <w:kern w:val="0"/>
                      <w:sz w:val="18"/>
                      <w:szCs w:val="18"/>
                    </w:rPr>
                    <w:t>1500kv</w:t>
                  </w:r>
                </w:p>
              </w:tc>
              <w:tc>
                <w:tcPr>
                  <w:tcW w:w="417" w:type="pct"/>
                  <w:tcBorders>
                    <w:right w:val="single" w:color="auto" w:sz="4" w:space="0"/>
                  </w:tcBorders>
                  <w:noWrap w:val="0"/>
                  <w:vAlign w:val="center"/>
                </w:tcPr>
                <w:p w14:paraId="68AEDF24">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1D502A9C">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23034A39">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92F0C63">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r>
            <w:tr w14:paraId="2819E5E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10BCA26">
                  <w:pPr>
                    <w:widowControl/>
                    <w:jc w:val="center"/>
                    <w:rPr>
                      <w:color w:val="auto"/>
                      <w:kern w:val="0"/>
                      <w:sz w:val="18"/>
                      <w:szCs w:val="18"/>
                    </w:rPr>
                  </w:pPr>
                  <w:r>
                    <w:rPr>
                      <w:color w:val="auto"/>
                      <w:kern w:val="0"/>
                      <w:sz w:val="18"/>
                      <w:szCs w:val="18"/>
                    </w:rPr>
                    <w:t>4.4</w:t>
                  </w:r>
                </w:p>
              </w:tc>
              <w:tc>
                <w:tcPr>
                  <w:tcW w:w="892" w:type="pct"/>
                  <w:noWrap w:val="0"/>
                  <w:vAlign w:val="center"/>
                </w:tcPr>
                <w:p w14:paraId="5E6C1246">
                  <w:pPr>
                    <w:widowControl/>
                    <w:jc w:val="center"/>
                    <w:rPr>
                      <w:color w:val="auto"/>
                      <w:kern w:val="0"/>
                      <w:sz w:val="18"/>
                      <w:szCs w:val="18"/>
                    </w:rPr>
                  </w:pPr>
                  <w:r>
                    <w:rPr>
                      <w:color w:val="auto"/>
                      <w:kern w:val="0"/>
                      <w:sz w:val="18"/>
                      <w:szCs w:val="18"/>
                    </w:rPr>
                    <w:t>配电柜</w:t>
                  </w:r>
                </w:p>
              </w:tc>
              <w:tc>
                <w:tcPr>
                  <w:tcW w:w="1007" w:type="pct"/>
                  <w:noWrap w:val="0"/>
                  <w:vAlign w:val="center"/>
                </w:tcPr>
                <w:p w14:paraId="1DC3C1BA">
                  <w:pPr>
                    <w:widowControl/>
                    <w:jc w:val="center"/>
                    <w:rPr>
                      <w:color w:val="auto"/>
                      <w:kern w:val="0"/>
                      <w:sz w:val="18"/>
                      <w:szCs w:val="18"/>
                    </w:rPr>
                  </w:pPr>
                </w:p>
              </w:tc>
              <w:tc>
                <w:tcPr>
                  <w:tcW w:w="417" w:type="pct"/>
                  <w:tcBorders>
                    <w:right w:val="single" w:color="auto" w:sz="4" w:space="0"/>
                  </w:tcBorders>
                  <w:noWrap w:val="0"/>
                  <w:vAlign w:val="center"/>
                </w:tcPr>
                <w:p w14:paraId="03096D6D">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40BDB6BE">
                  <w:pPr>
                    <w:widowControl/>
                    <w:jc w:val="center"/>
                    <w:rPr>
                      <w:color w:val="auto"/>
                      <w:kern w:val="0"/>
                      <w:sz w:val="18"/>
                      <w:szCs w:val="18"/>
                    </w:rPr>
                  </w:pPr>
                  <w:r>
                    <w:rPr>
                      <w:color w:val="auto"/>
                      <w:kern w:val="0"/>
                      <w:sz w:val="18"/>
                      <w:szCs w:val="18"/>
                    </w:rPr>
                    <w:t>5</w:t>
                  </w:r>
                </w:p>
              </w:tc>
              <w:tc>
                <w:tcPr>
                  <w:tcW w:w="713" w:type="pct"/>
                  <w:tcBorders>
                    <w:left w:val="single" w:color="auto" w:sz="4" w:space="0"/>
                  </w:tcBorders>
                  <w:noWrap w:val="0"/>
                  <w:vAlign w:val="center"/>
                </w:tcPr>
                <w:p w14:paraId="203F623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774" w:type="pct"/>
                  <w:noWrap w:val="0"/>
                  <w:vAlign w:val="center"/>
                </w:tcPr>
                <w:p w14:paraId="167BA071">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259AF558">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restart"/>
                  <w:noWrap w:val="0"/>
                  <w:vAlign w:val="center"/>
                </w:tcPr>
                <w:p w14:paraId="72F541EE">
                  <w:pPr>
                    <w:widowControl/>
                    <w:jc w:val="center"/>
                    <w:rPr>
                      <w:color w:val="auto"/>
                      <w:kern w:val="0"/>
                      <w:sz w:val="18"/>
                      <w:szCs w:val="18"/>
                    </w:rPr>
                  </w:pPr>
                  <w:r>
                    <w:rPr>
                      <w:color w:val="auto"/>
                      <w:kern w:val="0"/>
                      <w:sz w:val="18"/>
                      <w:szCs w:val="18"/>
                    </w:rPr>
                    <w:t>4.5</w:t>
                  </w:r>
                </w:p>
              </w:tc>
              <w:tc>
                <w:tcPr>
                  <w:tcW w:w="892" w:type="pct"/>
                  <w:vMerge w:val="restart"/>
                  <w:noWrap w:val="0"/>
                  <w:vAlign w:val="center"/>
                </w:tcPr>
                <w:p w14:paraId="40E8FED6">
                  <w:pPr>
                    <w:widowControl/>
                    <w:jc w:val="center"/>
                    <w:rPr>
                      <w:color w:val="auto"/>
                      <w:kern w:val="0"/>
                      <w:sz w:val="18"/>
                      <w:szCs w:val="18"/>
                    </w:rPr>
                  </w:pPr>
                  <w:r>
                    <w:rPr>
                      <w:color w:val="auto"/>
                      <w:kern w:val="0"/>
                      <w:sz w:val="18"/>
                      <w:szCs w:val="18"/>
                    </w:rPr>
                    <w:t>车床</w:t>
                  </w:r>
                </w:p>
              </w:tc>
              <w:tc>
                <w:tcPr>
                  <w:tcW w:w="1007" w:type="pct"/>
                  <w:noWrap w:val="0"/>
                  <w:vAlign w:val="center"/>
                </w:tcPr>
                <w:p w14:paraId="4BC665C4">
                  <w:pPr>
                    <w:widowControl/>
                    <w:jc w:val="center"/>
                    <w:rPr>
                      <w:color w:val="auto"/>
                      <w:kern w:val="0"/>
                      <w:sz w:val="18"/>
                      <w:szCs w:val="18"/>
                    </w:rPr>
                  </w:pPr>
                  <w:r>
                    <w:rPr>
                      <w:color w:val="auto"/>
                      <w:kern w:val="0"/>
                      <w:sz w:val="18"/>
                      <w:szCs w:val="18"/>
                    </w:rPr>
                    <w:t>CA630</w:t>
                  </w:r>
                </w:p>
              </w:tc>
              <w:tc>
                <w:tcPr>
                  <w:tcW w:w="417" w:type="pct"/>
                  <w:tcBorders>
                    <w:right w:val="single" w:color="auto" w:sz="4" w:space="0"/>
                  </w:tcBorders>
                  <w:noWrap w:val="0"/>
                  <w:vAlign w:val="center"/>
                </w:tcPr>
                <w:p w14:paraId="3194E28D">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43DB0C4A">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31887A4C">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456AC3D2">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454C8F3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41B7EC45">
                  <w:pPr>
                    <w:widowControl/>
                    <w:jc w:val="center"/>
                    <w:rPr>
                      <w:color w:val="auto"/>
                      <w:kern w:val="0"/>
                      <w:sz w:val="18"/>
                      <w:szCs w:val="18"/>
                    </w:rPr>
                  </w:pPr>
                </w:p>
              </w:tc>
              <w:tc>
                <w:tcPr>
                  <w:tcW w:w="892" w:type="pct"/>
                  <w:vMerge w:val="continue"/>
                  <w:noWrap w:val="0"/>
                  <w:vAlign w:val="center"/>
                </w:tcPr>
                <w:p w14:paraId="57692920">
                  <w:pPr>
                    <w:widowControl/>
                    <w:jc w:val="center"/>
                    <w:rPr>
                      <w:color w:val="auto"/>
                      <w:kern w:val="0"/>
                      <w:sz w:val="18"/>
                      <w:szCs w:val="18"/>
                    </w:rPr>
                  </w:pPr>
                </w:p>
              </w:tc>
              <w:tc>
                <w:tcPr>
                  <w:tcW w:w="1007" w:type="pct"/>
                  <w:noWrap w:val="0"/>
                  <w:vAlign w:val="center"/>
                </w:tcPr>
                <w:p w14:paraId="62CF39B5">
                  <w:pPr>
                    <w:widowControl/>
                    <w:jc w:val="center"/>
                    <w:rPr>
                      <w:color w:val="auto"/>
                      <w:kern w:val="0"/>
                      <w:sz w:val="18"/>
                      <w:szCs w:val="18"/>
                    </w:rPr>
                  </w:pPr>
                  <w:r>
                    <w:rPr>
                      <w:color w:val="auto"/>
                      <w:kern w:val="0"/>
                      <w:sz w:val="18"/>
                      <w:szCs w:val="18"/>
                    </w:rPr>
                    <w:t>CA6140</w:t>
                  </w:r>
                </w:p>
              </w:tc>
              <w:tc>
                <w:tcPr>
                  <w:tcW w:w="417" w:type="pct"/>
                  <w:tcBorders>
                    <w:right w:val="single" w:color="auto" w:sz="4" w:space="0"/>
                  </w:tcBorders>
                  <w:noWrap w:val="0"/>
                  <w:vAlign w:val="center"/>
                </w:tcPr>
                <w:p w14:paraId="57F31AC3">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52DA095E">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15AB453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45A4B706">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0D98DF0F">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D880759">
                  <w:pPr>
                    <w:widowControl/>
                    <w:jc w:val="center"/>
                    <w:rPr>
                      <w:color w:val="auto"/>
                      <w:kern w:val="0"/>
                      <w:sz w:val="18"/>
                      <w:szCs w:val="18"/>
                    </w:rPr>
                  </w:pPr>
                  <w:r>
                    <w:rPr>
                      <w:color w:val="auto"/>
                      <w:kern w:val="0"/>
                      <w:sz w:val="18"/>
                      <w:szCs w:val="18"/>
                    </w:rPr>
                    <w:t>4.6</w:t>
                  </w:r>
                </w:p>
              </w:tc>
              <w:tc>
                <w:tcPr>
                  <w:tcW w:w="892" w:type="pct"/>
                  <w:noWrap w:val="0"/>
                  <w:vAlign w:val="center"/>
                </w:tcPr>
                <w:p w14:paraId="210374DD">
                  <w:pPr>
                    <w:widowControl/>
                    <w:jc w:val="center"/>
                    <w:rPr>
                      <w:color w:val="auto"/>
                      <w:kern w:val="0"/>
                      <w:sz w:val="18"/>
                      <w:szCs w:val="18"/>
                    </w:rPr>
                  </w:pPr>
                  <w:r>
                    <w:rPr>
                      <w:color w:val="auto"/>
                      <w:kern w:val="0"/>
                      <w:sz w:val="18"/>
                      <w:szCs w:val="18"/>
                    </w:rPr>
                    <w:t>移动式方向摇臂铝床</w:t>
                  </w:r>
                </w:p>
              </w:tc>
              <w:tc>
                <w:tcPr>
                  <w:tcW w:w="1007" w:type="pct"/>
                  <w:noWrap w:val="0"/>
                  <w:vAlign w:val="center"/>
                </w:tcPr>
                <w:p w14:paraId="2C99D481">
                  <w:pPr>
                    <w:widowControl/>
                    <w:jc w:val="center"/>
                    <w:rPr>
                      <w:color w:val="auto"/>
                      <w:kern w:val="0"/>
                      <w:sz w:val="18"/>
                      <w:szCs w:val="18"/>
                    </w:rPr>
                  </w:pPr>
                  <w:r>
                    <w:rPr>
                      <w:color w:val="auto"/>
                      <w:kern w:val="0"/>
                      <w:sz w:val="18"/>
                      <w:szCs w:val="18"/>
                    </w:rPr>
                    <w:t>2W3725</w:t>
                  </w:r>
                </w:p>
              </w:tc>
              <w:tc>
                <w:tcPr>
                  <w:tcW w:w="417" w:type="pct"/>
                  <w:tcBorders>
                    <w:right w:val="single" w:color="auto" w:sz="4" w:space="0"/>
                  </w:tcBorders>
                  <w:noWrap w:val="0"/>
                  <w:vAlign w:val="center"/>
                </w:tcPr>
                <w:p w14:paraId="7509248E">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7DA4E916">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5865F69E">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8535162">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31CF432A">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9260A48">
                  <w:pPr>
                    <w:widowControl/>
                    <w:jc w:val="center"/>
                    <w:rPr>
                      <w:color w:val="auto"/>
                      <w:kern w:val="0"/>
                      <w:sz w:val="18"/>
                      <w:szCs w:val="18"/>
                    </w:rPr>
                  </w:pPr>
                  <w:r>
                    <w:rPr>
                      <w:color w:val="auto"/>
                      <w:kern w:val="0"/>
                      <w:sz w:val="18"/>
                      <w:szCs w:val="18"/>
                    </w:rPr>
                    <w:t>4.7</w:t>
                  </w:r>
                </w:p>
              </w:tc>
              <w:tc>
                <w:tcPr>
                  <w:tcW w:w="892" w:type="pct"/>
                  <w:noWrap w:val="0"/>
                  <w:vAlign w:val="center"/>
                </w:tcPr>
                <w:p w14:paraId="2D4545D0">
                  <w:pPr>
                    <w:widowControl/>
                    <w:jc w:val="center"/>
                    <w:rPr>
                      <w:color w:val="auto"/>
                      <w:kern w:val="0"/>
                      <w:sz w:val="18"/>
                      <w:szCs w:val="18"/>
                    </w:rPr>
                  </w:pPr>
                  <w:r>
                    <w:rPr>
                      <w:color w:val="auto"/>
                      <w:kern w:val="0"/>
                      <w:sz w:val="18"/>
                      <w:szCs w:val="18"/>
                    </w:rPr>
                    <w:t>牛头刨床</w:t>
                  </w:r>
                </w:p>
              </w:tc>
              <w:tc>
                <w:tcPr>
                  <w:tcW w:w="1007" w:type="pct"/>
                  <w:noWrap w:val="0"/>
                  <w:vAlign w:val="center"/>
                </w:tcPr>
                <w:p w14:paraId="195CE604">
                  <w:pPr>
                    <w:widowControl/>
                    <w:jc w:val="center"/>
                    <w:rPr>
                      <w:color w:val="auto"/>
                      <w:kern w:val="0"/>
                      <w:sz w:val="18"/>
                      <w:szCs w:val="18"/>
                    </w:rPr>
                  </w:pPr>
                  <w:r>
                    <w:rPr>
                      <w:color w:val="auto"/>
                      <w:kern w:val="0"/>
                      <w:sz w:val="18"/>
                      <w:szCs w:val="18"/>
                    </w:rPr>
                    <w:t>B6050H</w:t>
                  </w:r>
                </w:p>
              </w:tc>
              <w:tc>
                <w:tcPr>
                  <w:tcW w:w="417" w:type="pct"/>
                  <w:tcBorders>
                    <w:right w:val="single" w:color="auto" w:sz="4" w:space="0"/>
                  </w:tcBorders>
                  <w:noWrap w:val="0"/>
                  <w:vAlign w:val="center"/>
                </w:tcPr>
                <w:p w14:paraId="3108197A">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0EC0066">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06ABC542">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3EFEF66">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05562FB1">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FF792C2">
                  <w:pPr>
                    <w:widowControl/>
                    <w:jc w:val="center"/>
                    <w:rPr>
                      <w:color w:val="auto"/>
                      <w:kern w:val="0"/>
                      <w:sz w:val="18"/>
                      <w:szCs w:val="18"/>
                    </w:rPr>
                  </w:pPr>
                  <w:r>
                    <w:rPr>
                      <w:color w:val="auto"/>
                      <w:kern w:val="0"/>
                      <w:sz w:val="18"/>
                      <w:szCs w:val="18"/>
                    </w:rPr>
                    <w:t>4.8</w:t>
                  </w:r>
                </w:p>
              </w:tc>
              <w:tc>
                <w:tcPr>
                  <w:tcW w:w="892" w:type="pct"/>
                  <w:noWrap w:val="0"/>
                  <w:vAlign w:val="center"/>
                </w:tcPr>
                <w:p w14:paraId="4AB86EC1">
                  <w:pPr>
                    <w:widowControl/>
                    <w:jc w:val="center"/>
                    <w:rPr>
                      <w:color w:val="auto"/>
                      <w:kern w:val="0"/>
                      <w:sz w:val="18"/>
                      <w:szCs w:val="18"/>
                    </w:rPr>
                  </w:pPr>
                  <w:r>
                    <w:rPr>
                      <w:color w:val="auto"/>
                      <w:kern w:val="0"/>
                      <w:sz w:val="18"/>
                      <w:szCs w:val="18"/>
                    </w:rPr>
                    <w:t>LNG液化天然气储罐</w:t>
                  </w:r>
                </w:p>
              </w:tc>
              <w:tc>
                <w:tcPr>
                  <w:tcW w:w="1007" w:type="pct"/>
                  <w:noWrap w:val="0"/>
                  <w:vAlign w:val="center"/>
                </w:tcPr>
                <w:p w14:paraId="43D2CC3F">
                  <w:pPr>
                    <w:widowControl/>
                    <w:jc w:val="center"/>
                    <w:rPr>
                      <w:color w:val="auto"/>
                      <w:kern w:val="0"/>
                      <w:sz w:val="18"/>
                      <w:szCs w:val="18"/>
                    </w:rPr>
                  </w:pPr>
                  <w:r>
                    <w:rPr>
                      <w:rFonts w:hint="eastAsia"/>
                      <w:color w:val="auto"/>
                      <w:kern w:val="0"/>
                      <w:sz w:val="18"/>
                      <w:szCs w:val="18"/>
                      <w:lang w:val="en-US" w:eastAsia="zh-CN"/>
                    </w:rPr>
                    <w:t>2</w:t>
                  </w:r>
                  <w:r>
                    <w:rPr>
                      <w:color w:val="auto"/>
                      <w:kern w:val="0"/>
                      <w:sz w:val="18"/>
                      <w:szCs w:val="18"/>
                    </w:rPr>
                    <w:t>0m</w:t>
                  </w:r>
                  <w:r>
                    <w:rPr>
                      <w:color w:val="auto"/>
                      <w:kern w:val="0"/>
                      <w:sz w:val="18"/>
                      <w:szCs w:val="18"/>
                      <w:vertAlign w:val="superscript"/>
                    </w:rPr>
                    <w:t>3</w:t>
                  </w:r>
                  <w:r>
                    <w:rPr>
                      <w:rFonts w:hint="eastAsia"/>
                      <w:color w:val="auto"/>
                      <w:kern w:val="0"/>
                      <w:sz w:val="18"/>
                      <w:szCs w:val="18"/>
                      <w:vertAlign w:val="baseline"/>
                      <w:lang w:val="en-US" w:eastAsia="zh-CN"/>
                    </w:rPr>
                    <w:t>/</w:t>
                  </w:r>
                  <w:r>
                    <w:rPr>
                      <w:rFonts w:hint="eastAsia"/>
                      <w:color w:val="auto"/>
                      <w:kern w:val="0"/>
                      <w:sz w:val="18"/>
                      <w:szCs w:val="18"/>
                      <w:lang w:val="en-US" w:eastAsia="zh-CN"/>
                    </w:rPr>
                    <w:t>3</w:t>
                  </w:r>
                  <w:r>
                    <w:rPr>
                      <w:color w:val="auto"/>
                      <w:kern w:val="0"/>
                      <w:sz w:val="18"/>
                      <w:szCs w:val="18"/>
                    </w:rPr>
                    <w:t>0m</w:t>
                  </w:r>
                  <w:r>
                    <w:rPr>
                      <w:color w:val="auto"/>
                      <w:kern w:val="0"/>
                      <w:sz w:val="18"/>
                      <w:szCs w:val="18"/>
                      <w:vertAlign w:val="superscript"/>
                    </w:rPr>
                    <w:t>3</w:t>
                  </w:r>
                </w:p>
              </w:tc>
              <w:tc>
                <w:tcPr>
                  <w:tcW w:w="417" w:type="pct"/>
                  <w:tcBorders>
                    <w:right w:val="single" w:color="auto" w:sz="4" w:space="0"/>
                  </w:tcBorders>
                  <w:noWrap w:val="0"/>
                  <w:vAlign w:val="center"/>
                </w:tcPr>
                <w:p w14:paraId="0A98A3C2">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center"/>
                </w:tcPr>
                <w:p w14:paraId="780FB602">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63E8D363">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16E6AD6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w:t>
                  </w:r>
                </w:p>
              </w:tc>
            </w:tr>
            <w:tr w14:paraId="63231560">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07D71D01">
                  <w:pPr>
                    <w:widowControl/>
                    <w:jc w:val="center"/>
                    <w:rPr>
                      <w:color w:val="auto"/>
                      <w:kern w:val="0"/>
                      <w:sz w:val="18"/>
                      <w:szCs w:val="18"/>
                    </w:rPr>
                  </w:pPr>
                  <w:r>
                    <w:rPr>
                      <w:color w:val="auto"/>
                      <w:kern w:val="0"/>
                      <w:sz w:val="18"/>
                      <w:szCs w:val="18"/>
                    </w:rPr>
                    <w:t>4.9</w:t>
                  </w:r>
                </w:p>
              </w:tc>
              <w:tc>
                <w:tcPr>
                  <w:tcW w:w="892" w:type="pct"/>
                  <w:noWrap w:val="0"/>
                  <w:vAlign w:val="center"/>
                </w:tcPr>
                <w:p w14:paraId="3517EE12">
                  <w:pPr>
                    <w:widowControl/>
                    <w:jc w:val="center"/>
                    <w:rPr>
                      <w:color w:val="auto"/>
                      <w:kern w:val="0"/>
                      <w:sz w:val="18"/>
                      <w:szCs w:val="18"/>
                    </w:rPr>
                  </w:pPr>
                  <w:r>
                    <w:rPr>
                      <w:color w:val="auto"/>
                      <w:kern w:val="0"/>
                      <w:sz w:val="18"/>
                      <w:szCs w:val="18"/>
                    </w:rPr>
                    <w:t>液氧罐</w:t>
                  </w:r>
                </w:p>
              </w:tc>
              <w:tc>
                <w:tcPr>
                  <w:tcW w:w="1007" w:type="pct"/>
                  <w:noWrap w:val="0"/>
                  <w:vAlign w:val="center"/>
                </w:tcPr>
                <w:p w14:paraId="376C314D">
                  <w:pPr>
                    <w:widowControl/>
                    <w:jc w:val="center"/>
                    <w:rPr>
                      <w:color w:val="auto"/>
                      <w:kern w:val="0"/>
                      <w:sz w:val="18"/>
                      <w:szCs w:val="18"/>
                    </w:rPr>
                  </w:pPr>
                  <w:r>
                    <w:rPr>
                      <w:rFonts w:hint="eastAsia"/>
                      <w:color w:val="auto"/>
                      <w:kern w:val="0"/>
                      <w:sz w:val="18"/>
                      <w:szCs w:val="18"/>
                      <w:lang w:val="en-US" w:eastAsia="zh-CN"/>
                    </w:rPr>
                    <w:t>3</w:t>
                  </w:r>
                  <w:r>
                    <w:rPr>
                      <w:color w:val="auto"/>
                      <w:kern w:val="0"/>
                      <w:sz w:val="18"/>
                      <w:szCs w:val="18"/>
                    </w:rPr>
                    <w:t>0m</w:t>
                  </w:r>
                  <w:r>
                    <w:rPr>
                      <w:color w:val="auto"/>
                      <w:kern w:val="0"/>
                      <w:sz w:val="18"/>
                      <w:szCs w:val="18"/>
                      <w:vertAlign w:val="superscript"/>
                    </w:rPr>
                    <w:t>3</w:t>
                  </w:r>
                </w:p>
              </w:tc>
              <w:tc>
                <w:tcPr>
                  <w:tcW w:w="417" w:type="pct"/>
                  <w:tcBorders>
                    <w:right w:val="single" w:color="auto" w:sz="4" w:space="0"/>
                  </w:tcBorders>
                  <w:noWrap w:val="0"/>
                  <w:vAlign w:val="center"/>
                </w:tcPr>
                <w:p w14:paraId="3C6158CD">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center"/>
                </w:tcPr>
                <w:p w14:paraId="6CCC33D0">
                  <w:pPr>
                    <w:widowControl/>
                    <w:jc w:val="center"/>
                    <w:rPr>
                      <w:rFonts w:hint="eastAsia" w:eastAsia="宋体"/>
                      <w:color w:val="auto"/>
                      <w:kern w:val="0"/>
                      <w:sz w:val="18"/>
                      <w:szCs w:val="18"/>
                      <w:lang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0DC9CA77">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46E88D1F">
                  <w:pPr>
                    <w:widowControl/>
                    <w:jc w:val="center"/>
                    <w:rPr>
                      <w:rFonts w:hint="eastAsia" w:eastAsia="宋体"/>
                      <w:color w:val="auto"/>
                      <w:kern w:val="0"/>
                      <w:sz w:val="18"/>
                      <w:szCs w:val="18"/>
                      <w:lang w:eastAsia="zh-CN"/>
                    </w:rPr>
                  </w:pPr>
                  <w:r>
                    <w:rPr>
                      <w:rFonts w:hint="eastAsia"/>
                      <w:color w:val="auto"/>
                      <w:kern w:val="0"/>
                      <w:sz w:val="18"/>
                      <w:szCs w:val="18"/>
                      <w:lang w:val="en-US" w:eastAsia="zh-CN"/>
                    </w:rPr>
                    <w:t>/</w:t>
                  </w:r>
                </w:p>
              </w:tc>
            </w:tr>
            <w:tr w14:paraId="531FF87E">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restart"/>
                  <w:noWrap w:val="0"/>
                  <w:vAlign w:val="center"/>
                </w:tcPr>
                <w:p w14:paraId="5779C384">
                  <w:pPr>
                    <w:widowControl/>
                    <w:jc w:val="center"/>
                    <w:rPr>
                      <w:color w:val="auto"/>
                      <w:kern w:val="0"/>
                      <w:sz w:val="18"/>
                      <w:szCs w:val="18"/>
                    </w:rPr>
                  </w:pPr>
                  <w:r>
                    <w:rPr>
                      <w:color w:val="auto"/>
                      <w:kern w:val="0"/>
                      <w:sz w:val="18"/>
                      <w:szCs w:val="18"/>
                    </w:rPr>
                    <w:t>4.10</w:t>
                  </w:r>
                </w:p>
              </w:tc>
              <w:tc>
                <w:tcPr>
                  <w:tcW w:w="892" w:type="pct"/>
                  <w:vMerge w:val="restart"/>
                  <w:noWrap w:val="0"/>
                  <w:vAlign w:val="center"/>
                </w:tcPr>
                <w:p w14:paraId="56F04B1D">
                  <w:pPr>
                    <w:widowControl/>
                    <w:jc w:val="center"/>
                    <w:rPr>
                      <w:color w:val="auto"/>
                      <w:kern w:val="0"/>
                      <w:sz w:val="18"/>
                      <w:szCs w:val="18"/>
                    </w:rPr>
                  </w:pPr>
                  <w:r>
                    <w:rPr>
                      <w:color w:val="auto"/>
                      <w:kern w:val="0"/>
                      <w:sz w:val="18"/>
                      <w:szCs w:val="18"/>
                    </w:rPr>
                    <w:t>离心水泵</w:t>
                  </w:r>
                </w:p>
              </w:tc>
              <w:tc>
                <w:tcPr>
                  <w:tcW w:w="1007" w:type="pct"/>
                  <w:noWrap w:val="0"/>
                  <w:vAlign w:val="center"/>
                </w:tcPr>
                <w:p w14:paraId="134A7309">
                  <w:pPr>
                    <w:widowControl/>
                    <w:jc w:val="center"/>
                    <w:rPr>
                      <w:color w:val="auto"/>
                      <w:kern w:val="0"/>
                      <w:sz w:val="18"/>
                      <w:szCs w:val="18"/>
                    </w:rPr>
                  </w:pPr>
                  <w:r>
                    <w:rPr>
                      <w:color w:val="auto"/>
                      <w:kern w:val="0"/>
                      <w:sz w:val="18"/>
                      <w:szCs w:val="18"/>
                    </w:rPr>
                    <w:t>80-100-200</w:t>
                  </w:r>
                </w:p>
              </w:tc>
              <w:tc>
                <w:tcPr>
                  <w:tcW w:w="417" w:type="pct"/>
                  <w:tcBorders>
                    <w:right w:val="single" w:color="auto" w:sz="4" w:space="0"/>
                  </w:tcBorders>
                  <w:noWrap w:val="0"/>
                  <w:vAlign w:val="center"/>
                </w:tcPr>
                <w:p w14:paraId="6B4C1E73">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AB57CC0">
                  <w:pPr>
                    <w:widowControl/>
                    <w:jc w:val="center"/>
                    <w:rPr>
                      <w:color w:val="auto"/>
                      <w:kern w:val="0"/>
                      <w:sz w:val="18"/>
                      <w:szCs w:val="18"/>
                    </w:rPr>
                  </w:pPr>
                  <w:r>
                    <w:rPr>
                      <w:color w:val="auto"/>
                      <w:kern w:val="0"/>
                      <w:sz w:val="18"/>
                      <w:szCs w:val="18"/>
                    </w:rPr>
                    <w:t>6</w:t>
                  </w:r>
                </w:p>
              </w:tc>
              <w:tc>
                <w:tcPr>
                  <w:tcW w:w="713" w:type="pct"/>
                  <w:tcBorders>
                    <w:left w:val="single" w:color="auto" w:sz="4" w:space="0"/>
                  </w:tcBorders>
                  <w:noWrap w:val="0"/>
                  <w:vAlign w:val="center"/>
                </w:tcPr>
                <w:p w14:paraId="082EC918">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774" w:type="pct"/>
                  <w:noWrap w:val="0"/>
                  <w:vAlign w:val="center"/>
                </w:tcPr>
                <w:p w14:paraId="010FD427">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49731351">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71098102">
                  <w:pPr>
                    <w:widowControl/>
                    <w:jc w:val="center"/>
                    <w:rPr>
                      <w:color w:val="auto"/>
                      <w:kern w:val="0"/>
                      <w:sz w:val="18"/>
                      <w:szCs w:val="18"/>
                    </w:rPr>
                  </w:pPr>
                </w:p>
              </w:tc>
              <w:tc>
                <w:tcPr>
                  <w:tcW w:w="892" w:type="pct"/>
                  <w:vMerge w:val="continue"/>
                  <w:noWrap w:val="0"/>
                  <w:vAlign w:val="center"/>
                </w:tcPr>
                <w:p w14:paraId="55F41389">
                  <w:pPr>
                    <w:widowControl/>
                    <w:jc w:val="center"/>
                    <w:rPr>
                      <w:color w:val="auto"/>
                      <w:kern w:val="0"/>
                      <w:sz w:val="18"/>
                      <w:szCs w:val="18"/>
                    </w:rPr>
                  </w:pPr>
                </w:p>
              </w:tc>
              <w:tc>
                <w:tcPr>
                  <w:tcW w:w="1007" w:type="pct"/>
                  <w:noWrap w:val="0"/>
                  <w:vAlign w:val="center"/>
                </w:tcPr>
                <w:p w14:paraId="0E621A8C">
                  <w:pPr>
                    <w:widowControl/>
                    <w:jc w:val="center"/>
                    <w:rPr>
                      <w:color w:val="auto"/>
                      <w:kern w:val="0"/>
                      <w:sz w:val="18"/>
                      <w:szCs w:val="18"/>
                    </w:rPr>
                  </w:pPr>
                  <w:r>
                    <w:rPr>
                      <w:color w:val="auto"/>
                      <w:kern w:val="0"/>
                      <w:sz w:val="18"/>
                      <w:szCs w:val="18"/>
                    </w:rPr>
                    <w:t>80-50-200</w:t>
                  </w:r>
                </w:p>
              </w:tc>
              <w:tc>
                <w:tcPr>
                  <w:tcW w:w="417" w:type="pct"/>
                  <w:tcBorders>
                    <w:right w:val="single" w:color="auto" w:sz="4" w:space="0"/>
                  </w:tcBorders>
                  <w:noWrap w:val="0"/>
                  <w:vAlign w:val="center"/>
                </w:tcPr>
                <w:p w14:paraId="2BB45010">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E759007">
                  <w:pPr>
                    <w:widowControl/>
                    <w:jc w:val="center"/>
                    <w:rPr>
                      <w:color w:val="auto"/>
                      <w:kern w:val="0"/>
                      <w:sz w:val="18"/>
                      <w:szCs w:val="18"/>
                    </w:rPr>
                  </w:pPr>
                  <w:r>
                    <w:rPr>
                      <w:color w:val="auto"/>
                      <w:kern w:val="0"/>
                      <w:sz w:val="18"/>
                      <w:szCs w:val="18"/>
                    </w:rPr>
                    <w:t>4</w:t>
                  </w:r>
                </w:p>
              </w:tc>
              <w:tc>
                <w:tcPr>
                  <w:tcW w:w="713" w:type="pct"/>
                  <w:tcBorders>
                    <w:left w:val="single" w:color="auto" w:sz="4" w:space="0"/>
                  </w:tcBorders>
                  <w:noWrap w:val="0"/>
                  <w:vAlign w:val="center"/>
                </w:tcPr>
                <w:p w14:paraId="70C52500">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774" w:type="pct"/>
                  <w:noWrap w:val="0"/>
                  <w:vAlign w:val="center"/>
                </w:tcPr>
                <w:p w14:paraId="58195CE2">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62FE87A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FC03D21">
                  <w:pPr>
                    <w:widowControl/>
                    <w:jc w:val="center"/>
                    <w:rPr>
                      <w:color w:val="auto"/>
                      <w:kern w:val="0"/>
                      <w:sz w:val="18"/>
                      <w:szCs w:val="18"/>
                    </w:rPr>
                  </w:pPr>
                  <w:r>
                    <w:rPr>
                      <w:color w:val="auto"/>
                      <w:kern w:val="0"/>
                      <w:sz w:val="18"/>
                      <w:szCs w:val="18"/>
                    </w:rPr>
                    <w:t>4.11</w:t>
                  </w:r>
                </w:p>
              </w:tc>
              <w:tc>
                <w:tcPr>
                  <w:tcW w:w="892" w:type="pct"/>
                  <w:noWrap w:val="0"/>
                  <w:vAlign w:val="center"/>
                </w:tcPr>
                <w:p w14:paraId="71EC862E">
                  <w:pPr>
                    <w:widowControl/>
                    <w:jc w:val="center"/>
                    <w:rPr>
                      <w:color w:val="auto"/>
                      <w:kern w:val="0"/>
                      <w:sz w:val="18"/>
                      <w:szCs w:val="18"/>
                    </w:rPr>
                  </w:pPr>
                  <w:r>
                    <w:rPr>
                      <w:color w:val="auto"/>
                      <w:kern w:val="0"/>
                      <w:sz w:val="18"/>
                      <w:szCs w:val="18"/>
                    </w:rPr>
                    <w:t>破碎机</w:t>
                  </w:r>
                </w:p>
              </w:tc>
              <w:tc>
                <w:tcPr>
                  <w:tcW w:w="1007" w:type="pct"/>
                  <w:noWrap w:val="0"/>
                  <w:vAlign w:val="center"/>
                </w:tcPr>
                <w:p w14:paraId="253554E2">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17" w:type="pct"/>
                  <w:tcBorders>
                    <w:right w:val="single" w:color="auto" w:sz="4" w:space="0"/>
                  </w:tcBorders>
                  <w:noWrap w:val="0"/>
                  <w:vAlign w:val="center"/>
                </w:tcPr>
                <w:p w14:paraId="22D57F8B">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6680C9E8">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4A317CFA">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36F9CD4E">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w:t>
                  </w:r>
                </w:p>
              </w:tc>
            </w:tr>
            <w:tr w14:paraId="2289C61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3FD2E63F">
                  <w:pPr>
                    <w:jc w:val="center"/>
                    <w:rPr>
                      <w:color w:val="auto"/>
                      <w:sz w:val="18"/>
                      <w:szCs w:val="18"/>
                    </w:rPr>
                  </w:pPr>
                  <w:r>
                    <w:rPr>
                      <w:color w:val="auto"/>
                      <w:sz w:val="18"/>
                      <w:szCs w:val="18"/>
                    </w:rPr>
                    <w:t>4.12</w:t>
                  </w:r>
                </w:p>
              </w:tc>
              <w:tc>
                <w:tcPr>
                  <w:tcW w:w="892" w:type="pct"/>
                  <w:noWrap w:val="0"/>
                  <w:vAlign w:val="center"/>
                </w:tcPr>
                <w:p w14:paraId="10E320C6">
                  <w:pPr>
                    <w:widowControl/>
                    <w:jc w:val="center"/>
                    <w:rPr>
                      <w:color w:val="auto"/>
                      <w:kern w:val="0"/>
                      <w:sz w:val="18"/>
                      <w:szCs w:val="18"/>
                    </w:rPr>
                  </w:pPr>
                  <w:r>
                    <w:rPr>
                      <w:color w:val="auto"/>
                      <w:kern w:val="0"/>
                      <w:sz w:val="18"/>
                      <w:szCs w:val="18"/>
                    </w:rPr>
                    <w:t>输送带</w:t>
                  </w:r>
                </w:p>
              </w:tc>
              <w:tc>
                <w:tcPr>
                  <w:tcW w:w="1007" w:type="pct"/>
                  <w:noWrap w:val="0"/>
                  <w:vAlign w:val="center"/>
                </w:tcPr>
                <w:p w14:paraId="1C990D8B">
                  <w:pPr>
                    <w:widowControl/>
                    <w:jc w:val="center"/>
                    <w:rPr>
                      <w:color w:val="auto"/>
                      <w:kern w:val="0"/>
                      <w:sz w:val="18"/>
                      <w:szCs w:val="18"/>
                    </w:rPr>
                  </w:pPr>
                  <w:r>
                    <w:rPr>
                      <w:color w:val="auto"/>
                      <w:kern w:val="0"/>
                      <w:sz w:val="18"/>
                      <w:szCs w:val="18"/>
                    </w:rPr>
                    <w:t>500*10*2</w:t>
                  </w:r>
                </w:p>
              </w:tc>
              <w:tc>
                <w:tcPr>
                  <w:tcW w:w="417" w:type="pct"/>
                  <w:tcBorders>
                    <w:right w:val="single" w:color="auto" w:sz="4" w:space="0"/>
                  </w:tcBorders>
                  <w:noWrap w:val="0"/>
                  <w:vAlign w:val="center"/>
                </w:tcPr>
                <w:p w14:paraId="1B1C5F98">
                  <w:pPr>
                    <w:widowControl/>
                    <w:jc w:val="center"/>
                    <w:rPr>
                      <w:color w:val="auto"/>
                      <w:kern w:val="0"/>
                      <w:sz w:val="18"/>
                      <w:szCs w:val="18"/>
                    </w:rPr>
                  </w:pPr>
                  <w:r>
                    <w:rPr>
                      <w:color w:val="auto"/>
                      <w:kern w:val="0"/>
                      <w:sz w:val="18"/>
                      <w:szCs w:val="18"/>
                    </w:rPr>
                    <w:t>条</w:t>
                  </w:r>
                </w:p>
              </w:tc>
              <w:tc>
                <w:tcPr>
                  <w:tcW w:w="816" w:type="pct"/>
                  <w:tcBorders>
                    <w:left w:val="single" w:color="auto" w:sz="4" w:space="0"/>
                    <w:right w:val="single" w:color="auto" w:sz="4" w:space="0"/>
                  </w:tcBorders>
                  <w:noWrap w:val="0"/>
                  <w:vAlign w:val="center"/>
                </w:tcPr>
                <w:p w14:paraId="0C6C1F2B">
                  <w:pPr>
                    <w:widowControl/>
                    <w:jc w:val="center"/>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5519DFD7">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24B36F2D">
                  <w:pPr>
                    <w:spacing w:line="360" w:lineRule="auto"/>
                    <w:jc w:val="center"/>
                    <w:rPr>
                      <w:color w:val="auto"/>
                      <w:sz w:val="18"/>
                      <w:szCs w:val="18"/>
                    </w:rPr>
                  </w:pPr>
                </w:p>
              </w:tc>
            </w:tr>
            <w:tr w14:paraId="013E8EC3">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46C02F3">
                  <w:pPr>
                    <w:jc w:val="center"/>
                    <w:rPr>
                      <w:color w:val="auto"/>
                      <w:sz w:val="18"/>
                      <w:szCs w:val="18"/>
                    </w:rPr>
                  </w:pPr>
                  <w:r>
                    <w:rPr>
                      <w:color w:val="auto"/>
                      <w:sz w:val="18"/>
                      <w:szCs w:val="18"/>
                    </w:rPr>
                    <w:t>4.13</w:t>
                  </w:r>
                </w:p>
              </w:tc>
              <w:tc>
                <w:tcPr>
                  <w:tcW w:w="892" w:type="pct"/>
                  <w:noWrap w:val="0"/>
                  <w:vAlign w:val="center"/>
                </w:tcPr>
                <w:p w14:paraId="56A9712B">
                  <w:pPr>
                    <w:widowControl/>
                    <w:jc w:val="center"/>
                    <w:rPr>
                      <w:color w:val="auto"/>
                      <w:kern w:val="0"/>
                      <w:sz w:val="18"/>
                      <w:szCs w:val="18"/>
                    </w:rPr>
                  </w:pPr>
                  <w:r>
                    <w:rPr>
                      <w:color w:val="auto"/>
                      <w:kern w:val="0"/>
                      <w:sz w:val="18"/>
                      <w:szCs w:val="18"/>
                    </w:rPr>
                    <w:t>循环水池</w:t>
                  </w:r>
                </w:p>
              </w:tc>
              <w:tc>
                <w:tcPr>
                  <w:tcW w:w="1007" w:type="pct"/>
                  <w:noWrap w:val="0"/>
                  <w:vAlign w:val="center"/>
                </w:tcPr>
                <w:p w14:paraId="2E6D9C24">
                  <w:pPr>
                    <w:widowControl/>
                    <w:jc w:val="center"/>
                    <w:rPr>
                      <w:color w:val="auto"/>
                      <w:kern w:val="0"/>
                      <w:sz w:val="18"/>
                      <w:szCs w:val="18"/>
                    </w:rPr>
                  </w:pPr>
                  <w:r>
                    <w:rPr>
                      <w:color w:val="auto"/>
                      <w:sz w:val="18"/>
                      <w:szCs w:val="18"/>
                    </w:rPr>
                    <w:t>300m</w:t>
                  </w:r>
                  <w:r>
                    <w:rPr>
                      <w:color w:val="auto"/>
                      <w:sz w:val="18"/>
                      <w:szCs w:val="18"/>
                      <w:vertAlign w:val="superscript"/>
                    </w:rPr>
                    <w:t>3</w:t>
                  </w:r>
                </w:p>
              </w:tc>
              <w:tc>
                <w:tcPr>
                  <w:tcW w:w="417" w:type="pct"/>
                  <w:tcBorders>
                    <w:right w:val="single" w:color="auto" w:sz="4" w:space="0"/>
                  </w:tcBorders>
                  <w:noWrap w:val="0"/>
                  <w:vAlign w:val="center"/>
                </w:tcPr>
                <w:p w14:paraId="49979C54">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center"/>
                </w:tcPr>
                <w:p w14:paraId="4F2973BC">
                  <w:pPr>
                    <w:widowControl/>
                    <w:jc w:val="center"/>
                    <w:rPr>
                      <w:color w:val="auto"/>
                      <w:kern w:val="0"/>
                      <w:sz w:val="18"/>
                      <w:szCs w:val="18"/>
                    </w:rPr>
                  </w:pPr>
                  <w:r>
                    <w:rPr>
                      <w:color w:val="auto"/>
                      <w:kern w:val="0"/>
                      <w:sz w:val="18"/>
                      <w:szCs w:val="18"/>
                    </w:rPr>
                    <w:t>2</w:t>
                  </w:r>
                </w:p>
              </w:tc>
              <w:tc>
                <w:tcPr>
                  <w:tcW w:w="713" w:type="pct"/>
                  <w:tcBorders>
                    <w:left w:val="single" w:color="auto" w:sz="4" w:space="0"/>
                  </w:tcBorders>
                  <w:noWrap w:val="0"/>
                  <w:vAlign w:val="center"/>
                </w:tcPr>
                <w:p w14:paraId="093D7DE9">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01B47BFF">
                  <w:pPr>
                    <w:spacing w:line="360" w:lineRule="auto"/>
                    <w:jc w:val="center"/>
                    <w:rPr>
                      <w:color w:val="auto"/>
                      <w:sz w:val="18"/>
                      <w:szCs w:val="18"/>
                    </w:rPr>
                  </w:pPr>
                </w:p>
              </w:tc>
            </w:tr>
            <w:tr w14:paraId="1B3813A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6336FCB">
                  <w:pPr>
                    <w:jc w:val="center"/>
                    <w:rPr>
                      <w:color w:val="auto"/>
                      <w:sz w:val="18"/>
                      <w:szCs w:val="18"/>
                    </w:rPr>
                  </w:pPr>
                  <w:r>
                    <w:rPr>
                      <w:color w:val="auto"/>
                      <w:sz w:val="18"/>
                      <w:szCs w:val="18"/>
                    </w:rPr>
                    <w:t>4.14</w:t>
                  </w:r>
                </w:p>
              </w:tc>
              <w:tc>
                <w:tcPr>
                  <w:tcW w:w="892" w:type="pct"/>
                  <w:noWrap w:val="0"/>
                  <w:vAlign w:val="center"/>
                </w:tcPr>
                <w:p w14:paraId="6B7CB259">
                  <w:pPr>
                    <w:widowControl/>
                    <w:jc w:val="center"/>
                    <w:rPr>
                      <w:color w:val="auto"/>
                      <w:kern w:val="0"/>
                      <w:sz w:val="18"/>
                      <w:szCs w:val="18"/>
                    </w:rPr>
                  </w:pPr>
                  <w:r>
                    <w:rPr>
                      <w:color w:val="auto"/>
                      <w:kern w:val="0"/>
                      <w:sz w:val="18"/>
                      <w:szCs w:val="18"/>
                    </w:rPr>
                    <w:t>燃气料道燃烧系统</w:t>
                  </w:r>
                </w:p>
              </w:tc>
              <w:tc>
                <w:tcPr>
                  <w:tcW w:w="1007" w:type="pct"/>
                  <w:noWrap w:val="0"/>
                  <w:vAlign w:val="center"/>
                </w:tcPr>
                <w:p w14:paraId="135F6AD0">
                  <w:pPr>
                    <w:widowControl/>
                    <w:jc w:val="center"/>
                    <w:rPr>
                      <w:color w:val="auto"/>
                      <w:kern w:val="0"/>
                      <w:sz w:val="18"/>
                      <w:szCs w:val="18"/>
                    </w:rPr>
                  </w:pPr>
                  <w:r>
                    <w:rPr>
                      <w:color w:val="auto"/>
                      <w:kern w:val="0"/>
                      <w:sz w:val="18"/>
                      <w:szCs w:val="18"/>
                    </w:rPr>
                    <w:t>BLQL1001B</w:t>
                  </w:r>
                </w:p>
              </w:tc>
              <w:tc>
                <w:tcPr>
                  <w:tcW w:w="417" w:type="pct"/>
                  <w:tcBorders>
                    <w:right w:val="single" w:color="auto" w:sz="4" w:space="0"/>
                  </w:tcBorders>
                  <w:noWrap w:val="0"/>
                  <w:vAlign w:val="center"/>
                </w:tcPr>
                <w:p w14:paraId="78EF2A9F">
                  <w:pPr>
                    <w:widowControl/>
                    <w:jc w:val="center"/>
                    <w:rPr>
                      <w:color w:val="auto"/>
                      <w:kern w:val="0"/>
                      <w:sz w:val="18"/>
                      <w:szCs w:val="18"/>
                    </w:rPr>
                  </w:pPr>
                  <w:r>
                    <w:rPr>
                      <w:color w:val="auto"/>
                      <w:kern w:val="0"/>
                      <w:sz w:val="18"/>
                      <w:szCs w:val="18"/>
                    </w:rPr>
                    <w:t>套</w:t>
                  </w:r>
                </w:p>
              </w:tc>
              <w:tc>
                <w:tcPr>
                  <w:tcW w:w="816" w:type="pct"/>
                  <w:tcBorders>
                    <w:left w:val="single" w:color="auto" w:sz="4" w:space="0"/>
                    <w:right w:val="single" w:color="auto" w:sz="4" w:space="0"/>
                  </w:tcBorders>
                  <w:noWrap w:val="0"/>
                  <w:vAlign w:val="center"/>
                </w:tcPr>
                <w:p w14:paraId="77E7D331">
                  <w:pPr>
                    <w:widowControl/>
                    <w:jc w:val="center"/>
                    <w:rPr>
                      <w:rFonts w:hint="eastAsia" w:eastAsia="宋体"/>
                      <w:color w:val="auto"/>
                      <w:kern w:val="0"/>
                      <w:sz w:val="18"/>
                      <w:szCs w:val="18"/>
                      <w:lang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785FAAEE">
                  <w:pPr>
                    <w:widowControl/>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774" w:type="pct"/>
                  <w:noWrap w:val="0"/>
                  <w:vAlign w:val="center"/>
                </w:tcPr>
                <w:p w14:paraId="57A556B7">
                  <w:pPr>
                    <w:spacing w:line="360" w:lineRule="auto"/>
                    <w:jc w:val="center"/>
                    <w:rPr>
                      <w:rFonts w:hint="eastAsia" w:eastAsia="宋体"/>
                      <w:color w:val="auto"/>
                      <w:sz w:val="18"/>
                      <w:szCs w:val="18"/>
                      <w:lang w:val="en-US" w:eastAsia="zh-CN"/>
                    </w:rPr>
                  </w:pPr>
                  <w:r>
                    <w:rPr>
                      <w:rFonts w:hint="eastAsia"/>
                      <w:color w:val="auto"/>
                      <w:sz w:val="18"/>
                      <w:szCs w:val="18"/>
                      <w:lang w:val="en-US" w:eastAsia="zh-CN"/>
                    </w:rPr>
                    <w:t>+2</w:t>
                  </w:r>
                </w:p>
              </w:tc>
            </w:tr>
            <w:tr w14:paraId="69E4BFEE">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115613F">
                  <w:pPr>
                    <w:jc w:val="center"/>
                    <w:rPr>
                      <w:color w:val="auto"/>
                      <w:sz w:val="18"/>
                      <w:szCs w:val="18"/>
                    </w:rPr>
                  </w:pPr>
                  <w:r>
                    <w:rPr>
                      <w:color w:val="auto"/>
                      <w:sz w:val="18"/>
                      <w:szCs w:val="18"/>
                    </w:rPr>
                    <w:t>4.15</w:t>
                  </w:r>
                </w:p>
              </w:tc>
              <w:tc>
                <w:tcPr>
                  <w:tcW w:w="892" w:type="pct"/>
                  <w:noWrap w:val="0"/>
                  <w:vAlign w:val="bottom"/>
                </w:tcPr>
                <w:p w14:paraId="41A5A8AA">
                  <w:pPr>
                    <w:widowControl/>
                    <w:jc w:val="center"/>
                    <w:textAlignment w:val="bottom"/>
                    <w:rPr>
                      <w:color w:val="auto"/>
                      <w:kern w:val="0"/>
                      <w:sz w:val="18"/>
                      <w:szCs w:val="18"/>
                    </w:rPr>
                  </w:pPr>
                  <w:r>
                    <w:rPr>
                      <w:color w:val="auto"/>
                      <w:kern w:val="0"/>
                      <w:sz w:val="18"/>
                      <w:szCs w:val="18"/>
                    </w:rPr>
                    <w:t>报警器</w:t>
                  </w:r>
                </w:p>
              </w:tc>
              <w:tc>
                <w:tcPr>
                  <w:tcW w:w="1007" w:type="pct"/>
                  <w:noWrap w:val="0"/>
                  <w:vAlign w:val="center"/>
                </w:tcPr>
                <w:p w14:paraId="10D8C833">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w:t>
                  </w:r>
                </w:p>
              </w:tc>
              <w:tc>
                <w:tcPr>
                  <w:tcW w:w="417" w:type="pct"/>
                  <w:tcBorders>
                    <w:right w:val="single" w:color="auto" w:sz="4" w:space="0"/>
                  </w:tcBorders>
                  <w:noWrap w:val="0"/>
                  <w:vAlign w:val="center"/>
                </w:tcPr>
                <w:p w14:paraId="490D7C0C">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bottom"/>
                </w:tcPr>
                <w:p w14:paraId="5BD9A512">
                  <w:pPr>
                    <w:widowControl/>
                    <w:jc w:val="center"/>
                    <w:textAlignment w:val="bottom"/>
                    <w:rPr>
                      <w:color w:val="auto"/>
                      <w:kern w:val="0"/>
                      <w:sz w:val="18"/>
                      <w:szCs w:val="18"/>
                    </w:rPr>
                  </w:pPr>
                  <w:r>
                    <w:rPr>
                      <w:color w:val="auto"/>
                      <w:kern w:val="0"/>
                      <w:sz w:val="18"/>
                      <w:szCs w:val="18"/>
                    </w:rPr>
                    <w:t>10</w:t>
                  </w:r>
                </w:p>
              </w:tc>
              <w:tc>
                <w:tcPr>
                  <w:tcW w:w="713" w:type="pct"/>
                  <w:tcBorders>
                    <w:left w:val="single" w:color="auto" w:sz="4" w:space="0"/>
                  </w:tcBorders>
                  <w:noWrap w:val="0"/>
                  <w:vAlign w:val="bottom"/>
                </w:tcPr>
                <w:p w14:paraId="588D5A4C">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774" w:type="pct"/>
                  <w:noWrap w:val="0"/>
                  <w:vAlign w:val="center"/>
                </w:tcPr>
                <w:p w14:paraId="668880A2">
                  <w:pPr>
                    <w:spacing w:line="360" w:lineRule="auto"/>
                    <w:jc w:val="center"/>
                    <w:rPr>
                      <w:color w:val="auto"/>
                      <w:sz w:val="18"/>
                      <w:szCs w:val="18"/>
                    </w:rPr>
                  </w:pPr>
                </w:p>
              </w:tc>
            </w:tr>
            <w:tr w14:paraId="331C4624">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restart"/>
                  <w:noWrap w:val="0"/>
                  <w:vAlign w:val="center"/>
                </w:tcPr>
                <w:p w14:paraId="7D753429">
                  <w:pPr>
                    <w:jc w:val="center"/>
                    <w:rPr>
                      <w:color w:val="auto"/>
                      <w:sz w:val="18"/>
                      <w:szCs w:val="18"/>
                    </w:rPr>
                  </w:pPr>
                  <w:r>
                    <w:rPr>
                      <w:color w:val="auto"/>
                      <w:sz w:val="18"/>
                      <w:szCs w:val="18"/>
                    </w:rPr>
                    <w:t>4.16</w:t>
                  </w:r>
                </w:p>
              </w:tc>
              <w:tc>
                <w:tcPr>
                  <w:tcW w:w="892" w:type="pct"/>
                  <w:noWrap w:val="0"/>
                  <w:vAlign w:val="bottom"/>
                </w:tcPr>
                <w:p w14:paraId="0121E4FD">
                  <w:pPr>
                    <w:widowControl/>
                    <w:jc w:val="center"/>
                    <w:textAlignment w:val="bottom"/>
                    <w:rPr>
                      <w:color w:val="auto"/>
                      <w:kern w:val="0"/>
                      <w:sz w:val="18"/>
                      <w:szCs w:val="18"/>
                    </w:rPr>
                  </w:pPr>
                  <w:r>
                    <w:rPr>
                      <w:color w:val="auto"/>
                      <w:kern w:val="0"/>
                      <w:sz w:val="18"/>
                      <w:szCs w:val="18"/>
                    </w:rPr>
                    <w:t>电磁阀</w:t>
                  </w:r>
                </w:p>
              </w:tc>
              <w:tc>
                <w:tcPr>
                  <w:tcW w:w="1007" w:type="pct"/>
                  <w:noWrap w:val="0"/>
                  <w:vAlign w:val="bottom"/>
                </w:tcPr>
                <w:p w14:paraId="48F08FF3">
                  <w:pPr>
                    <w:widowControl/>
                    <w:jc w:val="center"/>
                    <w:textAlignment w:val="bottom"/>
                    <w:rPr>
                      <w:color w:val="auto"/>
                      <w:kern w:val="0"/>
                      <w:sz w:val="18"/>
                      <w:szCs w:val="18"/>
                    </w:rPr>
                  </w:pPr>
                  <w:r>
                    <w:rPr>
                      <w:color w:val="auto"/>
                      <w:kern w:val="0"/>
                      <w:sz w:val="18"/>
                      <w:szCs w:val="18"/>
                    </w:rPr>
                    <w:t>VE4020A1195</w:t>
                  </w:r>
                </w:p>
              </w:tc>
              <w:tc>
                <w:tcPr>
                  <w:tcW w:w="417" w:type="pct"/>
                  <w:tcBorders>
                    <w:right w:val="single" w:color="auto" w:sz="4" w:space="0"/>
                  </w:tcBorders>
                  <w:noWrap w:val="0"/>
                  <w:vAlign w:val="center"/>
                </w:tcPr>
                <w:p w14:paraId="33393E00">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bottom"/>
                </w:tcPr>
                <w:p w14:paraId="2641C75E">
                  <w:pPr>
                    <w:widowControl/>
                    <w:jc w:val="center"/>
                    <w:textAlignment w:val="bottom"/>
                    <w:rPr>
                      <w:color w:val="auto"/>
                      <w:kern w:val="0"/>
                      <w:sz w:val="18"/>
                      <w:szCs w:val="18"/>
                    </w:rPr>
                  </w:pPr>
                  <w:r>
                    <w:rPr>
                      <w:color w:val="auto"/>
                      <w:kern w:val="0"/>
                      <w:sz w:val="18"/>
                      <w:szCs w:val="18"/>
                    </w:rPr>
                    <w:t>5</w:t>
                  </w:r>
                </w:p>
              </w:tc>
              <w:tc>
                <w:tcPr>
                  <w:tcW w:w="713" w:type="pct"/>
                  <w:tcBorders>
                    <w:left w:val="single" w:color="auto" w:sz="4" w:space="0"/>
                  </w:tcBorders>
                  <w:noWrap w:val="0"/>
                  <w:vAlign w:val="bottom"/>
                </w:tcPr>
                <w:p w14:paraId="6FCAE4E0">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774" w:type="pct"/>
                  <w:noWrap w:val="0"/>
                  <w:vAlign w:val="center"/>
                </w:tcPr>
                <w:p w14:paraId="427B0033">
                  <w:pPr>
                    <w:spacing w:line="360" w:lineRule="auto"/>
                    <w:jc w:val="center"/>
                    <w:rPr>
                      <w:color w:val="auto"/>
                      <w:sz w:val="18"/>
                      <w:szCs w:val="18"/>
                    </w:rPr>
                  </w:pPr>
                </w:p>
              </w:tc>
            </w:tr>
            <w:tr w14:paraId="0BC951FC">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37DFD8C5">
                  <w:pPr>
                    <w:jc w:val="center"/>
                    <w:rPr>
                      <w:color w:val="auto"/>
                      <w:sz w:val="18"/>
                      <w:szCs w:val="18"/>
                    </w:rPr>
                  </w:pPr>
                </w:p>
              </w:tc>
              <w:tc>
                <w:tcPr>
                  <w:tcW w:w="892" w:type="pct"/>
                  <w:noWrap w:val="0"/>
                  <w:vAlign w:val="bottom"/>
                </w:tcPr>
                <w:p w14:paraId="0743730E">
                  <w:pPr>
                    <w:widowControl/>
                    <w:jc w:val="center"/>
                    <w:textAlignment w:val="bottom"/>
                    <w:rPr>
                      <w:color w:val="auto"/>
                      <w:kern w:val="0"/>
                      <w:sz w:val="18"/>
                      <w:szCs w:val="18"/>
                    </w:rPr>
                  </w:pPr>
                  <w:r>
                    <w:rPr>
                      <w:color w:val="auto"/>
                      <w:kern w:val="0"/>
                      <w:sz w:val="18"/>
                      <w:szCs w:val="18"/>
                    </w:rPr>
                    <w:t>稳压阀</w:t>
                  </w:r>
                </w:p>
              </w:tc>
              <w:tc>
                <w:tcPr>
                  <w:tcW w:w="1007" w:type="pct"/>
                  <w:noWrap w:val="0"/>
                  <w:vAlign w:val="bottom"/>
                </w:tcPr>
                <w:p w14:paraId="73AEFB8B">
                  <w:pPr>
                    <w:widowControl/>
                    <w:jc w:val="center"/>
                    <w:textAlignment w:val="bottom"/>
                    <w:rPr>
                      <w:color w:val="auto"/>
                      <w:kern w:val="0"/>
                      <w:sz w:val="18"/>
                      <w:szCs w:val="18"/>
                    </w:rPr>
                  </w:pPr>
                  <w:r>
                    <w:rPr>
                      <w:color w:val="auto"/>
                      <w:kern w:val="0"/>
                      <w:sz w:val="18"/>
                      <w:szCs w:val="18"/>
                    </w:rPr>
                    <w:t>R822-DFF</w:t>
                  </w:r>
                </w:p>
              </w:tc>
              <w:tc>
                <w:tcPr>
                  <w:tcW w:w="417" w:type="pct"/>
                  <w:tcBorders>
                    <w:right w:val="single" w:color="auto" w:sz="4" w:space="0"/>
                  </w:tcBorders>
                  <w:noWrap w:val="0"/>
                  <w:vAlign w:val="center"/>
                </w:tcPr>
                <w:p w14:paraId="2DE17E34">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bottom"/>
                </w:tcPr>
                <w:p w14:paraId="16D1B3F2">
                  <w:pPr>
                    <w:widowControl/>
                    <w:jc w:val="center"/>
                    <w:textAlignment w:val="bottom"/>
                    <w:rPr>
                      <w:color w:val="auto"/>
                      <w:kern w:val="0"/>
                      <w:sz w:val="18"/>
                      <w:szCs w:val="18"/>
                    </w:rPr>
                  </w:pPr>
                  <w:r>
                    <w:rPr>
                      <w:color w:val="auto"/>
                      <w:kern w:val="0"/>
                      <w:sz w:val="18"/>
                      <w:szCs w:val="18"/>
                    </w:rPr>
                    <w:t>5</w:t>
                  </w:r>
                </w:p>
              </w:tc>
              <w:tc>
                <w:tcPr>
                  <w:tcW w:w="713" w:type="pct"/>
                  <w:tcBorders>
                    <w:left w:val="single" w:color="auto" w:sz="4" w:space="0"/>
                  </w:tcBorders>
                  <w:noWrap w:val="0"/>
                  <w:vAlign w:val="bottom"/>
                </w:tcPr>
                <w:p w14:paraId="488F8AC2">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774" w:type="pct"/>
                  <w:noWrap w:val="0"/>
                  <w:vAlign w:val="center"/>
                </w:tcPr>
                <w:p w14:paraId="57ED9015">
                  <w:pPr>
                    <w:spacing w:line="360" w:lineRule="auto"/>
                    <w:jc w:val="center"/>
                    <w:rPr>
                      <w:color w:val="auto"/>
                      <w:sz w:val="18"/>
                      <w:szCs w:val="18"/>
                    </w:rPr>
                  </w:pPr>
                </w:p>
              </w:tc>
            </w:tr>
            <w:tr w14:paraId="7ACDB2C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2A2DCB25">
                  <w:pPr>
                    <w:jc w:val="center"/>
                    <w:rPr>
                      <w:color w:val="auto"/>
                      <w:sz w:val="18"/>
                      <w:szCs w:val="18"/>
                    </w:rPr>
                  </w:pPr>
                </w:p>
              </w:tc>
              <w:tc>
                <w:tcPr>
                  <w:tcW w:w="892" w:type="pct"/>
                  <w:noWrap w:val="0"/>
                  <w:vAlign w:val="bottom"/>
                </w:tcPr>
                <w:p w14:paraId="3DEEE60E">
                  <w:pPr>
                    <w:widowControl/>
                    <w:jc w:val="center"/>
                    <w:textAlignment w:val="bottom"/>
                    <w:rPr>
                      <w:color w:val="auto"/>
                      <w:kern w:val="0"/>
                      <w:sz w:val="18"/>
                      <w:szCs w:val="18"/>
                    </w:rPr>
                  </w:pPr>
                  <w:r>
                    <w:rPr>
                      <w:color w:val="auto"/>
                      <w:kern w:val="0"/>
                      <w:sz w:val="18"/>
                      <w:szCs w:val="18"/>
                    </w:rPr>
                    <w:t>过滤器</w:t>
                  </w:r>
                </w:p>
              </w:tc>
              <w:tc>
                <w:tcPr>
                  <w:tcW w:w="1007" w:type="pct"/>
                  <w:noWrap w:val="0"/>
                  <w:vAlign w:val="bottom"/>
                </w:tcPr>
                <w:p w14:paraId="7CBB8503">
                  <w:pPr>
                    <w:widowControl/>
                    <w:jc w:val="center"/>
                    <w:textAlignment w:val="bottom"/>
                    <w:rPr>
                      <w:color w:val="auto"/>
                      <w:kern w:val="0"/>
                      <w:sz w:val="18"/>
                      <w:szCs w:val="18"/>
                    </w:rPr>
                  </w:pPr>
                  <w:r>
                    <w:rPr>
                      <w:color w:val="auto"/>
                      <w:kern w:val="0"/>
                      <w:sz w:val="18"/>
                      <w:szCs w:val="18"/>
                    </w:rPr>
                    <w:t>GIK-20R02-5</w:t>
                  </w:r>
                </w:p>
              </w:tc>
              <w:tc>
                <w:tcPr>
                  <w:tcW w:w="417" w:type="pct"/>
                  <w:tcBorders>
                    <w:right w:val="single" w:color="auto" w:sz="4" w:space="0"/>
                  </w:tcBorders>
                  <w:noWrap w:val="0"/>
                  <w:vAlign w:val="center"/>
                </w:tcPr>
                <w:p w14:paraId="2A77554F">
                  <w:pPr>
                    <w:widowControl/>
                    <w:jc w:val="center"/>
                    <w:rPr>
                      <w:color w:val="auto"/>
                      <w:kern w:val="0"/>
                      <w:sz w:val="18"/>
                      <w:szCs w:val="18"/>
                    </w:rPr>
                  </w:pPr>
                  <w:r>
                    <w:rPr>
                      <w:color w:val="auto"/>
                      <w:kern w:val="0"/>
                      <w:sz w:val="18"/>
                      <w:szCs w:val="18"/>
                    </w:rPr>
                    <w:t>个</w:t>
                  </w:r>
                </w:p>
              </w:tc>
              <w:tc>
                <w:tcPr>
                  <w:tcW w:w="816" w:type="pct"/>
                  <w:tcBorders>
                    <w:left w:val="single" w:color="auto" w:sz="4" w:space="0"/>
                    <w:right w:val="single" w:color="auto" w:sz="4" w:space="0"/>
                  </w:tcBorders>
                  <w:noWrap w:val="0"/>
                  <w:vAlign w:val="bottom"/>
                </w:tcPr>
                <w:p w14:paraId="3F5E00EE">
                  <w:pPr>
                    <w:widowControl/>
                    <w:jc w:val="center"/>
                    <w:textAlignment w:val="bottom"/>
                    <w:rPr>
                      <w:color w:val="auto"/>
                      <w:kern w:val="0"/>
                      <w:sz w:val="18"/>
                      <w:szCs w:val="18"/>
                    </w:rPr>
                  </w:pPr>
                  <w:r>
                    <w:rPr>
                      <w:color w:val="auto"/>
                      <w:kern w:val="0"/>
                      <w:sz w:val="18"/>
                      <w:szCs w:val="18"/>
                    </w:rPr>
                    <w:t>5</w:t>
                  </w:r>
                </w:p>
              </w:tc>
              <w:tc>
                <w:tcPr>
                  <w:tcW w:w="713" w:type="pct"/>
                  <w:tcBorders>
                    <w:left w:val="single" w:color="auto" w:sz="4" w:space="0"/>
                  </w:tcBorders>
                  <w:noWrap w:val="0"/>
                  <w:vAlign w:val="bottom"/>
                </w:tcPr>
                <w:p w14:paraId="4E4CF356">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774" w:type="pct"/>
                  <w:noWrap w:val="0"/>
                  <w:vAlign w:val="center"/>
                </w:tcPr>
                <w:p w14:paraId="5370F560">
                  <w:pPr>
                    <w:spacing w:line="360" w:lineRule="auto"/>
                    <w:jc w:val="center"/>
                    <w:rPr>
                      <w:color w:val="auto"/>
                      <w:sz w:val="18"/>
                      <w:szCs w:val="18"/>
                    </w:rPr>
                  </w:pPr>
                </w:p>
              </w:tc>
            </w:tr>
            <w:tr w14:paraId="777DAC0E">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4D5401D4">
                  <w:pPr>
                    <w:jc w:val="center"/>
                    <w:rPr>
                      <w:color w:val="auto"/>
                      <w:sz w:val="18"/>
                      <w:szCs w:val="18"/>
                    </w:rPr>
                  </w:pPr>
                </w:p>
              </w:tc>
              <w:tc>
                <w:tcPr>
                  <w:tcW w:w="892" w:type="pct"/>
                  <w:noWrap w:val="0"/>
                  <w:vAlign w:val="bottom"/>
                </w:tcPr>
                <w:p w14:paraId="6DF7A560">
                  <w:pPr>
                    <w:widowControl/>
                    <w:jc w:val="center"/>
                    <w:textAlignment w:val="bottom"/>
                    <w:rPr>
                      <w:color w:val="auto"/>
                      <w:kern w:val="0"/>
                      <w:sz w:val="18"/>
                      <w:szCs w:val="18"/>
                    </w:rPr>
                  </w:pPr>
                  <w:r>
                    <w:rPr>
                      <w:color w:val="auto"/>
                      <w:kern w:val="0"/>
                      <w:sz w:val="18"/>
                      <w:szCs w:val="18"/>
                    </w:rPr>
                    <w:t>1.5KW风机</w:t>
                  </w:r>
                </w:p>
              </w:tc>
              <w:tc>
                <w:tcPr>
                  <w:tcW w:w="1007" w:type="pct"/>
                  <w:noWrap w:val="0"/>
                  <w:vAlign w:val="bottom"/>
                </w:tcPr>
                <w:p w14:paraId="5AEF20FF">
                  <w:pPr>
                    <w:widowControl/>
                    <w:jc w:val="center"/>
                    <w:textAlignment w:val="bottom"/>
                    <w:rPr>
                      <w:color w:val="auto"/>
                      <w:kern w:val="0"/>
                      <w:sz w:val="18"/>
                      <w:szCs w:val="18"/>
                    </w:rPr>
                  </w:pPr>
                  <w:r>
                    <w:rPr>
                      <w:color w:val="auto"/>
                      <w:kern w:val="0"/>
                      <w:sz w:val="18"/>
                      <w:szCs w:val="18"/>
                    </w:rPr>
                    <w:t>RB-0022</w:t>
                  </w:r>
                </w:p>
              </w:tc>
              <w:tc>
                <w:tcPr>
                  <w:tcW w:w="417" w:type="pct"/>
                  <w:tcBorders>
                    <w:right w:val="single" w:color="auto" w:sz="4" w:space="0"/>
                  </w:tcBorders>
                  <w:noWrap w:val="0"/>
                  <w:vAlign w:val="center"/>
                </w:tcPr>
                <w:p w14:paraId="6A5C4D05">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bottom"/>
                </w:tcPr>
                <w:p w14:paraId="660426E5">
                  <w:pPr>
                    <w:widowControl/>
                    <w:jc w:val="center"/>
                    <w:textAlignment w:val="bottom"/>
                    <w:rPr>
                      <w:color w:val="auto"/>
                      <w:kern w:val="0"/>
                      <w:sz w:val="18"/>
                      <w:szCs w:val="18"/>
                    </w:rPr>
                  </w:pPr>
                  <w:r>
                    <w:rPr>
                      <w:color w:val="auto"/>
                      <w:kern w:val="0"/>
                      <w:sz w:val="18"/>
                      <w:szCs w:val="18"/>
                    </w:rPr>
                    <w:t>1</w:t>
                  </w:r>
                </w:p>
              </w:tc>
              <w:tc>
                <w:tcPr>
                  <w:tcW w:w="713" w:type="pct"/>
                  <w:tcBorders>
                    <w:left w:val="single" w:color="auto" w:sz="4" w:space="0"/>
                  </w:tcBorders>
                  <w:noWrap w:val="0"/>
                  <w:vAlign w:val="bottom"/>
                </w:tcPr>
                <w:p w14:paraId="3A39B064">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6BF7A06F">
                  <w:pPr>
                    <w:spacing w:line="360" w:lineRule="auto"/>
                    <w:jc w:val="center"/>
                    <w:rPr>
                      <w:color w:val="auto"/>
                      <w:sz w:val="18"/>
                      <w:szCs w:val="18"/>
                    </w:rPr>
                  </w:pPr>
                </w:p>
              </w:tc>
            </w:tr>
            <w:tr w14:paraId="5E81864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vMerge w:val="continue"/>
                  <w:noWrap w:val="0"/>
                  <w:vAlign w:val="center"/>
                </w:tcPr>
                <w:p w14:paraId="744FFA8B">
                  <w:pPr>
                    <w:jc w:val="center"/>
                    <w:rPr>
                      <w:color w:val="auto"/>
                      <w:sz w:val="18"/>
                      <w:szCs w:val="18"/>
                    </w:rPr>
                  </w:pPr>
                </w:p>
              </w:tc>
              <w:tc>
                <w:tcPr>
                  <w:tcW w:w="892" w:type="pct"/>
                  <w:noWrap w:val="0"/>
                  <w:vAlign w:val="bottom"/>
                </w:tcPr>
                <w:p w14:paraId="2395FBA7">
                  <w:pPr>
                    <w:widowControl/>
                    <w:jc w:val="center"/>
                    <w:textAlignment w:val="bottom"/>
                    <w:rPr>
                      <w:color w:val="auto"/>
                      <w:kern w:val="0"/>
                      <w:sz w:val="18"/>
                      <w:szCs w:val="18"/>
                    </w:rPr>
                  </w:pPr>
                  <w:r>
                    <w:rPr>
                      <w:color w:val="auto"/>
                      <w:kern w:val="0"/>
                      <w:sz w:val="18"/>
                      <w:szCs w:val="18"/>
                    </w:rPr>
                    <w:t>0.75KW风机</w:t>
                  </w:r>
                </w:p>
              </w:tc>
              <w:tc>
                <w:tcPr>
                  <w:tcW w:w="1007" w:type="pct"/>
                  <w:noWrap w:val="0"/>
                  <w:vAlign w:val="bottom"/>
                </w:tcPr>
                <w:p w14:paraId="4F71E692">
                  <w:pPr>
                    <w:widowControl/>
                    <w:jc w:val="center"/>
                    <w:textAlignment w:val="bottom"/>
                    <w:rPr>
                      <w:color w:val="auto"/>
                      <w:kern w:val="0"/>
                      <w:sz w:val="18"/>
                      <w:szCs w:val="18"/>
                    </w:rPr>
                  </w:pPr>
                  <w:r>
                    <w:rPr>
                      <w:color w:val="auto"/>
                      <w:kern w:val="0"/>
                      <w:sz w:val="18"/>
                      <w:szCs w:val="18"/>
                    </w:rPr>
                    <w:t>RB-750</w:t>
                  </w:r>
                </w:p>
              </w:tc>
              <w:tc>
                <w:tcPr>
                  <w:tcW w:w="417" w:type="pct"/>
                  <w:tcBorders>
                    <w:right w:val="single" w:color="auto" w:sz="4" w:space="0"/>
                  </w:tcBorders>
                  <w:noWrap w:val="0"/>
                  <w:vAlign w:val="center"/>
                </w:tcPr>
                <w:p w14:paraId="2F5D9930">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bottom"/>
                </w:tcPr>
                <w:p w14:paraId="0F953BAD">
                  <w:pPr>
                    <w:widowControl/>
                    <w:jc w:val="center"/>
                    <w:textAlignment w:val="bottom"/>
                    <w:rPr>
                      <w:color w:val="auto"/>
                      <w:kern w:val="0"/>
                      <w:sz w:val="18"/>
                      <w:szCs w:val="18"/>
                    </w:rPr>
                  </w:pPr>
                  <w:r>
                    <w:rPr>
                      <w:color w:val="auto"/>
                      <w:kern w:val="0"/>
                      <w:sz w:val="18"/>
                      <w:szCs w:val="18"/>
                    </w:rPr>
                    <w:t>4</w:t>
                  </w:r>
                </w:p>
              </w:tc>
              <w:tc>
                <w:tcPr>
                  <w:tcW w:w="713" w:type="pct"/>
                  <w:tcBorders>
                    <w:left w:val="single" w:color="auto" w:sz="4" w:space="0"/>
                  </w:tcBorders>
                  <w:noWrap w:val="0"/>
                  <w:vAlign w:val="bottom"/>
                </w:tcPr>
                <w:p w14:paraId="039F8249">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774" w:type="pct"/>
                  <w:noWrap w:val="0"/>
                  <w:vAlign w:val="center"/>
                </w:tcPr>
                <w:p w14:paraId="15492F65">
                  <w:pPr>
                    <w:spacing w:line="360" w:lineRule="auto"/>
                    <w:jc w:val="center"/>
                    <w:rPr>
                      <w:color w:val="auto"/>
                      <w:sz w:val="18"/>
                      <w:szCs w:val="18"/>
                    </w:rPr>
                  </w:pPr>
                </w:p>
              </w:tc>
            </w:tr>
            <w:tr w14:paraId="68B02429">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242850A">
                  <w:pPr>
                    <w:jc w:val="center"/>
                    <w:rPr>
                      <w:color w:val="auto"/>
                      <w:sz w:val="18"/>
                      <w:szCs w:val="18"/>
                    </w:rPr>
                  </w:pPr>
                  <w:r>
                    <w:rPr>
                      <w:color w:val="auto"/>
                      <w:sz w:val="18"/>
                      <w:szCs w:val="18"/>
                    </w:rPr>
                    <w:t>4.17</w:t>
                  </w:r>
                </w:p>
              </w:tc>
              <w:tc>
                <w:tcPr>
                  <w:tcW w:w="892" w:type="pct"/>
                  <w:noWrap w:val="0"/>
                  <w:vAlign w:val="center"/>
                </w:tcPr>
                <w:p w14:paraId="431FA8C8">
                  <w:pPr>
                    <w:widowControl/>
                    <w:jc w:val="center"/>
                    <w:textAlignment w:val="bottom"/>
                    <w:rPr>
                      <w:color w:val="auto"/>
                      <w:kern w:val="0"/>
                      <w:sz w:val="18"/>
                      <w:szCs w:val="18"/>
                    </w:rPr>
                  </w:pPr>
                  <w:r>
                    <w:rPr>
                      <w:color w:val="auto"/>
                      <w:kern w:val="0"/>
                      <w:sz w:val="18"/>
                      <w:szCs w:val="18"/>
                    </w:rPr>
                    <w:t>余热锅炉</w:t>
                  </w:r>
                </w:p>
              </w:tc>
              <w:tc>
                <w:tcPr>
                  <w:tcW w:w="1007" w:type="pct"/>
                  <w:noWrap w:val="0"/>
                  <w:vAlign w:val="center"/>
                </w:tcPr>
                <w:p w14:paraId="2AFD0B7E">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w:t>
                  </w:r>
                </w:p>
              </w:tc>
              <w:tc>
                <w:tcPr>
                  <w:tcW w:w="417" w:type="pct"/>
                  <w:tcBorders>
                    <w:right w:val="single" w:color="auto" w:sz="4" w:space="0"/>
                  </w:tcBorders>
                  <w:noWrap w:val="0"/>
                  <w:vAlign w:val="center"/>
                </w:tcPr>
                <w:p w14:paraId="2E5C1B9C">
                  <w:pPr>
                    <w:widowControl/>
                    <w:jc w:val="center"/>
                    <w:rPr>
                      <w:color w:val="auto"/>
                      <w:kern w:val="0"/>
                      <w:sz w:val="18"/>
                      <w:szCs w:val="18"/>
                    </w:rPr>
                  </w:pPr>
                  <w:r>
                    <w:rPr>
                      <w:color w:val="auto"/>
                      <w:kern w:val="0"/>
                      <w:sz w:val="18"/>
                      <w:szCs w:val="18"/>
                    </w:rPr>
                    <w:t>台</w:t>
                  </w:r>
                </w:p>
              </w:tc>
              <w:tc>
                <w:tcPr>
                  <w:tcW w:w="816" w:type="pct"/>
                  <w:tcBorders>
                    <w:left w:val="single" w:color="auto" w:sz="4" w:space="0"/>
                    <w:right w:val="single" w:color="auto" w:sz="4" w:space="0"/>
                  </w:tcBorders>
                  <w:noWrap w:val="0"/>
                  <w:vAlign w:val="center"/>
                </w:tcPr>
                <w:p w14:paraId="002FE369">
                  <w:pPr>
                    <w:widowControl/>
                    <w:jc w:val="center"/>
                    <w:textAlignment w:val="bottom"/>
                    <w:rPr>
                      <w:color w:val="auto"/>
                      <w:kern w:val="0"/>
                      <w:sz w:val="18"/>
                      <w:szCs w:val="18"/>
                    </w:rPr>
                  </w:pPr>
                  <w:r>
                    <w:rPr>
                      <w:color w:val="auto"/>
                      <w:kern w:val="0"/>
                      <w:sz w:val="18"/>
                      <w:szCs w:val="18"/>
                    </w:rPr>
                    <w:t>1</w:t>
                  </w:r>
                </w:p>
              </w:tc>
              <w:tc>
                <w:tcPr>
                  <w:tcW w:w="713" w:type="pct"/>
                  <w:tcBorders>
                    <w:left w:val="single" w:color="auto" w:sz="4" w:space="0"/>
                  </w:tcBorders>
                  <w:noWrap w:val="0"/>
                  <w:vAlign w:val="center"/>
                </w:tcPr>
                <w:p w14:paraId="49B3F80E">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63F6D787">
                  <w:pPr>
                    <w:spacing w:line="360" w:lineRule="auto"/>
                    <w:jc w:val="center"/>
                    <w:rPr>
                      <w:color w:val="auto"/>
                      <w:sz w:val="18"/>
                      <w:szCs w:val="18"/>
                    </w:rPr>
                  </w:pPr>
                </w:p>
              </w:tc>
            </w:tr>
            <w:tr w14:paraId="65F12FE6">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80326AA">
                  <w:pPr>
                    <w:jc w:val="center"/>
                    <w:rPr>
                      <w:color w:val="auto"/>
                      <w:sz w:val="18"/>
                      <w:szCs w:val="18"/>
                    </w:rPr>
                  </w:pPr>
                  <w:r>
                    <w:rPr>
                      <w:rFonts w:hint="eastAsia"/>
                      <w:color w:val="auto"/>
                      <w:sz w:val="18"/>
                      <w:szCs w:val="18"/>
                    </w:rPr>
                    <w:t>4.18</w:t>
                  </w:r>
                </w:p>
              </w:tc>
              <w:tc>
                <w:tcPr>
                  <w:tcW w:w="892" w:type="pct"/>
                  <w:noWrap w:val="0"/>
                  <w:vAlign w:val="center"/>
                </w:tcPr>
                <w:p w14:paraId="675307B4">
                  <w:pPr>
                    <w:widowControl/>
                    <w:jc w:val="center"/>
                    <w:textAlignment w:val="bottom"/>
                    <w:rPr>
                      <w:color w:val="auto"/>
                      <w:kern w:val="0"/>
                      <w:sz w:val="18"/>
                      <w:szCs w:val="18"/>
                    </w:rPr>
                  </w:pPr>
                  <w:r>
                    <w:rPr>
                      <w:color w:val="auto"/>
                      <w:kern w:val="0"/>
                      <w:sz w:val="18"/>
                      <w:szCs w:val="18"/>
                    </w:rPr>
                    <w:t>烟囱</w:t>
                  </w:r>
                </w:p>
              </w:tc>
              <w:tc>
                <w:tcPr>
                  <w:tcW w:w="1007" w:type="pct"/>
                  <w:noWrap w:val="0"/>
                  <w:vAlign w:val="center"/>
                </w:tcPr>
                <w:p w14:paraId="17DA50A0">
                  <w:pPr>
                    <w:widowControl/>
                    <w:jc w:val="center"/>
                    <w:textAlignment w:val="bottom"/>
                    <w:rPr>
                      <w:color w:val="auto"/>
                      <w:kern w:val="0"/>
                      <w:sz w:val="18"/>
                      <w:szCs w:val="18"/>
                    </w:rPr>
                  </w:pPr>
                  <w:r>
                    <w:rPr>
                      <w:color w:val="auto"/>
                      <w:kern w:val="0"/>
                      <w:sz w:val="18"/>
                      <w:szCs w:val="18"/>
                    </w:rPr>
                    <w:t>砖砌结构</w:t>
                  </w:r>
                </w:p>
              </w:tc>
              <w:tc>
                <w:tcPr>
                  <w:tcW w:w="417" w:type="pct"/>
                  <w:tcBorders>
                    <w:right w:val="single" w:color="auto" w:sz="4" w:space="0"/>
                  </w:tcBorders>
                  <w:noWrap w:val="0"/>
                  <w:vAlign w:val="center"/>
                </w:tcPr>
                <w:p w14:paraId="48D78B12">
                  <w:pPr>
                    <w:widowControl/>
                    <w:jc w:val="center"/>
                    <w:rPr>
                      <w:color w:val="auto"/>
                      <w:kern w:val="0"/>
                      <w:sz w:val="18"/>
                      <w:szCs w:val="18"/>
                    </w:rPr>
                  </w:pPr>
                  <w:r>
                    <w:rPr>
                      <w:color w:val="auto"/>
                      <w:kern w:val="0"/>
                      <w:sz w:val="18"/>
                      <w:szCs w:val="18"/>
                    </w:rPr>
                    <w:t>座</w:t>
                  </w:r>
                </w:p>
              </w:tc>
              <w:tc>
                <w:tcPr>
                  <w:tcW w:w="816" w:type="pct"/>
                  <w:tcBorders>
                    <w:left w:val="single" w:color="auto" w:sz="4" w:space="0"/>
                    <w:right w:val="single" w:color="auto" w:sz="4" w:space="0"/>
                  </w:tcBorders>
                  <w:noWrap w:val="0"/>
                  <w:vAlign w:val="center"/>
                </w:tcPr>
                <w:p w14:paraId="774C5E67">
                  <w:pPr>
                    <w:widowControl/>
                    <w:jc w:val="center"/>
                    <w:textAlignment w:val="bottom"/>
                    <w:rPr>
                      <w:color w:val="auto"/>
                      <w:kern w:val="0"/>
                      <w:sz w:val="18"/>
                      <w:szCs w:val="18"/>
                    </w:rPr>
                  </w:pPr>
                  <w:r>
                    <w:rPr>
                      <w:rFonts w:hint="eastAsia"/>
                      <w:color w:val="auto"/>
                      <w:kern w:val="0"/>
                      <w:sz w:val="18"/>
                      <w:szCs w:val="18"/>
                    </w:rPr>
                    <w:t>1</w:t>
                  </w:r>
                </w:p>
              </w:tc>
              <w:tc>
                <w:tcPr>
                  <w:tcW w:w="713" w:type="pct"/>
                  <w:tcBorders>
                    <w:left w:val="single" w:color="auto" w:sz="4" w:space="0"/>
                  </w:tcBorders>
                  <w:noWrap w:val="0"/>
                  <w:vAlign w:val="center"/>
                </w:tcPr>
                <w:p w14:paraId="331C6AE9">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90E90D7">
                  <w:pPr>
                    <w:spacing w:line="360" w:lineRule="auto"/>
                    <w:jc w:val="center"/>
                    <w:rPr>
                      <w:color w:val="auto"/>
                      <w:sz w:val="18"/>
                      <w:szCs w:val="18"/>
                    </w:rPr>
                  </w:pPr>
                  <w:r>
                    <w:rPr>
                      <w:rFonts w:hint="eastAsia"/>
                      <w:color w:val="auto"/>
                      <w:sz w:val="18"/>
                      <w:szCs w:val="18"/>
                    </w:rPr>
                    <w:t>55m</w:t>
                  </w:r>
                </w:p>
              </w:tc>
            </w:tr>
            <w:tr w14:paraId="3E2F3AC3">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7253DF3F">
                  <w:pPr>
                    <w:jc w:val="center"/>
                    <w:rPr>
                      <w:rFonts w:hint="default" w:eastAsia="宋体"/>
                      <w:color w:val="auto"/>
                      <w:sz w:val="18"/>
                      <w:szCs w:val="18"/>
                      <w:lang w:val="en-US" w:eastAsia="zh-CN"/>
                    </w:rPr>
                  </w:pPr>
                  <w:r>
                    <w:rPr>
                      <w:rFonts w:hint="eastAsia"/>
                      <w:color w:val="auto"/>
                      <w:sz w:val="18"/>
                      <w:szCs w:val="18"/>
                      <w:lang w:val="en-US" w:eastAsia="zh-CN"/>
                    </w:rPr>
                    <w:t>4.19</w:t>
                  </w:r>
                </w:p>
              </w:tc>
              <w:tc>
                <w:tcPr>
                  <w:tcW w:w="892" w:type="pct"/>
                  <w:noWrap w:val="0"/>
                  <w:vAlign w:val="center"/>
                </w:tcPr>
                <w:p w14:paraId="70B2E44F">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水环真空泵</w:t>
                  </w:r>
                </w:p>
              </w:tc>
              <w:tc>
                <w:tcPr>
                  <w:tcW w:w="1007" w:type="pct"/>
                  <w:noWrap w:val="0"/>
                  <w:vAlign w:val="center"/>
                </w:tcPr>
                <w:p w14:paraId="7AC5C8DB">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7.5KW</w:t>
                  </w:r>
                </w:p>
              </w:tc>
              <w:tc>
                <w:tcPr>
                  <w:tcW w:w="417" w:type="pct"/>
                  <w:tcBorders>
                    <w:right w:val="single" w:color="auto" w:sz="4" w:space="0"/>
                  </w:tcBorders>
                  <w:noWrap w:val="0"/>
                  <w:vAlign w:val="center"/>
                </w:tcPr>
                <w:p w14:paraId="0C90E556">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09A9A5F5">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60CFDE28">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1E3AD8FD">
                  <w:pPr>
                    <w:spacing w:line="360" w:lineRule="auto"/>
                    <w:jc w:val="center"/>
                    <w:rPr>
                      <w:rFonts w:hint="eastAsia"/>
                      <w:color w:val="auto"/>
                      <w:sz w:val="18"/>
                      <w:szCs w:val="18"/>
                    </w:rPr>
                  </w:pPr>
                </w:p>
              </w:tc>
            </w:tr>
            <w:tr w14:paraId="1F35809B">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26F02619">
                  <w:pPr>
                    <w:jc w:val="center"/>
                    <w:rPr>
                      <w:rFonts w:hint="default" w:eastAsia="宋体"/>
                      <w:color w:val="auto"/>
                      <w:sz w:val="18"/>
                      <w:szCs w:val="18"/>
                      <w:lang w:val="en-US" w:eastAsia="zh-CN"/>
                    </w:rPr>
                  </w:pPr>
                  <w:r>
                    <w:rPr>
                      <w:rFonts w:hint="eastAsia"/>
                      <w:color w:val="auto"/>
                      <w:sz w:val="18"/>
                      <w:szCs w:val="18"/>
                      <w:lang w:val="en-US" w:eastAsia="zh-CN"/>
                    </w:rPr>
                    <w:t>4.20</w:t>
                  </w:r>
                </w:p>
              </w:tc>
              <w:tc>
                <w:tcPr>
                  <w:tcW w:w="892" w:type="pct"/>
                  <w:noWrap w:val="0"/>
                  <w:vAlign w:val="center"/>
                </w:tcPr>
                <w:p w14:paraId="0A09CF85">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模冷风机</w:t>
                  </w:r>
                </w:p>
              </w:tc>
              <w:tc>
                <w:tcPr>
                  <w:tcW w:w="1007" w:type="pct"/>
                  <w:noWrap w:val="0"/>
                  <w:vAlign w:val="center"/>
                </w:tcPr>
                <w:p w14:paraId="05B3F4B2">
                  <w:pPr>
                    <w:widowControl/>
                    <w:jc w:val="center"/>
                    <w:textAlignment w:val="bottom"/>
                    <w:rPr>
                      <w:color w:val="auto"/>
                      <w:kern w:val="0"/>
                      <w:sz w:val="18"/>
                      <w:szCs w:val="18"/>
                    </w:rPr>
                  </w:pPr>
                  <w:r>
                    <w:rPr>
                      <w:rFonts w:hint="eastAsia"/>
                      <w:color w:val="auto"/>
                      <w:kern w:val="0"/>
                      <w:sz w:val="18"/>
                      <w:szCs w:val="18"/>
                      <w:lang w:val="en-US" w:eastAsia="zh-CN"/>
                    </w:rPr>
                    <w:t>7.5KW</w:t>
                  </w:r>
                </w:p>
              </w:tc>
              <w:tc>
                <w:tcPr>
                  <w:tcW w:w="417" w:type="pct"/>
                  <w:tcBorders>
                    <w:right w:val="single" w:color="auto" w:sz="4" w:space="0"/>
                  </w:tcBorders>
                  <w:noWrap w:val="0"/>
                  <w:vAlign w:val="center"/>
                </w:tcPr>
                <w:p w14:paraId="6B72DD8B">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16BD18B7">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14</w:t>
                  </w:r>
                </w:p>
              </w:tc>
              <w:tc>
                <w:tcPr>
                  <w:tcW w:w="713" w:type="pct"/>
                  <w:tcBorders>
                    <w:left w:val="single" w:color="auto" w:sz="4" w:space="0"/>
                  </w:tcBorders>
                  <w:noWrap w:val="0"/>
                  <w:vAlign w:val="center"/>
                </w:tcPr>
                <w:p w14:paraId="76AB1C8E">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14</w:t>
                  </w:r>
                </w:p>
              </w:tc>
              <w:tc>
                <w:tcPr>
                  <w:tcW w:w="774" w:type="pct"/>
                  <w:noWrap w:val="0"/>
                  <w:vAlign w:val="center"/>
                </w:tcPr>
                <w:p w14:paraId="34B01792">
                  <w:pPr>
                    <w:spacing w:line="360" w:lineRule="auto"/>
                    <w:jc w:val="center"/>
                    <w:rPr>
                      <w:rFonts w:hint="eastAsia"/>
                      <w:color w:val="auto"/>
                      <w:sz w:val="18"/>
                      <w:szCs w:val="18"/>
                    </w:rPr>
                  </w:pPr>
                </w:p>
              </w:tc>
            </w:tr>
            <w:tr w14:paraId="637ECAE6">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A03EB5C">
                  <w:pPr>
                    <w:jc w:val="center"/>
                    <w:rPr>
                      <w:rFonts w:hint="default" w:eastAsia="宋体"/>
                      <w:color w:val="auto"/>
                      <w:sz w:val="18"/>
                      <w:szCs w:val="18"/>
                      <w:lang w:val="en-US" w:eastAsia="zh-CN"/>
                    </w:rPr>
                  </w:pPr>
                  <w:r>
                    <w:rPr>
                      <w:rFonts w:hint="eastAsia"/>
                      <w:color w:val="auto"/>
                      <w:sz w:val="18"/>
                      <w:szCs w:val="18"/>
                      <w:lang w:val="en-US" w:eastAsia="zh-CN"/>
                    </w:rPr>
                    <w:t>4.21</w:t>
                  </w:r>
                </w:p>
              </w:tc>
              <w:tc>
                <w:tcPr>
                  <w:tcW w:w="892" w:type="pct"/>
                  <w:noWrap w:val="0"/>
                  <w:vAlign w:val="center"/>
                </w:tcPr>
                <w:p w14:paraId="12FB733F">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氧压机</w:t>
                  </w:r>
                </w:p>
              </w:tc>
              <w:tc>
                <w:tcPr>
                  <w:tcW w:w="1007" w:type="pct"/>
                  <w:noWrap w:val="0"/>
                  <w:vAlign w:val="center"/>
                </w:tcPr>
                <w:p w14:paraId="71164B5C">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75KW</w:t>
                  </w:r>
                </w:p>
              </w:tc>
              <w:tc>
                <w:tcPr>
                  <w:tcW w:w="417" w:type="pct"/>
                  <w:tcBorders>
                    <w:right w:val="single" w:color="auto" w:sz="4" w:space="0"/>
                  </w:tcBorders>
                  <w:noWrap w:val="0"/>
                  <w:vAlign w:val="center"/>
                </w:tcPr>
                <w:p w14:paraId="1FE7B670">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32DB42DA">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073BC64C">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645BBD1C">
                  <w:pPr>
                    <w:spacing w:line="360" w:lineRule="auto"/>
                    <w:jc w:val="center"/>
                    <w:rPr>
                      <w:rFonts w:hint="eastAsia"/>
                      <w:color w:val="auto"/>
                      <w:sz w:val="18"/>
                      <w:szCs w:val="18"/>
                    </w:rPr>
                  </w:pPr>
                </w:p>
              </w:tc>
            </w:tr>
            <w:tr w14:paraId="1170A816">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10470DBA">
                  <w:pPr>
                    <w:jc w:val="center"/>
                    <w:rPr>
                      <w:rFonts w:hint="default" w:eastAsia="宋体"/>
                      <w:color w:val="auto"/>
                      <w:sz w:val="18"/>
                      <w:szCs w:val="18"/>
                      <w:lang w:val="en-US" w:eastAsia="zh-CN"/>
                    </w:rPr>
                  </w:pPr>
                  <w:r>
                    <w:rPr>
                      <w:rFonts w:hint="eastAsia"/>
                      <w:color w:val="auto"/>
                      <w:sz w:val="18"/>
                      <w:szCs w:val="18"/>
                      <w:lang w:val="en-US" w:eastAsia="zh-CN"/>
                    </w:rPr>
                    <w:t>4.22</w:t>
                  </w:r>
                </w:p>
              </w:tc>
              <w:tc>
                <w:tcPr>
                  <w:tcW w:w="892" w:type="pct"/>
                  <w:noWrap w:val="0"/>
                  <w:vAlign w:val="center"/>
                </w:tcPr>
                <w:p w14:paraId="681562FC">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鼓风机</w:t>
                  </w:r>
                </w:p>
              </w:tc>
              <w:tc>
                <w:tcPr>
                  <w:tcW w:w="1007" w:type="pct"/>
                  <w:noWrap w:val="0"/>
                  <w:vAlign w:val="center"/>
                </w:tcPr>
                <w:p w14:paraId="5DC33E39">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160KW</w:t>
                  </w:r>
                </w:p>
              </w:tc>
              <w:tc>
                <w:tcPr>
                  <w:tcW w:w="417" w:type="pct"/>
                  <w:tcBorders>
                    <w:right w:val="single" w:color="auto" w:sz="4" w:space="0"/>
                  </w:tcBorders>
                  <w:noWrap w:val="0"/>
                  <w:vAlign w:val="center"/>
                </w:tcPr>
                <w:p w14:paraId="7B3FA187">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45672850">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196D70BC">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20E550DA">
                  <w:pPr>
                    <w:spacing w:line="360" w:lineRule="auto"/>
                    <w:jc w:val="center"/>
                    <w:rPr>
                      <w:rFonts w:hint="eastAsia"/>
                      <w:color w:val="auto"/>
                      <w:sz w:val="18"/>
                      <w:szCs w:val="18"/>
                    </w:rPr>
                  </w:pPr>
                </w:p>
              </w:tc>
            </w:tr>
            <w:tr w14:paraId="163591C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0A7417D1">
                  <w:pPr>
                    <w:jc w:val="center"/>
                    <w:rPr>
                      <w:rFonts w:hint="default" w:eastAsia="宋体"/>
                      <w:color w:val="auto"/>
                      <w:sz w:val="18"/>
                      <w:szCs w:val="18"/>
                      <w:lang w:val="en-US" w:eastAsia="zh-CN"/>
                    </w:rPr>
                  </w:pPr>
                  <w:r>
                    <w:rPr>
                      <w:rFonts w:hint="eastAsia"/>
                      <w:color w:val="auto"/>
                      <w:sz w:val="18"/>
                      <w:szCs w:val="18"/>
                      <w:lang w:val="en-US" w:eastAsia="zh-CN"/>
                    </w:rPr>
                    <w:t>4.23</w:t>
                  </w:r>
                </w:p>
              </w:tc>
              <w:tc>
                <w:tcPr>
                  <w:tcW w:w="892" w:type="pct"/>
                  <w:noWrap w:val="0"/>
                  <w:vAlign w:val="center"/>
                </w:tcPr>
                <w:p w14:paraId="28C67336">
                  <w:pPr>
                    <w:widowControl/>
                    <w:jc w:val="center"/>
                    <w:textAlignment w:val="bottom"/>
                    <w:rPr>
                      <w:color w:val="auto"/>
                      <w:kern w:val="0"/>
                      <w:sz w:val="18"/>
                      <w:szCs w:val="18"/>
                    </w:rPr>
                  </w:pPr>
                  <w:r>
                    <w:rPr>
                      <w:rFonts w:hint="eastAsia"/>
                      <w:color w:val="auto"/>
                      <w:kern w:val="0"/>
                      <w:sz w:val="18"/>
                      <w:szCs w:val="18"/>
                      <w:lang w:val="en-US" w:eastAsia="zh-CN"/>
                    </w:rPr>
                    <w:t>鼓风机</w:t>
                  </w:r>
                </w:p>
              </w:tc>
              <w:tc>
                <w:tcPr>
                  <w:tcW w:w="1007" w:type="pct"/>
                  <w:noWrap w:val="0"/>
                  <w:vAlign w:val="center"/>
                </w:tcPr>
                <w:p w14:paraId="636BC674">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200KW</w:t>
                  </w:r>
                </w:p>
              </w:tc>
              <w:tc>
                <w:tcPr>
                  <w:tcW w:w="417" w:type="pct"/>
                  <w:tcBorders>
                    <w:right w:val="single" w:color="auto" w:sz="4" w:space="0"/>
                  </w:tcBorders>
                  <w:noWrap w:val="0"/>
                  <w:vAlign w:val="center"/>
                </w:tcPr>
                <w:p w14:paraId="6DA507BF">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76E6EA46">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2C04E06D">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DFCAD21">
                  <w:pPr>
                    <w:spacing w:line="360" w:lineRule="auto"/>
                    <w:jc w:val="center"/>
                    <w:rPr>
                      <w:rFonts w:hint="eastAsia"/>
                      <w:color w:val="auto"/>
                      <w:sz w:val="18"/>
                      <w:szCs w:val="18"/>
                    </w:rPr>
                  </w:pPr>
                </w:p>
              </w:tc>
            </w:tr>
            <w:tr w14:paraId="2BD6B8EF">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2BA8B954">
                  <w:pPr>
                    <w:jc w:val="center"/>
                    <w:rPr>
                      <w:rFonts w:hint="default" w:eastAsia="宋体"/>
                      <w:color w:val="auto"/>
                      <w:sz w:val="18"/>
                      <w:szCs w:val="18"/>
                      <w:lang w:val="en-US" w:eastAsia="zh-CN"/>
                    </w:rPr>
                  </w:pPr>
                  <w:r>
                    <w:rPr>
                      <w:rFonts w:hint="eastAsia"/>
                      <w:color w:val="auto"/>
                      <w:sz w:val="18"/>
                      <w:szCs w:val="18"/>
                      <w:lang w:val="en-US" w:eastAsia="zh-CN"/>
                    </w:rPr>
                    <w:t>4.24</w:t>
                  </w:r>
                </w:p>
              </w:tc>
              <w:tc>
                <w:tcPr>
                  <w:tcW w:w="892" w:type="pct"/>
                  <w:noWrap w:val="0"/>
                  <w:vAlign w:val="center"/>
                </w:tcPr>
                <w:p w14:paraId="13D756BA">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保窑风机</w:t>
                  </w:r>
                </w:p>
              </w:tc>
              <w:tc>
                <w:tcPr>
                  <w:tcW w:w="1007" w:type="pct"/>
                  <w:noWrap w:val="0"/>
                  <w:vAlign w:val="center"/>
                </w:tcPr>
                <w:p w14:paraId="4F86FE87">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17" w:type="pct"/>
                  <w:tcBorders>
                    <w:right w:val="single" w:color="auto" w:sz="4" w:space="0"/>
                  </w:tcBorders>
                  <w:noWrap w:val="0"/>
                  <w:vAlign w:val="center"/>
                </w:tcPr>
                <w:p w14:paraId="5F0F6580">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0704ACF0">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2AC19639">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31D2B1A5">
                  <w:pPr>
                    <w:spacing w:line="360" w:lineRule="auto"/>
                    <w:jc w:val="center"/>
                    <w:rPr>
                      <w:rFonts w:hint="eastAsia"/>
                      <w:color w:val="auto"/>
                      <w:sz w:val="18"/>
                      <w:szCs w:val="18"/>
                    </w:rPr>
                  </w:pPr>
                </w:p>
              </w:tc>
            </w:tr>
            <w:tr w14:paraId="4870F32D">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5A614D9A">
                  <w:pPr>
                    <w:jc w:val="center"/>
                    <w:rPr>
                      <w:rFonts w:hint="default" w:eastAsia="宋体"/>
                      <w:color w:val="auto"/>
                      <w:sz w:val="18"/>
                      <w:szCs w:val="18"/>
                      <w:lang w:val="en-US" w:eastAsia="zh-CN"/>
                    </w:rPr>
                  </w:pPr>
                  <w:r>
                    <w:rPr>
                      <w:rFonts w:hint="eastAsia"/>
                      <w:color w:val="auto"/>
                      <w:sz w:val="18"/>
                      <w:szCs w:val="18"/>
                      <w:lang w:val="en-US" w:eastAsia="zh-CN"/>
                    </w:rPr>
                    <w:t>4.25</w:t>
                  </w:r>
                </w:p>
              </w:tc>
              <w:tc>
                <w:tcPr>
                  <w:tcW w:w="892" w:type="pct"/>
                  <w:noWrap w:val="0"/>
                  <w:vAlign w:val="center"/>
                </w:tcPr>
                <w:p w14:paraId="21853B6B">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环保风机</w:t>
                  </w:r>
                </w:p>
              </w:tc>
              <w:tc>
                <w:tcPr>
                  <w:tcW w:w="1007" w:type="pct"/>
                  <w:noWrap w:val="0"/>
                  <w:vAlign w:val="center"/>
                </w:tcPr>
                <w:p w14:paraId="3F266EDA">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110KW</w:t>
                  </w:r>
                </w:p>
              </w:tc>
              <w:tc>
                <w:tcPr>
                  <w:tcW w:w="417" w:type="pct"/>
                  <w:tcBorders>
                    <w:right w:val="single" w:color="auto" w:sz="4" w:space="0"/>
                  </w:tcBorders>
                  <w:noWrap w:val="0"/>
                  <w:vAlign w:val="center"/>
                </w:tcPr>
                <w:p w14:paraId="757CC974">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0882BFAC">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3EAB570C">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209B0080">
                  <w:pPr>
                    <w:spacing w:line="360" w:lineRule="auto"/>
                    <w:jc w:val="center"/>
                    <w:rPr>
                      <w:rFonts w:hint="eastAsia"/>
                      <w:color w:val="auto"/>
                      <w:sz w:val="18"/>
                      <w:szCs w:val="18"/>
                    </w:rPr>
                  </w:pPr>
                </w:p>
              </w:tc>
            </w:tr>
            <w:tr w14:paraId="5F14F5B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68EF6C6">
                  <w:pPr>
                    <w:jc w:val="center"/>
                    <w:rPr>
                      <w:rFonts w:hint="default" w:eastAsia="宋体"/>
                      <w:color w:val="auto"/>
                      <w:sz w:val="18"/>
                      <w:szCs w:val="18"/>
                      <w:lang w:val="en-US" w:eastAsia="zh-CN"/>
                    </w:rPr>
                  </w:pPr>
                  <w:r>
                    <w:rPr>
                      <w:rFonts w:hint="eastAsia"/>
                      <w:color w:val="auto"/>
                      <w:sz w:val="18"/>
                      <w:szCs w:val="18"/>
                      <w:lang w:val="en-US" w:eastAsia="zh-CN"/>
                    </w:rPr>
                    <w:t>4.26</w:t>
                  </w:r>
                </w:p>
              </w:tc>
              <w:tc>
                <w:tcPr>
                  <w:tcW w:w="892" w:type="pct"/>
                  <w:noWrap w:val="0"/>
                  <w:vAlign w:val="center"/>
                </w:tcPr>
                <w:p w14:paraId="1AA6D1C6">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窑炉进风机</w:t>
                  </w:r>
                </w:p>
              </w:tc>
              <w:tc>
                <w:tcPr>
                  <w:tcW w:w="1007" w:type="pct"/>
                  <w:noWrap w:val="0"/>
                  <w:vAlign w:val="center"/>
                </w:tcPr>
                <w:p w14:paraId="75E7D1EF">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11KW</w:t>
                  </w:r>
                </w:p>
              </w:tc>
              <w:tc>
                <w:tcPr>
                  <w:tcW w:w="417" w:type="pct"/>
                  <w:tcBorders>
                    <w:right w:val="single" w:color="auto" w:sz="4" w:space="0"/>
                  </w:tcBorders>
                  <w:noWrap w:val="0"/>
                  <w:vAlign w:val="center"/>
                </w:tcPr>
                <w:p w14:paraId="6694C74F">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1EF6C35A">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713" w:type="pct"/>
                  <w:tcBorders>
                    <w:left w:val="single" w:color="auto" w:sz="4" w:space="0"/>
                  </w:tcBorders>
                  <w:noWrap w:val="0"/>
                  <w:vAlign w:val="center"/>
                </w:tcPr>
                <w:p w14:paraId="50394ADD">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2</w:t>
                  </w:r>
                </w:p>
              </w:tc>
              <w:tc>
                <w:tcPr>
                  <w:tcW w:w="774" w:type="pct"/>
                  <w:noWrap w:val="0"/>
                  <w:vAlign w:val="center"/>
                </w:tcPr>
                <w:p w14:paraId="16D3AD30">
                  <w:pPr>
                    <w:spacing w:line="360" w:lineRule="auto"/>
                    <w:jc w:val="center"/>
                    <w:rPr>
                      <w:rFonts w:hint="eastAsia"/>
                      <w:color w:val="auto"/>
                      <w:sz w:val="18"/>
                      <w:szCs w:val="18"/>
                    </w:rPr>
                  </w:pPr>
                </w:p>
              </w:tc>
            </w:tr>
            <w:tr w14:paraId="7D4F89BF">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2C9AE49B">
                  <w:pPr>
                    <w:jc w:val="center"/>
                    <w:rPr>
                      <w:rFonts w:hint="default" w:eastAsia="宋体"/>
                      <w:color w:val="auto"/>
                      <w:sz w:val="18"/>
                      <w:szCs w:val="18"/>
                      <w:lang w:val="en-US" w:eastAsia="zh-CN"/>
                    </w:rPr>
                  </w:pPr>
                  <w:r>
                    <w:rPr>
                      <w:rFonts w:hint="eastAsia"/>
                      <w:color w:val="auto"/>
                      <w:sz w:val="18"/>
                      <w:szCs w:val="18"/>
                      <w:lang w:val="en-US" w:eastAsia="zh-CN"/>
                    </w:rPr>
                    <w:t>4.27</w:t>
                  </w:r>
                </w:p>
              </w:tc>
              <w:tc>
                <w:tcPr>
                  <w:tcW w:w="892" w:type="pct"/>
                  <w:noWrap w:val="0"/>
                  <w:vAlign w:val="center"/>
                </w:tcPr>
                <w:p w14:paraId="72356083">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铲车</w:t>
                  </w:r>
                </w:p>
              </w:tc>
              <w:tc>
                <w:tcPr>
                  <w:tcW w:w="1007" w:type="pct"/>
                  <w:noWrap w:val="0"/>
                  <w:vAlign w:val="center"/>
                </w:tcPr>
                <w:p w14:paraId="3F9BE520">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5T</w:t>
                  </w:r>
                </w:p>
              </w:tc>
              <w:tc>
                <w:tcPr>
                  <w:tcW w:w="417" w:type="pct"/>
                  <w:tcBorders>
                    <w:right w:val="single" w:color="auto" w:sz="4" w:space="0"/>
                  </w:tcBorders>
                  <w:noWrap w:val="0"/>
                  <w:vAlign w:val="center"/>
                </w:tcPr>
                <w:p w14:paraId="39B695A7">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21040F4F">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6D466016">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34966BFF">
                  <w:pPr>
                    <w:spacing w:line="360" w:lineRule="auto"/>
                    <w:jc w:val="center"/>
                    <w:rPr>
                      <w:rFonts w:hint="eastAsia"/>
                      <w:color w:val="auto"/>
                      <w:sz w:val="18"/>
                      <w:szCs w:val="18"/>
                    </w:rPr>
                  </w:pPr>
                </w:p>
              </w:tc>
            </w:tr>
            <w:tr w14:paraId="1E77F985">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419F51C5">
                  <w:pPr>
                    <w:jc w:val="center"/>
                    <w:rPr>
                      <w:rFonts w:hint="default" w:eastAsia="宋体"/>
                      <w:color w:val="auto"/>
                      <w:sz w:val="18"/>
                      <w:szCs w:val="18"/>
                      <w:lang w:val="en-US" w:eastAsia="zh-CN"/>
                    </w:rPr>
                  </w:pPr>
                  <w:r>
                    <w:rPr>
                      <w:rFonts w:hint="eastAsia"/>
                      <w:color w:val="auto"/>
                      <w:sz w:val="18"/>
                      <w:szCs w:val="18"/>
                      <w:lang w:val="en-US" w:eastAsia="zh-CN"/>
                    </w:rPr>
                    <w:t>4.28</w:t>
                  </w:r>
                </w:p>
              </w:tc>
              <w:tc>
                <w:tcPr>
                  <w:tcW w:w="892" w:type="pct"/>
                  <w:noWrap w:val="0"/>
                  <w:vAlign w:val="center"/>
                </w:tcPr>
                <w:p w14:paraId="09A101B5">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G系列金属节据床</w:t>
                  </w:r>
                </w:p>
              </w:tc>
              <w:tc>
                <w:tcPr>
                  <w:tcW w:w="1007" w:type="pct"/>
                  <w:noWrap w:val="0"/>
                  <w:vAlign w:val="center"/>
                </w:tcPr>
                <w:p w14:paraId="665346E8">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17" w:type="pct"/>
                  <w:tcBorders>
                    <w:right w:val="single" w:color="auto" w:sz="4" w:space="0"/>
                  </w:tcBorders>
                  <w:noWrap w:val="0"/>
                  <w:vAlign w:val="center"/>
                </w:tcPr>
                <w:p w14:paraId="3CF7A116">
                  <w:pPr>
                    <w:widowControl/>
                    <w:jc w:val="center"/>
                    <w:rPr>
                      <w:color w:val="auto"/>
                      <w:kern w:val="0"/>
                      <w:sz w:val="18"/>
                      <w:szCs w:val="18"/>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76AF766D">
                  <w:pPr>
                    <w:widowControl/>
                    <w:jc w:val="center"/>
                    <w:textAlignment w:val="bottom"/>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713" w:type="pct"/>
                  <w:tcBorders>
                    <w:left w:val="single" w:color="auto" w:sz="4" w:space="0"/>
                  </w:tcBorders>
                  <w:noWrap w:val="0"/>
                  <w:vAlign w:val="center"/>
                </w:tcPr>
                <w:p w14:paraId="2B7552DA">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14702F37">
                  <w:pPr>
                    <w:spacing w:line="360" w:lineRule="auto"/>
                    <w:jc w:val="center"/>
                    <w:rPr>
                      <w:rFonts w:hint="eastAsia"/>
                      <w:color w:val="auto"/>
                      <w:sz w:val="18"/>
                      <w:szCs w:val="18"/>
                    </w:rPr>
                  </w:pPr>
                </w:p>
              </w:tc>
            </w:tr>
            <w:tr w14:paraId="1DCCD16A">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79" w:type="pct"/>
                  <w:noWrap w:val="0"/>
                  <w:vAlign w:val="center"/>
                </w:tcPr>
                <w:p w14:paraId="6121C5E1">
                  <w:pPr>
                    <w:jc w:val="center"/>
                    <w:rPr>
                      <w:rFonts w:hint="default"/>
                      <w:color w:val="auto"/>
                      <w:sz w:val="18"/>
                      <w:szCs w:val="18"/>
                      <w:lang w:val="en-US" w:eastAsia="zh-CN"/>
                    </w:rPr>
                  </w:pPr>
                  <w:r>
                    <w:rPr>
                      <w:rFonts w:hint="eastAsia"/>
                      <w:color w:val="auto"/>
                      <w:sz w:val="18"/>
                      <w:szCs w:val="18"/>
                      <w:lang w:val="en-US" w:eastAsia="zh-CN"/>
                    </w:rPr>
                    <w:t>4.29</w:t>
                  </w:r>
                </w:p>
              </w:tc>
              <w:tc>
                <w:tcPr>
                  <w:tcW w:w="892" w:type="pct"/>
                  <w:noWrap w:val="0"/>
                  <w:vAlign w:val="center"/>
                </w:tcPr>
                <w:p w14:paraId="31A98B73">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制氧机</w:t>
                  </w:r>
                </w:p>
              </w:tc>
              <w:tc>
                <w:tcPr>
                  <w:tcW w:w="1007" w:type="pct"/>
                  <w:noWrap w:val="0"/>
                  <w:vAlign w:val="center"/>
                </w:tcPr>
                <w:p w14:paraId="6EA4D52D">
                  <w:pPr>
                    <w:widowControl/>
                    <w:jc w:val="center"/>
                    <w:textAlignment w:val="bottom"/>
                    <w:rPr>
                      <w:rFonts w:hint="default" w:eastAsia="宋体"/>
                      <w:color w:val="auto"/>
                      <w:kern w:val="0"/>
                      <w:sz w:val="18"/>
                      <w:szCs w:val="18"/>
                      <w:lang w:val="en-US" w:eastAsia="zh-CN"/>
                    </w:rPr>
                  </w:pPr>
                  <w:r>
                    <w:rPr>
                      <w:rFonts w:hint="eastAsia"/>
                      <w:color w:val="auto"/>
                      <w:kern w:val="0"/>
                      <w:sz w:val="18"/>
                      <w:szCs w:val="18"/>
                      <w:lang w:val="en-US" w:eastAsia="zh-CN"/>
                    </w:rPr>
                    <w:t>600m</w:t>
                  </w:r>
                  <w:r>
                    <w:rPr>
                      <w:rFonts w:hint="eastAsia"/>
                      <w:color w:val="auto"/>
                      <w:kern w:val="0"/>
                      <w:sz w:val="18"/>
                      <w:szCs w:val="18"/>
                      <w:vertAlign w:val="superscript"/>
                      <w:lang w:val="en-US" w:eastAsia="zh-CN"/>
                    </w:rPr>
                    <w:t>3</w:t>
                  </w:r>
                  <w:r>
                    <w:rPr>
                      <w:rFonts w:hint="eastAsia"/>
                      <w:color w:val="auto"/>
                      <w:kern w:val="0"/>
                      <w:sz w:val="18"/>
                      <w:szCs w:val="18"/>
                      <w:lang w:val="en-US" w:eastAsia="zh-CN"/>
                    </w:rPr>
                    <w:t>/h</w:t>
                  </w:r>
                </w:p>
              </w:tc>
              <w:tc>
                <w:tcPr>
                  <w:tcW w:w="417" w:type="pct"/>
                  <w:tcBorders>
                    <w:right w:val="single" w:color="auto" w:sz="4" w:space="0"/>
                  </w:tcBorders>
                  <w:noWrap w:val="0"/>
                  <w:vAlign w:val="center"/>
                </w:tcPr>
                <w:p w14:paraId="151779D3">
                  <w:pPr>
                    <w:widowControl/>
                    <w:jc w:val="center"/>
                    <w:rPr>
                      <w:rFonts w:hint="default"/>
                      <w:color w:val="auto"/>
                      <w:kern w:val="0"/>
                      <w:sz w:val="18"/>
                      <w:szCs w:val="18"/>
                      <w:lang w:val="en-US" w:eastAsia="zh-CN"/>
                    </w:rPr>
                  </w:pPr>
                  <w:r>
                    <w:rPr>
                      <w:rFonts w:hint="eastAsia"/>
                      <w:color w:val="auto"/>
                      <w:kern w:val="0"/>
                      <w:sz w:val="18"/>
                      <w:szCs w:val="18"/>
                      <w:lang w:val="en-US" w:eastAsia="zh-CN"/>
                    </w:rPr>
                    <w:t>台</w:t>
                  </w:r>
                </w:p>
              </w:tc>
              <w:tc>
                <w:tcPr>
                  <w:tcW w:w="816" w:type="pct"/>
                  <w:tcBorders>
                    <w:left w:val="single" w:color="auto" w:sz="4" w:space="0"/>
                    <w:right w:val="single" w:color="auto" w:sz="4" w:space="0"/>
                  </w:tcBorders>
                  <w:noWrap w:val="0"/>
                  <w:vAlign w:val="center"/>
                </w:tcPr>
                <w:p w14:paraId="33AB733E">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0</w:t>
                  </w:r>
                </w:p>
              </w:tc>
              <w:tc>
                <w:tcPr>
                  <w:tcW w:w="713" w:type="pct"/>
                  <w:tcBorders>
                    <w:left w:val="single" w:color="auto" w:sz="4" w:space="0"/>
                  </w:tcBorders>
                  <w:noWrap w:val="0"/>
                  <w:vAlign w:val="center"/>
                </w:tcPr>
                <w:p w14:paraId="22519C27">
                  <w:pPr>
                    <w:widowControl/>
                    <w:jc w:val="center"/>
                    <w:textAlignment w:val="bottom"/>
                    <w:rPr>
                      <w:rFonts w:hint="default"/>
                      <w:color w:val="auto"/>
                      <w:kern w:val="0"/>
                      <w:sz w:val="18"/>
                      <w:szCs w:val="18"/>
                      <w:lang w:val="en-US" w:eastAsia="zh-CN"/>
                    </w:rPr>
                  </w:pPr>
                  <w:r>
                    <w:rPr>
                      <w:rFonts w:hint="eastAsia"/>
                      <w:color w:val="auto"/>
                      <w:kern w:val="0"/>
                      <w:sz w:val="18"/>
                      <w:szCs w:val="18"/>
                      <w:lang w:val="en-US" w:eastAsia="zh-CN"/>
                    </w:rPr>
                    <w:t>1</w:t>
                  </w:r>
                </w:p>
              </w:tc>
              <w:tc>
                <w:tcPr>
                  <w:tcW w:w="774" w:type="pct"/>
                  <w:noWrap w:val="0"/>
                  <w:vAlign w:val="center"/>
                </w:tcPr>
                <w:p w14:paraId="5CED8987">
                  <w:pPr>
                    <w:spacing w:line="360" w:lineRule="auto"/>
                    <w:jc w:val="center"/>
                    <w:rPr>
                      <w:rFonts w:hint="default" w:eastAsia="宋体"/>
                      <w:color w:val="auto"/>
                      <w:sz w:val="18"/>
                      <w:szCs w:val="18"/>
                      <w:lang w:val="en-US" w:eastAsia="zh-CN"/>
                    </w:rPr>
                  </w:pPr>
                  <w:r>
                    <w:rPr>
                      <w:rFonts w:hint="eastAsia"/>
                      <w:color w:val="auto"/>
                      <w:sz w:val="18"/>
                      <w:szCs w:val="18"/>
                      <w:lang w:val="en-US" w:eastAsia="zh-CN"/>
                    </w:rPr>
                    <w:t>+1</w:t>
                  </w:r>
                </w:p>
              </w:tc>
            </w:tr>
          </w:tbl>
          <w:p w14:paraId="7A0E5B21">
            <w:pPr>
              <w:adjustRightInd w:val="0"/>
              <w:snapToGrid w:val="0"/>
              <w:spacing w:line="360" w:lineRule="auto"/>
              <w:ind w:firstLine="422" w:firstLineChars="200"/>
              <w:jc w:val="left"/>
              <w:rPr>
                <w:rFonts w:hint="eastAsia"/>
                <w:b/>
                <w:color w:val="auto"/>
                <w:szCs w:val="21"/>
              </w:rPr>
            </w:pPr>
            <w:r>
              <w:rPr>
                <w:rFonts w:hint="eastAsia"/>
                <w:b/>
                <w:color w:val="auto"/>
                <w:szCs w:val="21"/>
                <w:lang w:val="en-US" w:eastAsia="zh-CN"/>
              </w:rPr>
              <w:t>对照</w:t>
            </w:r>
            <w:r>
              <w:rPr>
                <w:rFonts w:hint="eastAsia"/>
                <w:b/>
                <w:color w:val="auto"/>
                <w:szCs w:val="21"/>
              </w:rPr>
              <w:t>《产业结构调整指导目录》（20</w:t>
            </w:r>
            <w:r>
              <w:rPr>
                <w:b/>
                <w:color w:val="auto"/>
                <w:szCs w:val="21"/>
              </w:rPr>
              <w:t>24</w:t>
            </w:r>
            <w:r>
              <w:rPr>
                <w:rFonts w:hint="eastAsia"/>
                <w:b/>
                <w:color w:val="auto"/>
                <w:szCs w:val="21"/>
              </w:rPr>
              <w:t>年本）</w:t>
            </w:r>
            <w:r>
              <w:rPr>
                <w:rFonts w:hint="eastAsia"/>
                <w:b/>
                <w:color w:val="auto"/>
                <w:szCs w:val="21"/>
                <w:lang w:val="en-US" w:eastAsia="zh-CN"/>
              </w:rPr>
              <w:t>设备符合性如下：</w:t>
            </w:r>
          </w:p>
          <w:p w14:paraId="4187D10F">
            <w:pPr>
              <w:pStyle w:val="86"/>
              <w:rPr>
                <w:color w:val="auto"/>
              </w:rPr>
            </w:pPr>
            <w:r>
              <w:rPr>
                <w:rFonts w:hint="eastAsia"/>
                <w:color w:val="auto"/>
              </w:rPr>
              <w:t>表2-</w:t>
            </w:r>
            <w:r>
              <w:rPr>
                <w:rFonts w:hint="eastAsia"/>
                <w:color w:val="auto"/>
                <w:lang w:val="en-US" w:eastAsia="zh-CN"/>
              </w:rPr>
              <w:t>7</w:t>
            </w:r>
            <w:r>
              <w:rPr>
                <w:color w:val="auto"/>
              </w:rPr>
              <w:t xml:space="preserve">  </w:t>
            </w:r>
            <w:r>
              <w:rPr>
                <w:rFonts w:hint="eastAsia"/>
                <w:color w:val="auto"/>
              </w:rPr>
              <w:t>本次技改扩建工程</w:t>
            </w:r>
            <w:r>
              <w:rPr>
                <w:rFonts w:hint="eastAsia"/>
                <w:color w:val="auto"/>
                <w:lang w:val="en-US" w:eastAsia="zh-CN"/>
              </w:rPr>
              <w:t>部分设备及工艺符合性分析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616"/>
              <w:gridCol w:w="3233"/>
              <w:gridCol w:w="2528"/>
              <w:gridCol w:w="979"/>
            </w:tblGrid>
            <w:tr w14:paraId="70C8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363" w:type="pct"/>
                  <w:noWrap/>
                  <w:vAlign w:val="center"/>
                </w:tcPr>
                <w:p w14:paraId="09B42C73">
                  <w:pPr>
                    <w:pStyle w:val="92"/>
                    <w:spacing w:line="240" w:lineRule="auto"/>
                    <w:rPr>
                      <w:rFonts w:ascii="Times New Roman"/>
                      <w:color w:val="auto"/>
                      <w:sz w:val="18"/>
                      <w:szCs w:val="16"/>
                      <w:lang w:val="en-US" w:eastAsia="zh-CN"/>
                    </w:rPr>
                  </w:pPr>
                  <w:r>
                    <w:rPr>
                      <w:rFonts w:ascii="Times New Roman"/>
                      <w:color w:val="auto"/>
                      <w:sz w:val="18"/>
                      <w:szCs w:val="16"/>
                      <w:lang w:val="en-US" w:eastAsia="zh-CN"/>
                    </w:rPr>
                    <w:t>序号</w:t>
                  </w:r>
                </w:p>
              </w:tc>
              <w:tc>
                <w:tcPr>
                  <w:tcW w:w="388" w:type="pct"/>
                  <w:noWrap w:val="0"/>
                  <w:vAlign w:val="center"/>
                </w:tcPr>
                <w:p w14:paraId="7F0AD93F">
                  <w:pPr>
                    <w:pStyle w:val="92"/>
                    <w:spacing w:line="240" w:lineRule="auto"/>
                    <w:rPr>
                      <w:rFonts w:hint="default" w:ascii="Times New Roman"/>
                      <w:color w:val="auto"/>
                      <w:sz w:val="18"/>
                      <w:szCs w:val="16"/>
                      <w:lang w:val="en-US" w:eastAsia="zh-CN"/>
                    </w:rPr>
                  </w:pPr>
                  <w:r>
                    <w:rPr>
                      <w:rFonts w:hint="eastAsia" w:ascii="Times New Roman"/>
                      <w:color w:val="auto"/>
                      <w:sz w:val="18"/>
                      <w:szCs w:val="16"/>
                      <w:lang w:val="en-US" w:eastAsia="zh-CN"/>
                    </w:rPr>
                    <w:t>类别</w:t>
                  </w:r>
                </w:p>
              </w:tc>
              <w:tc>
                <w:tcPr>
                  <w:tcW w:w="2037" w:type="pct"/>
                  <w:noWrap w:val="0"/>
                  <w:vAlign w:val="center"/>
                </w:tcPr>
                <w:p w14:paraId="77264424">
                  <w:pPr>
                    <w:pStyle w:val="92"/>
                    <w:spacing w:line="240" w:lineRule="auto"/>
                    <w:rPr>
                      <w:rFonts w:ascii="Times New Roman"/>
                      <w:color w:val="auto"/>
                      <w:sz w:val="18"/>
                      <w:szCs w:val="16"/>
                      <w:lang w:val="en-US" w:eastAsia="zh-CN"/>
                    </w:rPr>
                  </w:pPr>
                  <w:r>
                    <w:rPr>
                      <w:rFonts w:hint="eastAsia" w:ascii="Times New Roman"/>
                      <w:color w:val="auto"/>
                      <w:sz w:val="18"/>
                      <w:szCs w:val="16"/>
                      <w:lang w:val="en-US" w:eastAsia="zh-CN"/>
                    </w:rPr>
                    <w:t xml:space="preserve">产业结构调整指导目录内容 </w:t>
                  </w:r>
                </w:p>
              </w:tc>
              <w:tc>
                <w:tcPr>
                  <w:tcW w:w="1593" w:type="pct"/>
                  <w:noWrap w:val="0"/>
                  <w:vAlign w:val="center"/>
                </w:tcPr>
                <w:p w14:paraId="4642674B">
                  <w:pPr>
                    <w:pStyle w:val="92"/>
                    <w:spacing w:line="240" w:lineRule="auto"/>
                    <w:rPr>
                      <w:rFonts w:hint="default" w:ascii="Times New Roman"/>
                      <w:color w:val="auto"/>
                      <w:sz w:val="18"/>
                      <w:szCs w:val="16"/>
                      <w:lang w:val="en-US" w:eastAsia="zh-CN"/>
                    </w:rPr>
                  </w:pPr>
                  <w:r>
                    <w:rPr>
                      <w:rFonts w:hint="eastAsia" w:ascii="Times New Roman"/>
                      <w:color w:val="auto"/>
                      <w:sz w:val="18"/>
                      <w:szCs w:val="16"/>
                      <w:lang w:val="en-US" w:eastAsia="zh-CN"/>
                    </w:rPr>
                    <w:t>本项目建设情况</w:t>
                  </w:r>
                </w:p>
              </w:tc>
              <w:tc>
                <w:tcPr>
                  <w:tcW w:w="617" w:type="pct"/>
                  <w:noWrap w:val="0"/>
                  <w:vAlign w:val="center"/>
                </w:tcPr>
                <w:p w14:paraId="41A8DEC4">
                  <w:pPr>
                    <w:pStyle w:val="92"/>
                    <w:spacing w:line="240" w:lineRule="auto"/>
                    <w:rPr>
                      <w:rFonts w:hint="default" w:ascii="Times New Roman"/>
                      <w:color w:val="auto"/>
                      <w:sz w:val="18"/>
                      <w:szCs w:val="16"/>
                      <w:lang w:val="en-US" w:eastAsia="zh-CN"/>
                    </w:rPr>
                  </w:pPr>
                  <w:r>
                    <w:rPr>
                      <w:rFonts w:hint="eastAsia" w:ascii="Times New Roman"/>
                      <w:color w:val="auto"/>
                      <w:sz w:val="18"/>
                      <w:szCs w:val="16"/>
                      <w:lang w:val="en-US" w:eastAsia="zh-CN"/>
                    </w:rPr>
                    <w:t>判定</w:t>
                  </w:r>
                </w:p>
              </w:tc>
            </w:tr>
            <w:tr w14:paraId="5A82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3" w:type="pct"/>
                  <w:noWrap/>
                  <w:vAlign w:val="center"/>
                </w:tcPr>
                <w:p w14:paraId="0437AB7E">
                  <w:pPr>
                    <w:pStyle w:val="92"/>
                    <w:spacing w:line="240" w:lineRule="auto"/>
                    <w:rPr>
                      <w:rFonts w:ascii="Times New Roman"/>
                      <w:bCs/>
                      <w:color w:val="auto"/>
                      <w:sz w:val="18"/>
                      <w:szCs w:val="16"/>
                      <w:lang w:val="en-US" w:eastAsia="zh-CN"/>
                    </w:rPr>
                  </w:pPr>
                  <w:r>
                    <w:rPr>
                      <w:rFonts w:ascii="Times New Roman"/>
                      <w:bCs/>
                      <w:color w:val="auto"/>
                      <w:sz w:val="18"/>
                      <w:szCs w:val="16"/>
                      <w:lang w:val="en-US" w:eastAsia="zh-CN"/>
                    </w:rPr>
                    <w:t>1</w:t>
                  </w:r>
                </w:p>
              </w:tc>
              <w:tc>
                <w:tcPr>
                  <w:tcW w:w="388" w:type="pct"/>
                  <w:noWrap w:val="0"/>
                  <w:vAlign w:val="center"/>
                </w:tcPr>
                <w:p w14:paraId="498ECFDE">
                  <w:pPr>
                    <w:pStyle w:val="92"/>
                    <w:spacing w:line="240" w:lineRule="auto"/>
                    <w:rPr>
                      <w:rFonts w:hint="default" w:ascii="Times New Roman"/>
                      <w:bCs/>
                      <w:color w:val="auto"/>
                      <w:sz w:val="18"/>
                      <w:szCs w:val="16"/>
                      <w:lang w:val="en-US" w:eastAsia="zh-CN"/>
                    </w:rPr>
                  </w:pPr>
                  <w:r>
                    <w:rPr>
                      <w:rFonts w:hint="eastAsia" w:ascii="Times New Roman"/>
                      <w:bCs/>
                      <w:color w:val="auto"/>
                      <w:sz w:val="18"/>
                      <w:szCs w:val="16"/>
                      <w:lang w:val="en-US" w:eastAsia="zh-CN"/>
                    </w:rPr>
                    <w:t>鼓励类</w:t>
                  </w:r>
                </w:p>
              </w:tc>
              <w:tc>
                <w:tcPr>
                  <w:tcW w:w="2037" w:type="pct"/>
                  <w:noWrap w:val="0"/>
                  <w:vAlign w:val="center"/>
                </w:tcPr>
                <w:p w14:paraId="01C12EE3">
                  <w:pPr>
                    <w:jc w:val="center"/>
                    <w:rPr>
                      <w:rFonts w:hint="eastAsia" w:ascii="Times New Roman"/>
                      <w:bCs/>
                      <w:color w:val="auto"/>
                      <w:sz w:val="18"/>
                      <w:szCs w:val="18"/>
                      <w:lang w:val="en-US" w:eastAsia="zh-CN"/>
                    </w:rPr>
                  </w:pPr>
                  <w:r>
                    <w:rPr>
                      <w:rFonts w:hint="eastAsia" w:ascii="Times New Roman" w:hAnsi="Times New Roman" w:eastAsia="宋体" w:cs="Times New Roman"/>
                      <w:color w:val="auto"/>
                      <w:sz w:val="18"/>
                      <w:szCs w:val="18"/>
                      <w:lang w:val="en-US" w:eastAsia="zh-CN"/>
                    </w:rPr>
                    <w:t>17.</w:t>
                  </w:r>
                  <w:r>
                    <w:rPr>
                      <w:rFonts w:ascii="Times New Roman" w:hAnsi="Times New Roman" w:eastAsia="宋体" w:cs="Times New Roman"/>
                      <w:color w:val="auto"/>
                      <w:sz w:val="18"/>
                      <w:szCs w:val="18"/>
                    </w:rPr>
                    <w:t>节能环保型玻璃窑炉（含全电熔、电助熔、全氧燃烧技术、NOx</w:t>
                  </w:r>
                  <w:r>
                    <w:rPr>
                      <w:rFonts w:hint="default" w:ascii="Times New Roman" w:hAnsi="Times New Roman" w:eastAsia="宋体" w:cs="Times New Roman"/>
                      <w:color w:val="auto"/>
                      <w:sz w:val="18"/>
                      <w:szCs w:val="18"/>
                    </w:rPr>
                    <w:t>产生浓度≤1000mg/m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的低氮燃烧技术）的设计、应用，玻璃熔窑DCS节能自动控制技术，轻量化玻璃瓶罐（轻量化度≤1.0）工艺技术和关键装备的开发与生产</w:t>
                  </w:r>
                  <w:r>
                    <w:rPr>
                      <w:color w:val="auto"/>
                      <w:sz w:val="18"/>
                      <w:szCs w:val="18"/>
                    </w:rPr>
                    <w:t>万个</w:t>
                  </w:r>
                </w:p>
              </w:tc>
              <w:tc>
                <w:tcPr>
                  <w:tcW w:w="1593" w:type="pct"/>
                  <w:noWrap w:val="0"/>
                  <w:vAlign w:val="center"/>
                </w:tcPr>
                <w:p w14:paraId="5B83CF46">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本次技改炉窑能源使用天然气，技改后扩大池窑蓄热池，增加蓄热比，较技改前节约天然气，但不属于前述节能环保型种类，未采用DCS节能控制技术。</w:t>
                  </w:r>
                </w:p>
              </w:tc>
              <w:tc>
                <w:tcPr>
                  <w:tcW w:w="617" w:type="pct"/>
                  <w:noWrap w:val="0"/>
                  <w:vAlign w:val="center"/>
                </w:tcPr>
                <w:p w14:paraId="018A1B1A">
                  <w:pPr>
                    <w:pStyle w:val="92"/>
                    <w:spacing w:line="240" w:lineRule="auto"/>
                    <w:jc w:val="center"/>
                    <w:rPr>
                      <w:rFonts w:hint="default" w:ascii="Times New Roman"/>
                      <w:bCs/>
                      <w:color w:val="auto"/>
                      <w:sz w:val="18"/>
                      <w:szCs w:val="16"/>
                      <w:lang w:val="en-US" w:eastAsia="zh-CN"/>
                    </w:rPr>
                  </w:pPr>
                  <w:r>
                    <w:rPr>
                      <w:rFonts w:hint="default" w:ascii="Times New Roman" w:hAnsi="Times New Roman" w:eastAsia="宋体" w:cs="Times New Roman"/>
                      <w:color w:val="auto"/>
                      <w:kern w:val="2"/>
                      <w:sz w:val="18"/>
                      <w:szCs w:val="18"/>
                      <w:lang w:val="en-US" w:eastAsia="zh-CN" w:bidi="ar-SA"/>
                    </w:rPr>
                    <w:t>本项目属于</w:t>
                  </w:r>
                  <w:r>
                    <w:rPr>
                      <w:rFonts w:hint="eastAsia" w:ascii="Times New Roman" w:hAnsi="Times New Roman" w:eastAsia="宋体" w:cs="Times New Roman"/>
                      <w:color w:val="auto"/>
                      <w:kern w:val="2"/>
                      <w:sz w:val="18"/>
                      <w:szCs w:val="18"/>
                      <w:lang w:val="en-US" w:eastAsia="zh-CN" w:bidi="ar-SA"/>
                    </w:rPr>
                    <w:t>鼓励类</w:t>
                  </w:r>
                  <w:r>
                    <w:rPr>
                      <w:rFonts w:hint="default" w:ascii="Times New Roman" w:hAnsi="Times New Roman" w:eastAsia="宋体" w:cs="Times New Roman"/>
                      <w:color w:val="auto"/>
                      <w:kern w:val="2"/>
                      <w:sz w:val="18"/>
                      <w:szCs w:val="18"/>
                      <w:lang w:val="en-US" w:eastAsia="zh-CN" w:bidi="ar-SA"/>
                    </w:rPr>
                    <w:t>。</w:t>
                  </w:r>
                </w:p>
              </w:tc>
            </w:tr>
            <w:tr w14:paraId="6639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3" w:type="pct"/>
                  <w:noWrap/>
                  <w:vAlign w:val="center"/>
                </w:tcPr>
                <w:p w14:paraId="5EE6B48D">
                  <w:pPr>
                    <w:pStyle w:val="92"/>
                    <w:spacing w:line="240" w:lineRule="auto"/>
                    <w:rPr>
                      <w:rFonts w:ascii="Times New Roman"/>
                      <w:bCs/>
                      <w:color w:val="auto"/>
                      <w:sz w:val="18"/>
                      <w:szCs w:val="16"/>
                      <w:lang w:val="en-US" w:eastAsia="zh-CN"/>
                    </w:rPr>
                  </w:pPr>
                  <w:r>
                    <w:rPr>
                      <w:rFonts w:ascii="Times New Roman"/>
                      <w:bCs/>
                      <w:color w:val="auto"/>
                      <w:sz w:val="18"/>
                      <w:szCs w:val="16"/>
                      <w:lang w:val="en-US" w:eastAsia="zh-CN"/>
                    </w:rPr>
                    <w:t>2</w:t>
                  </w:r>
                </w:p>
              </w:tc>
              <w:tc>
                <w:tcPr>
                  <w:tcW w:w="388" w:type="pct"/>
                  <w:noWrap w:val="0"/>
                  <w:vAlign w:val="center"/>
                </w:tcPr>
                <w:p w14:paraId="1AD3BA83">
                  <w:pPr>
                    <w:pStyle w:val="92"/>
                    <w:spacing w:line="240" w:lineRule="auto"/>
                    <w:rPr>
                      <w:rFonts w:hint="default" w:ascii="Times New Roman"/>
                      <w:bCs/>
                      <w:color w:val="auto"/>
                      <w:sz w:val="18"/>
                      <w:szCs w:val="16"/>
                      <w:lang w:val="en-US" w:eastAsia="zh-CN"/>
                    </w:rPr>
                  </w:pPr>
                  <w:r>
                    <w:rPr>
                      <w:rFonts w:hint="eastAsia" w:ascii="Times New Roman"/>
                      <w:bCs/>
                      <w:color w:val="auto"/>
                      <w:sz w:val="18"/>
                      <w:szCs w:val="16"/>
                      <w:lang w:val="en-US" w:eastAsia="zh-CN"/>
                    </w:rPr>
                    <w:t>限制类</w:t>
                  </w:r>
                </w:p>
              </w:tc>
              <w:tc>
                <w:tcPr>
                  <w:tcW w:w="2037" w:type="pct"/>
                  <w:noWrap w:val="0"/>
                  <w:vAlign w:val="center"/>
                </w:tcPr>
                <w:p w14:paraId="600B985D">
                  <w:pPr>
                    <w:jc w:val="center"/>
                    <w:rPr>
                      <w:rFonts w:ascii="Times New Roman"/>
                      <w:bCs/>
                      <w:color w:val="auto"/>
                      <w:sz w:val="18"/>
                      <w:szCs w:val="18"/>
                      <w:lang w:val="en-US" w:eastAsia="zh-CN"/>
                    </w:rPr>
                  </w:pPr>
                  <w:r>
                    <w:rPr>
                      <w:rFonts w:hint="default" w:ascii="Times New Roman" w:hAnsi="Times New Roman" w:eastAsia="宋体" w:cs="Times New Roman"/>
                      <w:color w:val="auto"/>
                      <w:sz w:val="18"/>
                      <w:szCs w:val="18"/>
                    </w:rPr>
                    <w:t>十二、轻工10、3万吨/年及以下的玻璃 瓶罐生产线；11、以人工操作方式制备玻璃配合料及秤量；12、未达到日用玻璃行业清洁生产评价指标体系规定指标的玻璃窑炉。</w:t>
                  </w:r>
                </w:p>
              </w:tc>
              <w:tc>
                <w:tcPr>
                  <w:tcW w:w="1593" w:type="pct"/>
                  <w:noWrap w:val="0"/>
                  <w:vAlign w:val="center"/>
                </w:tcPr>
                <w:p w14:paraId="692D41DB">
                  <w:pPr>
                    <w:pStyle w:val="92"/>
                    <w:spacing w:line="240" w:lineRule="auto"/>
                    <w:rPr>
                      <w:rFonts w:hint="default" w:ascii="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本次</w:t>
                  </w:r>
                  <w:r>
                    <w:rPr>
                      <w:rFonts w:hint="eastAsia" w:ascii="Times New Roman" w:hAnsi="Times New Roman" w:eastAsia="宋体" w:cs="Times New Roman"/>
                      <w:color w:val="auto"/>
                      <w:kern w:val="2"/>
                      <w:sz w:val="18"/>
                      <w:szCs w:val="18"/>
                      <w:lang w:val="en-US" w:eastAsia="zh-CN" w:bidi="ar-SA"/>
                    </w:rPr>
                    <w:t>技改</w:t>
                  </w:r>
                  <w:r>
                    <w:rPr>
                      <w:rFonts w:hint="default" w:ascii="Times New Roman" w:hAnsi="Times New Roman" w:eastAsia="宋体" w:cs="Times New Roman"/>
                      <w:color w:val="auto"/>
                      <w:kern w:val="2"/>
                      <w:sz w:val="18"/>
                      <w:szCs w:val="18"/>
                      <w:lang w:val="en-US" w:eastAsia="zh-CN" w:bidi="ar-SA"/>
                    </w:rPr>
                    <w:t>项目玻璃瓶罐生产线为</w:t>
                  </w:r>
                  <w:r>
                    <w:rPr>
                      <w:rFonts w:hint="eastAsia" w:ascii="Times New Roman" w:hAnsi="Times New Roman" w:eastAsia="宋体" w:cs="Times New Roman"/>
                      <w:color w:val="auto"/>
                      <w:kern w:val="2"/>
                      <w:sz w:val="18"/>
                      <w:szCs w:val="18"/>
                      <w:lang w:val="en-US" w:eastAsia="zh-CN" w:bidi="ar-SA"/>
                    </w:rPr>
                    <w:t>4</w:t>
                  </w:r>
                  <w:r>
                    <w:rPr>
                      <w:rFonts w:hint="default" w:ascii="Times New Roman" w:hAnsi="Times New Roman" w:eastAsia="宋体" w:cs="Times New Roman"/>
                      <w:color w:val="auto"/>
                      <w:kern w:val="2"/>
                      <w:sz w:val="18"/>
                      <w:szCs w:val="18"/>
                      <w:lang w:val="en-US" w:eastAsia="zh-CN" w:bidi="ar-SA"/>
                    </w:rPr>
                    <w:t>万吨/年；玻璃配合料及秤量均采用机械设备并配合自动控制系统；采用先进玻璃炉窑，符合各清洁生产指标要求。</w:t>
                  </w:r>
                </w:p>
              </w:tc>
              <w:tc>
                <w:tcPr>
                  <w:tcW w:w="617" w:type="pct"/>
                  <w:noWrap w:val="0"/>
                  <w:vAlign w:val="center"/>
                </w:tcPr>
                <w:p w14:paraId="3956159B">
                  <w:pPr>
                    <w:pStyle w:val="92"/>
                    <w:spacing w:line="240" w:lineRule="auto"/>
                    <w:rPr>
                      <w:rFonts w:ascii="Times New Roman"/>
                      <w:bCs/>
                      <w:color w:val="auto"/>
                      <w:sz w:val="18"/>
                      <w:szCs w:val="16"/>
                      <w:lang w:val="en-US" w:eastAsia="zh-CN"/>
                    </w:rPr>
                  </w:pPr>
                  <w:r>
                    <w:rPr>
                      <w:rFonts w:hint="default" w:ascii="Times New Roman" w:hAnsi="Times New Roman" w:eastAsia="宋体" w:cs="Times New Roman"/>
                      <w:color w:val="auto"/>
                      <w:kern w:val="2"/>
                      <w:sz w:val="18"/>
                      <w:szCs w:val="18"/>
                      <w:lang w:val="en-US" w:eastAsia="zh-CN" w:bidi="ar-SA"/>
                    </w:rPr>
                    <w:t>本项目不属于限制类。</w:t>
                  </w:r>
                </w:p>
              </w:tc>
            </w:tr>
            <w:tr w14:paraId="6F29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3" w:type="pct"/>
                  <w:noWrap/>
                  <w:vAlign w:val="center"/>
                </w:tcPr>
                <w:p w14:paraId="48D38F24">
                  <w:pPr>
                    <w:pStyle w:val="92"/>
                    <w:spacing w:line="240" w:lineRule="auto"/>
                    <w:rPr>
                      <w:rFonts w:hint="eastAsia" w:ascii="Times New Roman"/>
                      <w:bCs/>
                      <w:color w:val="auto"/>
                      <w:sz w:val="18"/>
                      <w:szCs w:val="16"/>
                      <w:lang w:val="en-US" w:eastAsia="zh-CN"/>
                    </w:rPr>
                  </w:pPr>
                  <w:r>
                    <w:rPr>
                      <w:rFonts w:hint="eastAsia" w:ascii="Times New Roman"/>
                      <w:bCs/>
                      <w:color w:val="auto"/>
                      <w:sz w:val="18"/>
                      <w:szCs w:val="16"/>
                      <w:lang w:val="en-US" w:eastAsia="zh-CN"/>
                    </w:rPr>
                    <w:t>3</w:t>
                  </w:r>
                </w:p>
              </w:tc>
              <w:tc>
                <w:tcPr>
                  <w:tcW w:w="388" w:type="pct"/>
                  <w:noWrap w:val="0"/>
                  <w:vAlign w:val="center"/>
                </w:tcPr>
                <w:p w14:paraId="3425D655">
                  <w:pPr>
                    <w:pStyle w:val="92"/>
                    <w:spacing w:line="240" w:lineRule="auto"/>
                    <w:rPr>
                      <w:rFonts w:hint="default" w:ascii="Times New Roman"/>
                      <w:bCs/>
                      <w:color w:val="auto"/>
                      <w:sz w:val="18"/>
                      <w:szCs w:val="16"/>
                      <w:lang w:val="en-US" w:eastAsia="zh-CN"/>
                    </w:rPr>
                  </w:pPr>
                  <w:r>
                    <w:rPr>
                      <w:rFonts w:hint="eastAsia" w:ascii="Times New Roman"/>
                      <w:bCs/>
                      <w:color w:val="auto"/>
                      <w:sz w:val="18"/>
                      <w:szCs w:val="16"/>
                      <w:lang w:val="en-US" w:eastAsia="zh-CN"/>
                    </w:rPr>
                    <w:t>淘汰类</w:t>
                  </w:r>
                </w:p>
              </w:tc>
              <w:tc>
                <w:tcPr>
                  <w:tcW w:w="2037" w:type="pct"/>
                  <w:noWrap w:val="0"/>
                  <w:vAlign w:val="center"/>
                </w:tcPr>
                <w:p w14:paraId="4524E087">
                  <w:pPr>
                    <w:jc w:val="center"/>
                    <w:rPr>
                      <w:rFonts w:ascii="Times New Roman"/>
                      <w:color w:val="auto"/>
                      <w:sz w:val="18"/>
                      <w:szCs w:val="18"/>
                      <w:lang w:val="en-US" w:eastAsia="zh-CN"/>
                    </w:rPr>
                  </w:pPr>
                  <w:r>
                    <w:rPr>
                      <w:rFonts w:hint="default" w:ascii="Times New Roman" w:hAnsi="Times New Roman" w:eastAsia="宋体" w:cs="Times New Roman"/>
                      <w:color w:val="auto"/>
                      <w:sz w:val="18"/>
                      <w:szCs w:val="18"/>
                    </w:rPr>
                    <w:t>一、落后生产工艺装备（十二）轻工20、燃煤和燃发生炉煤气的坩埚玻璃窑，直火式、无热风循环的玻璃退火炉；34、添加白砒、三氧化二锑、含铅、含氟（全电熔窑除外）、铬矿渣及 其他有害原辅材料的玻璃配合料。</w:t>
                  </w:r>
                </w:p>
              </w:tc>
              <w:tc>
                <w:tcPr>
                  <w:tcW w:w="1593" w:type="pct"/>
                  <w:noWrap w:val="0"/>
                  <w:vAlign w:val="center"/>
                </w:tcPr>
                <w:p w14:paraId="34CEAD22">
                  <w:pPr>
                    <w:pStyle w:val="9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项目使用燃料为天然气，无白砒、三氧化二锑、含铅、含镉、含氟（全电熔窑外）、铬矿渣及其他有害原辅材料。</w:t>
                  </w:r>
                </w:p>
              </w:tc>
              <w:tc>
                <w:tcPr>
                  <w:tcW w:w="617" w:type="pct"/>
                  <w:noWrap w:val="0"/>
                  <w:vAlign w:val="center"/>
                </w:tcPr>
                <w:p w14:paraId="7A42D598">
                  <w:pPr>
                    <w:pStyle w:val="92"/>
                    <w:spacing w:line="240" w:lineRule="auto"/>
                    <w:rPr>
                      <w:rFonts w:ascii="Times New Roman"/>
                      <w:bCs/>
                      <w:color w:val="auto"/>
                      <w:sz w:val="18"/>
                      <w:szCs w:val="16"/>
                      <w:lang w:val="en-US" w:eastAsia="zh-CN"/>
                    </w:rPr>
                  </w:pPr>
                  <w:r>
                    <w:rPr>
                      <w:rFonts w:hint="default" w:ascii="Times New Roman" w:hAnsi="Times New Roman" w:eastAsia="宋体" w:cs="Times New Roman"/>
                      <w:color w:val="auto"/>
                      <w:kern w:val="2"/>
                      <w:sz w:val="18"/>
                      <w:szCs w:val="18"/>
                      <w:lang w:val="en-US" w:eastAsia="zh-CN" w:bidi="ar-SA"/>
                    </w:rPr>
                    <w:t>本项目不属于</w:t>
                  </w:r>
                  <w:r>
                    <w:rPr>
                      <w:rFonts w:hint="eastAsia" w:ascii="Times New Roman" w:hAnsi="Times New Roman" w:eastAsia="宋体" w:cs="Times New Roman"/>
                      <w:color w:val="auto"/>
                      <w:kern w:val="2"/>
                      <w:sz w:val="18"/>
                      <w:szCs w:val="18"/>
                      <w:lang w:val="en-US" w:eastAsia="zh-CN" w:bidi="ar-SA"/>
                    </w:rPr>
                    <w:t>淘汰类</w:t>
                  </w:r>
                </w:p>
              </w:tc>
            </w:tr>
          </w:tbl>
          <w:p w14:paraId="74EC888D">
            <w:pPr>
              <w:adjustRightInd w:val="0"/>
              <w:snapToGrid w:val="0"/>
              <w:spacing w:line="360" w:lineRule="auto"/>
              <w:ind w:firstLine="422" w:firstLineChars="200"/>
              <w:jc w:val="left"/>
              <w:rPr>
                <w:rFonts w:hint="default" w:eastAsia="宋体"/>
                <w:b/>
                <w:color w:val="auto"/>
                <w:szCs w:val="21"/>
                <w:lang w:val="en-US" w:eastAsia="zh-CN"/>
              </w:rPr>
            </w:pPr>
            <w:r>
              <w:rPr>
                <w:rFonts w:hint="eastAsia"/>
                <w:b/>
                <w:color w:val="auto"/>
                <w:szCs w:val="21"/>
                <w:lang w:val="en-US" w:eastAsia="zh-CN"/>
              </w:rPr>
              <w:t>根据对照</w:t>
            </w:r>
            <w:r>
              <w:rPr>
                <w:rFonts w:hint="eastAsia"/>
                <w:b/>
                <w:color w:val="auto"/>
                <w:szCs w:val="21"/>
              </w:rPr>
              <w:t>《产业结构调整指导目录》（20</w:t>
            </w:r>
            <w:r>
              <w:rPr>
                <w:b/>
                <w:color w:val="auto"/>
                <w:szCs w:val="21"/>
              </w:rPr>
              <w:t>24</w:t>
            </w:r>
            <w:r>
              <w:rPr>
                <w:rFonts w:hint="eastAsia"/>
                <w:b/>
                <w:color w:val="auto"/>
                <w:szCs w:val="21"/>
              </w:rPr>
              <w:t>年本）</w:t>
            </w:r>
            <w:r>
              <w:rPr>
                <w:rFonts w:hint="eastAsia"/>
                <w:b/>
                <w:color w:val="auto"/>
                <w:szCs w:val="21"/>
                <w:lang w:eastAsia="zh-CN"/>
              </w:rPr>
              <w:t>，</w:t>
            </w:r>
            <w:r>
              <w:rPr>
                <w:rFonts w:hint="eastAsia"/>
                <w:b/>
                <w:color w:val="auto"/>
                <w:szCs w:val="21"/>
                <w:lang w:val="en-US" w:eastAsia="zh-CN"/>
              </w:rPr>
              <w:t>本项目不属于鼓励类、限制类和淘汰类，视为允许类。</w:t>
            </w:r>
          </w:p>
          <w:p w14:paraId="18263BCD">
            <w:pPr>
              <w:adjustRightInd w:val="0"/>
              <w:snapToGrid w:val="0"/>
              <w:spacing w:line="360" w:lineRule="auto"/>
              <w:ind w:firstLine="422" w:firstLineChars="200"/>
              <w:jc w:val="left"/>
              <w:rPr>
                <w:b/>
                <w:color w:val="auto"/>
                <w:szCs w:val="21"/>
              </w:rPr>
            </w:pPr>
            <w:r>
              <w:rPr>
                <w:rFonts w:hint="eastAsia"/>
                <w:b/>
                <w:color w:val="auto"/>
                <w:szCs w:val="21"/>
              </w:rPr>
              <w:t>4、主要原辅材料及用量</w:t>
            </w:r>
          </w:p>
          <w:p w14:paraId="6E5D9147">
            <w:pPr>
              <w:pStyle w:val="84"/>
              <w:rPr>
                <w:color w:val="auto"/>
                <w:lang w:val="en-US" w:eastAsia="zh-CN"/>
              </w:rPr>
            </w:pPr>
            <w:r>
              <w:rPr>
                <w:rFonts w:hint="eastAsia"/>
                <w:color w:val="auto"/>
                <w:lang w:val="en-US" w:eastAsia="zh-CN"/>
              </w:rPr>
              <w:t>本次技改扩建工程增加了产能，新增原辅料的使用，</w:t>
            </w:r>
            <w:r>
              <w:rPr>
                <w:color w:val="auto"/>
                <w:lang w:val="en-US" w:eastAsia="zh-CN"/>
              </w:rPr>
              <w:t>主要原辅材料及能源动力消耗见表</w:t>
            </w:r>
            <w:r>
              <w:rPr>
                <w:rFonts w:hint="eastAsia"/>
                <w:color w:val="auto"/>
                <w:lang w:val="en-US" w:eastAsia="zh-CN"/>
              </w:rPr>
              <w:t>2-8。</w:t>
            </w:r>
            <w:r>
              <w:rPr>
                <w:color w:val="auto"/>
                <w:lang w:val="en-US" w:eastAsia="zh-CN"/>
              </w:rPr>
              <w:t>主要原辅材料均通过社会车辆运输。</w:t>
            </w:r>
          </w:p>
          <w:p w14:paraId="0936C305">
            <w:pPr>
              <w:pStyle w:val="81"/>
              <w:keepNext w:val="0"/>
              <w:keepLines w:val="0"/>
              <w:pageBreakBefore w:val="0"/>
              <w:widowControl/>
              <w:kinsoku/>
              <w:wordWrap/>
              <w:overflowPunct/>
              <w:topLinePunct w:val="0"/>
              <w:autoSpaceDE/>
              <w:autoSpaceDN/>
              <w:bidi w:val="0"/>
              <w:adjustRightInd w:val="0"/>
              <w:snapToGrid w:val="0"/>
              <w:spacing w:before="0" w:after="0"/>
              <w:ind w:right="0"/>
              <w:textAlignment w:val="auto"/>
              <w:rPr>
                <w:rFonts w:hint="eastAsia"/>
                <w:color w:val="auto"/>
                <w:sz w:val="21"/>
                <w:szCs w:val="21"/>
              </w:rPr>
            </w:pPr>
            <w:r>
              <w:rPr>
                <w:rFonts w:ascii="Times New Roman" w:hAnsi="Times New Roman" w:cs="Times New Roman"/>
                <w:color w:val="auto"/>
                <w:sz w:val="21"/>
                <w:szCs w:val="21"/>
              </w:rPr>
              <w:t>表2-</w:t>
            </w:r>
            <w:r>
              <w:rPr>
                <w:rFonts w:hint="eastAsia" w:ascii="Times New Roman" w:hAnsi="Times New Roman" w:cs="Times New Roman"/>
                <w:color w:val="auto"/>
                <w:sz w:val="21"/>
                <w:szCs w:val="21"/>
                <w:lang w:val="en-US" w:eastAsia="zh-CN"/>
              </w:rPr>
              <w:t>8</w:t>
            </w:r>
            <w:r>
              <w:rPr>
                <w:rFonts w:ascii="Times New Roman" w:hAnsi="Times New Roman" w:cs="Times New Roman"/>
                <w:color w:val="auto"/>
                <w:sz w:val="21"/>
                <w:szCs w:val="21"/>
              </w:rPr>
              <w:t xml:space="preserve"> </w:t>
            </w:r>
            <w:r>
              <w:rPr>
                <w:rFonts w:hint="eastAsia"/>
                <w:color w:val="auto"/>
                <w:sz w:val="21"/>
                <w:szCs w:val="21"/>
              </w:rPr>
              <w:t>工程原辅材料使用情况一览表</w:t>
            </w:r>
          </w:p>
          <w:tbl>
            <w:tblPr>
              <w:tblStyle w:val="3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0"/>
              <w:gridCol w:w="683"/>
              <w:gridCol w:w="1045"/>
              <w:gridCol w:w="995"/>
              <w:gridCol w:w="984"/>
              <w:gridCol w:w="1149"/>
              <w:gridCol w:w="1233"/>
              <w:gridCol w:w="1333"/>
            </w:tblGrid>
            <w:tr w14:paraId="34C9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322" w:type="pct"/>
                  <w:vMerge w:val="restart"/>
                  <w:tcBorders>
                    <w:tl2br w:val="nil"/>
                    <w:tr2bl w:val="nil"/>
                  </w:tcBorders>
                  <w:noWrap w:val="0"/>
                  <w:vAlign w:val="center"/>
                </w:tcPr>
                <w:p w14:paraId="60F8A40E">
                  <w:pPr>
                    <w:autoSpaceDN w:val="0"/>
                    <w:adjustRightInd w:val="0"/>
                    <w:jc w:val="center"/>
                    <w:textAlignment w:val="center"/>
                    <w:rPr>
                      <w:color w:val="auto"/>
                      <w:sz w:val="18"/>
                      <w:szCs w:val="18"/>
                    </w:rPr>
                  </w:pPr>
                  <w:r>
                    <w:rPr>
                      <w:color w:val="auto"/>
                      <w:sz w:val="18"/>
                      <w:szCs w:val="18"/>
                    </w:rPr>
                    <w:t>序号</w:t>
                  </w:r>
                </w:p>
              </w:tc>
              <w:tc>
                <w:tcPr>
                  <w:tcW w:w="1090" w:type="pct"/>
                  <w:gridSpan w:val="2"/>
                  <w:vMerge w:val="restart"/>
                  <w:tcBorders>
                    <w:tl2br w:val="nil"/>
                    <w:tr2bl w:val="nil"/>
                  </w:tcBorders>
                  <w:noWrap w:val="0"/>
                  <w:vAlign w:val="center"/>
                </w:tcPr>
                <w:p w14:paraId="29A4CE47">
                  <w:pPr>
                    <w:autoSpaceDN w:val="0"/>
                    <w:adjustRightInd w:val="0"/>
                    <w:jc w:val="center"/>
                    <w:textAlignment w:val="center"/>
                    <w:rPr>
                      <w:color w:val="auto"/>
                      <w:sz w:val="18"/>
                      <w:szCs w:val="18"/>
                    </w:rPr>
                  </w:pPr>
                  <w:r>
                    <w:rPr>
                      <w:color w:val="auto"/>
                      <w:sz w:val="18"/>
                      <w:szCs w:val="18"/>
                    </w:rPr>
                    <w:t>原辅材料名称</w:t>
                  </w:r>
                </w:p>
              </w:tc>
              <w:tc>
                <w:tcPr>
                  <w:tcW w:w="627" w:type="pct"/>
                  <w:vMerge w:val="restart"/>
                  <w:tcBorders>
                    <w:right w:val="single" w:color="auto" w:sz="4" w:space="0"/>
                    <w:tl2br w:val="nil"/>
                    <w:tr2bl w:val="nil"/>
                  </w:tcBorders>
                  <w:noWrap w:val="0"/>
                  <w:vAlign w:val="center"/>
                </w:tcPr>
                <w:p w14:paraId="26CD28E6">
                  <w:pPr>
                    <w:autoSpaceDN w:val="0"/>
                    <w:adjustRightInd w:val="0"/>
                    <w:jc w:val="center"/>
                    <w:textAlignment w:val="center"/>
                    <w:rPr>
                      <w:color w:val="auto"/>
                      <w:sz w:val="18"/>
                      <w:szCs w:val="18"/>
                    </w:rPr>
                  </w:pPr>
                  <w:r>
                    <w:rPr>
                      <w:color w:val="auto"/>
                      <w:sz w:val="18"/>
                      <w:szCs w:val="18"/>
                    </w:rPr>
                    <w:t>单位</w:t>
                  </w:r>
                </w:p>
              </w:tc>
              <w:tc>
                <w:tcPr>
                  <w:tcW w:w="620" w:type="pct"/>
                  <w:vMerge w:val="restart"/>
                  <w:tcBorders>
                    <w:left w:val="single" w:color="auto" w:sz="4" w:space="0"/>
                    <w:right w:val="single" w:color="auto" w:sz="4" w:space="0"/>
                    <w:tl2br w:val="nil"/>
                    <w:tr2bl w:val="nil"/>
                  </w:tcBorders>
                  <w:noWrap w:val="0"/>
                  <w:vAlign w:val="center"/>
                </w:tcPr>
                <w:p w14:paraId="040F2C55">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暂存位置</w:t>
                  </w:r>
                </w:p>
              </w:tc>
              <w:tc>
                <w:tcPr>
                  <w:tcW w:w="1501" w:type="pct"/>
                  <w:gridSpan w:val="2"/>
                  <w:tcBorders>
                    <w:left w:val="single" w:color="auto" w:sz="4" w:space="0"/>
                    <w:right w:val="single" w:color="auto" w:sz="4" w:space="0"/>
                    <w:tl2br w:val="nil"/>
                    <w:tr2bl w:val="nil"/>
                  </w:tcBorders>
                  <w:noWrap w:val="0"/>
                  <w:vAlign w:val="center"/>
                </w:tcPr>
                <w:p w14:paraId="0CEB013C">
                  <w:pPr>
                    <w:autoSpaceDN w:val="0"/>
                    <w:adjustRightInd w:val="0"/>
                    <w:jc w:val="center"/>
                    <w:textAlignment w:val="center"/>
                    <w:rPr>
                      <w:rFonts w:hint="eastAsia" w:eastAsia="宋体"/>
                      <w:color w:val="auto"/>
                      <w:sz w:val="18"/>
                      <w:szCs w:val="18"/>
                      <w:lang w:eastAsia="zh-CN"/>
                    </w:rPr>
                  </w:pPr>
                  <w:r>
                    <w:rPr>
                      <w:b/>
                      <w:bCs/>
                      <w:color w:val="auto"/>
                      <w:sz w:val="18"/>
                      <w:szCs w:val="18"/>
                    </w:rPr>
                    <w:t>数量</w:t>
                  </w:r>
                  <w:r>
                    <w:rPr>
                      <w:rFonts w:hint="eastAsia"/>
                      <w:b/>
                      <w:bCs/>
                      <w:color w:val="auto"/>
                      <w:sz w:val="18"/>
                      <w:szCs w:val="18"/>
                      <w:lang w:eastAsia="zh-CN"/>
                    </w:rPr>
                    <w:t>（</w:t>
                  </w:r>
                  <w:r>
                    <w:rPr>
                      <w:rFonts w:hint="eastAsia"/>
                      <w:b/>
                      <w:bCs/>
                      <w:color w:val="auto"/>
                      <w:sz w:val="18"/>
                      <w:szCs w:val="18"/>
                      <w:lang w:val="en-US" w:eastAsia="zh-CN"/>
                    </w:rPr>
                    <w:t>t/a</w:t>
                  </w:r>
                  <w:r>
                    <w:rPr>
                      <w:rFonts w:hint="eastAsia"/>
                      <w:b/>
                      <w:bCs/>
                      <w:color w:val="auto"/>
                      <w:sz w:val="18"/>
                      <w:szCs w:val="18"/>
                      <w:lang w:eastAsia="zh-CN"/>
                    </w:rPr>
                    <w:t>）</w:t>
                  </w:r>
                </w:p>
              </w:tc>
              <w:tc>
                <w:tcPr>
                  <w:tcW w:w="836" w:type="pct"/>
                  <w:vMerge w:val="restart"/>
                  <w:tcBorders>
                    <w:left w:val="single" w:color="auto" w:sz="4" w:space="0"/>
                    <w:tl2br w:val="nil"/>
                    <w:tr2bl w:val="nil"/>
                  </w:tcBorders>
                  <w:noWrap w:val="0"/>
                  <w:vAlign w:val="center"/>
                </w:tcPr>
                <w:p w14:paraId="38C00309">
                  <w:pPr>
                    <w:autoSpaceDN w:val="0"/>
                    <w:adjustRightInd w:val="0"/>
                    <w:jc w:val="center"/>
                    <w:textAlignment w:val="center"/>
                    <w:rPr>
                      <w:rFonts w:hint="eastAsia" w:eastAsia="宋体"/>
                      <w:b/>
                      <w:bCs/>
                      <w:color w:val="auto"/>
                      <w:sz w:val="18"/>
                      <w:szCs w:val="18"/>
                      <w:lang w:val="en-US" w:eastAsia="zh-CN"/>
                    </w:rPr>
                  </w:pPr>
                  <w:r>
                    <w:rPr>
                      <w:rFonts w:hint="eastAsia"/>
                      <w:b/>
                      <w:bCs/>
                      <w:color w:val="auto"/>
                      <w:sz w:val="18"/>
                      <w:szCs w:val="18"/>
                      <w:lang w:val="en-US" w:eastAsia="zh-CN"/>
                    </w:rPr>
                    <w:t>增减情况</w:t>
                  </w:r>
                </w:p>
              </w:tc>
            </w:tr>
            <w:tr w14:paraId="7E6F9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322" w:type="pct"/>
                  <w:vMerge w:val="continue"/>
                  <w:tcBorders>
                    <w:tl2br w:val="nil"/>
                    <w:tr2bl w:val="nil"/>
                  </w:tcBorders>
                  <w:noWrap w:val="0"/>
                  <w:vAlign w:val="center"/>
                </w:tcPr>
                <w:p w14:paraId="67B479EE">
                  <w:pPr>
                    <w:autoSpaceDN w:val="0"/>
                    <w:adjustRightInd w:val="0"/>
                    <w:jc w:val="center"/>
                    <w:textAlignment w:val="center"/>
                    <w:rPr>
                      <w:color w:val="auto"/>
                      <w:sz w:val="18"/>
                      <w:szCs w:val="18"/>
                    </w:rPr>
                  </w:pPr>
                </w:p>
              </w:tc>
              <w:tc>
                <w:tcPr>
                  <w:tcW w:w="1090" w:type="pct"/>
                  <w:gridSpan w:val="2"/>
                  <w:vMerge w:val="continue"/>
                  <w:tcBorders>
                    <w:tl2br w:val="nil"/>
                    <w:tr2bl w:val="nil"/>
                  </w:tcBorders>
                  <w:noWrap w:val="0"/>
                  <w:vAlign w:val="center"/>
                </w:tcPr>
                <w:p w14:paraId="1C25292F">
                  <w:pPr>
                    <w:autoSpaceDN w:val="0"/>
                    <w:adjustRightInd w:val="0"/>
                    <w:jc w:val="center"/>
                    <w:textAlignment w:val="center"/>
                    <w:rPr>
                      <w:color w:val="auto"/>
                      <w:sz w:val="18"/>
                      <w:szCs w:val="18"/>
                    </w:rPr>
                  </w:pPr>
                </w:p>
              </w:tc>
              <w:tc>
                <w:tcPr>
                  <w:tcW w:w="627" w:type="pct"/>
                  <w:vMerge w:val="continue"/>
                  <w:tcBorders>
                    <w:right w:val="single" w:color="auto" w:sz="4" w:space="0"/>
                    <w:tl2br w:val="nil"/>
                    <w:tr2bl w:val="nil"/>
                  </w:tcBorders>
                  <w:noWrap w:val="0"/>
                  <w:vAlign w:val="center"/>
                </w:tcPr>
                <w:p w14:paraId="462A940B">
                  <w:pPr>
                    <w:autoSpaceDN w:val="0"/>
                    <w:adjustRightInd w:val="0"/>
                    <w:jc w:val="center"/>
                    <w:textAlignment w:val="center"/>
                    <w:rPr>
                      <w:color w:val="auto"/>
                      <w:sz w:val="18"/>
                      <w:szCs w:val="18"/>
                    </w:rPr>
                  </w:pPr>
                </w:p>
              </w:tc>
              <w:tc>
                <w:tcPr>
                  <w:tcW w:w="620" w:type="pct"/>
                  <w:vMerge w:val="continue"/>
                  <w:tcBorders>
                    <w:left w:val="single" w:color="auto" w:sz="4" w:space="0"/>
                    <w:right w:val="single" w:color="auto" w:sz="4" w:space="0"/>
                    <w:tl2br w:val="nil"/>
                    <w:tr2bl w:val="nil"/>
                  </w:tcBorders>
                  <w:noWrap w:val="0"/>
                  <w:vAlign w:val="center"/>
                </w:tcPr>
                <w:p w14:paraId="49A6F92F">
                  <w:pPr>
                    <w:autoSpaceDN w:val="0"/>
                    <w:adjustRightInd w:val="0"/>
                    <w:jc w:val="center"/>
                    <w:textAlignment w:val="center"/>
                    <w:rPr>
                      <w:color w:val="auto"/>
                      <w:sz w:val="18"/>
                      <w:szCs w:val="18"/>
                    </w:rPr>
                  </w:pPr>
                </w:p>
              </w:tc>
              <w:tc>
                <w:tcPr>
                  <w:tcW w:w="724" w:type="pct"/>
                  <w:tcBorders>
                    <w:left w:val="single" w:color="auto" w:sz="4" w:space="0"/>
                    <w:tl2br w:val="nil"/>
                    <w:tr2bl w:val="nil"/>
                  </w:tcBorders>
                  <w:noWrap w:val="0"/>
                  <w:vAlign w:val="center"/>
                </w:tcPr>
                <w:p w14:paraId="67DAB0C4">
                  <w:pPr>
                    <w:autoSpaceDN w:val="0"/>
                    <w:adjustRightInd w:val="0"/>
                    <w:jc w:val="center"/>
                    <w:textAlignment w:val="center"/>
                    <w:rPr>
                      <w:rFonts w:hint="default" w:eastAsia="宋体"/>
                      <w:color w:val="auto"/>
                      <w:sz w:val="18"/>
                      <w:szCs w:val="18"/>
                      <w:lang w:val="en-US" w:eastAsia="zh-CN"/>
                    </w:rPr>
                  </w:pPr>
                  <w:r>
                    <w:rPr>
                      <w:rFonts w:hint="eastAsia" w:ascii="Times New Roman" w:hAnsi="Times New Roman" w:eastAsia="宋体" w:cs="Times New Roman"/>
                      <w:b/>
                      <w:bCs/>
                      <w:color w:val="auto"/>
                      <w:sz w:val="18"/>
                      <w:szCs w:val="18"/>
                      <w:lang w:val="en-US" w:eastAsia="zh-CN"/>
                    </w:rPr>
                    <w:t>现有工程</w:t>
                  </w:r>
                </w:p>
              </w:tc>
              <w:tc>
                <w:tcPr>
                  <w:tcW w:w="776" w:type="pct"/>
                  <w:tcBorders>
                    <w:right w:val="single" w:color="auto" w:sz="4" w:space="0"/>
                    <w:tl2br w:val="nil"/>
                    <w:tr2bl w:val="nil"/>
                  </w:tcBorders>
                  <w:noWrap w:val="0"/>
                  <w:vAlign w:val="center"/>
                </w:tcPr>
                <w:p w14:paraId="611FF5C7">
                  <w:pPr>
                    <w:autoSpaceDN w:val="0"/>
                    <w:adjustRightInd w:val="0"/>
                    <w:jc w:val="center"/>
                    <w:textAlignment w:val="center"/>
                    <w:rPr>
                      <w:rFonts w:hint="eastAsia" w:eastAsia="宋体"/>
                      <w:b/>
                      <w:bCs/>
                      <w:color w:val="auto"/>
                      <w:sz w:val="18"/>
                      <w:szCs w:val="18"/>
                      <w:lang w:val="en-US" w:eastAsia="zh-CN"/>
                    </w:rPr>
                  </w:pPr>
                  <w:r>
                    <w:rPr>
                      <w:rFonts w:hint="eastAsia"/>
                      <w:b/>
                      <w:bCs/>
                      <w:color w:val="auto"/>
                      <w:sz w:val="18"/>
                      <w:szCs w:val="18"/>
                      <w:lang w:val="en-US" w:eastAsia="zh-CN"/>
                    </w:rPr>
                    <w:t>技改后</w:t>
                  </w:r>
                </w:p>
              </w:tc>
              <w:tc>
                <w:tcPr>
                  <w:tcW w:w="836" w:type="pct"/>
                  <w:vMerge w:val="continue"/>
                  <w:tcBorders>
                    <w:left w:val="single" w:color="auto" w:sz="4" w:space="0"/>
                    <w:tl2br w:val="nil"/>
                    <w:tr2bl w:val="nil"/>
                  </w:tcBorders>
                  <w:noWrap w:val="0"/>
                  <w:vAlign w:val="center"/>
                </w:tcPr>
                <w:p w14:paraId="4A42E3D8">
                  <w:pPr>
                    <w:autoSpaceDN w:val="0"/>
                    <w:adjustRightInd w:val="0"/>
                    <w:jc w:val="center"/>
                    <w:textAlignment w:val="center"/>
                    <w:rPr>
                      <w:b/>
                      <w:bCs/>
                      <w:color w:val="auto"/>
                      <w:sz w:val="18"/>
                      <w:szCs w:val="18"/>
                    </w:rPr>
                  </w:pPr>
                </w:p>
              </w:tc>
            </w:tr>
            <w:tr w14:paraId="5C43A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322" w:type="pct"/>
                  <w:tcBorders>
                    <w:tl2br w:val="nil"/>
                    <w:tr2bl w:val="nil"/>
                  </w:tcBorders>
                  <w:noWrap w:val="0"/>
                  <w:vAlign w:val="center"/>
                </w:tcPr>
                <w:p w14:paraId="6C40B22F">
                  <w:pPr>
                    <w:autoSpaceDN w:val="0"/>
                    <w:adjustRightInd w:val="0"/>
                    <w:jc w:val="center"/>
                    <w:textAlignment w:val="center"/>
                    <w:rPr>
                      <w:color w:val="auto"/>
                      <w:sz w:val="18"/>
                      <w:szCs w:val="18"/>
                    </w:rPr>
                  </w:pPr>
                  <w:r>
                    <w:rPr>
                      <w:color w:val="auto"/>
                      <w:sz w:val="18"/>
                      <w:szCs w:val="18"/>
                    </w:rPr>
                    <w:t>1</w:t>
                  </w:r>
                </w:p>
              </w:tc>
              <w:tc>
                <w:tcPr>
                  <w:tcW w:w="1090" w:type="pct"/>
                  <w:gridSpan w:val="2"/>
                  <w:tcBorders>
                    <w:tl2br w:val="nil"/>
                    <w:tr2bl w:val="nil"/>
                  </w:tcBorders>
                  <w:noWrap w:val="0"/>
                  <w:vAlign w:val="center"/>
                </w:tcPr>
                <w:p w14:paraId="5653FA5B">
                  <w:pPr>
                    <w:autoSpaceDN w:val="0"/>
                    <w:jc w:val="center"/>
                    <w:textAlignment w:val="center"/>
                    <w:rPr>
                      <w:color w:val="auto"/>
                      <w:sz w:val="18"/>
                      <w:szCs w:val="18"/>
                    </w:rPr>
                  </w:pPr>
                  <w:r>
                    <w:rPr>
                      <w:color w:val="auto"/>
                      <w:sz w:val="18"/>
                      <w:szCs w:val="18"/>
                    </w:rPr>
                    <w:t>石英砂</w:t>
                  </w:r>
                </w:p>
              </w:tc>
              <w:tc>
                <w:tcPr>
                  <w:tcW w:w="627" w:type="pct"/>
                  <w:tcBorders>
                    <w:right w:val="single" w:color="auto" w:sz="4" w:space="0"/>
                    <w:tl2br w:val="nil"/>
                    <w:tr2bl w:val="nil"/>
                  </w:tcBorders>
                  <w:noWrap w:val="0"/>
                  <w:vAlign w:val="center"/>
                </w:tcPr>
                <w:p w14:paraId="34BAEF60">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73E4BF72">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2D03B675">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20000</w:t>
                  </w:r>
                </w:p>
              </w:tc>
              <w:tc>
                <w:tcPr>
                  <w:tcW w:w="1233" w:type="dxa"/>
                  <w:tcBorders>
                    <w:right w:val="single" w:color="auto" w:sz="4" w:space="0"/>
                    <w:tl2br w:val="nil"/>
                    <w:tr2bl w:val="nil"/>
                  </w:tcBorders>
                  <w:noWrap w:val="0"/>
                  <w:vAlign w:val="center"/>
                </w:tcPr>
                <w:p w14:paraId="127B8DAB">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23000</w:t>
                  </w:r>
                </w:p>
              </w:tc>
              <w:tc>
                <w:tcPr>
                  <w:tcW w:w="1333" w:type="dxa"/>
                  <w:tcBorders>
                    <w:left w:val="single" w:color="auto" w:sz="4" w:space="0"/>
                    <w:tl2br w:val="nil"/>
                    <w:tr2bl w:val="nil"/>
                  </w:tcBorders>
                  <w:noWrap w:val="0"/>
                  <w:vAlign w:val="center"/>
                </w:tcPr>
                <w:p w14:paraId="1082FC29">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+300</w:t>
                  </w:r>
                </w:p>
              </w:tc>
            </w:tr>
            <w:tr w14:paraId="49AE4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322" w:type="pct"/>
                  <w:tcBorders>
                    <w:tl2br w:val="nil"/>
                    <w:tr2bl w:val="nil"/>
                  </w:tcBorders>
                  <w:noWrap w:val="0"/>
                  <w:vAlign w:val="center"/>
                </w:tcPr>
                <w:p w14:paraId="5663CF2F">
                  <w:pPr>
                    <w:autoSpaceDN w:val="0"/>
                    <w:adjustRightInd w:val="0"/>
                    <w:jc w:val="center"/>
                    <w:textAlignment w:val="center"/>
                    <w:rPr>
                      <w:color w:val="auto"/>
                      <w:sz w:val="18"/>
                      <w:szCs w:val="18"/>
                    </w:rPr>
                  </w:pPr>
                  <w:r>
                    <w:rPr>
                      <w:color w:val="auto"/>
                      <w:sz w:val="18"/>
                      <w:szCs w:val="18"/>
                    </w:rPr>
                    <w:t>2</w:t>
                  </w:r>
                </w:p>
              </w:tc>
              <w:tc>
                <w:tcPr>
                  <w:tcW w:w="1090" w:type="pct"/>
                  <w:gridSpan w:val="2"/>
                  <w:tcBorders>
                    <w:tl2br w:val="nil"/>
                    <w:tr2bl w:val="nil"/>
                  </w:tcBorders>
                  <w:noWrap w:val="0"/>
                  <w:vAlign w:val="center"/>
                </w:tcPr>
                <w:p w14:paraId="7DD7EA3F">
                  <w:pPr>
                    <w:autoSpaceDN w:val="0"/>
                    <w:jc w:val="center"/>
                    <w:textAlignment w:val="center"/>
                    <w:rPr>
                      <w:color w:val="auto"/>
                      <w:sz w:val="18"/>
                      <w:szCs w:val="18"/>
                    </w:rPr>
                  </w:pPr>
                  <w:r>
                    <w:rPr>
                      <w:color w:val="auto"/>
                      <w:sz w:val="18"/>
                      <w:szCs w:val="18"/>
                    </w:rPr>
                    <w:t>纯碱</w:t>
                  </w:r>
                </w:p>
              </w:tc>
              <w:tc>
                <w:tcPr>
                  <w:tcW w:w="627" w:type="pct"/>
                  <w:tcBorders>
                    <w:right w:val="single" w:color="auto" w:sz="4" w:space="0"/>
                    <w:tl2br w:val="nil"/>
                    <w:tr2bl w:val="nil"/>
                  </w:tcBorders>
                  <w:noWrap w:val="0"/>
                  <w:vAlign w:val="center"/>
                </w:tcPr>
                <w:p w14:paraId="0F0AEB7B">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0E1762EC">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4232A139">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7000</w:t>
                  </w:r>
                </w:p>
              </w:tc>
              <w:tc>
                <w:tcPr>
                  <w:tcW w:w="1233" w:type="dxa"/>
                  <w:tcBorders>
                    <w:right w:val="single" w:color="auto" w:sz="4" w:space="0"/>
                    <w:tl2br w:val="nil"/>
                    <w:tr2bl w:val="nil"/>
                  </w:tcBorders>
                  <w:noWrap w:val="0"/>
                  <w:vAlign w:val="center"/>
                </w:tcPr>
                <w:p w14:paraId="47B1BD6D">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lang w:val="en-US" w:eastAsia="zh-CN"/>
                    </w:rPr>
                    <w:t>00</w:t>
                  </w:r>
                </w:p>
              </w:tc>
              <w:tc>
                <w:tcPr>
                  <w:tcW w:w="1333" w:type="dxa"/>
                  <w:tcBorders>
                    <w:left w:val="single" w:color="auto" w:sz="4" w:space="0"/>
                    <w:tl2br w:val="nil"/>
                    <w:tr2bl w:val="nil"/>
                  </w:tcBorders>
                  <w:noWrap w:val="0"/>
                  <w:vAlign w:val="center"/>
                </w:tcPr>
                <w:p w14:paraId="7C1C13A3">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lang w:val="en-US" w:eastAsia="zh-CN"/>
                    </w:rPr>
                    <w:t>00</w:t>
                  </w:r>
                </w:p>
              </w:tc>
            </w:tr>
            <w:tr w14:paraId="24034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322" w:type="pct"/>
                  <w:vMerge w:val="restart"/>
                  <w:tcBorders>
                    <w:tl2br w:val="nil"/>
                    <w:tr2bl w:val="nil"/>
                  </w:tcBorders>
                  <w:noWrap w:val="0"/>
                  <w:vAlign w:val="center"/>
                </w:tcPr>
                <w:p w14:paraId="799AD783">
                  <w:pPr>
                    <w:autoSpaceDN w:val="0"/>
                    <w:adjustRightInd w:val="0"/>
                    <w:jc w:val="center"/>
                    <w:textAlignment w:val="center"/>
                    <w:rPr>
                      <w:color w:val="auto"/>
                      <w:sz w:val="18"/>
                      <w:szCs w:val="18"/>
                    </w:rPr>
                  </w:pPr>
                  <w:r>
                    <w:rPr>
                      <w:color w:val="auto"/>
                      <w:sz w:val="18"/>
                      <w:szCs w:val="18"/>
                    </w:rPr>
                    <w:t>3</w:t>
                  </w:r>
                </w:p>
              </w:tc>
              <w:tc>
                <w:tcPr>
                  <w:tcW w:w="431" w:type="pct"/>
                  <w:vMerge w:val="restart"/>
                  <w:tcBorders>
                    <w:tl2br w:val="nil"/>
                    <w:tr2bl w:val="nil"/>
                  </w:tcBorders>
                  <w:noWrap w:val="0"/>
                  <w:vAlign w:val="center"/>
                </w:tcPr>
                <w:p w14:paraId="0D2E2A15">
                  <w:pPr>
                    <w:autoSpaceDN w:val="0"/>
                    <w:jc w:val="center"/>
                    <w:textAlignment w:val="center"/>
                    <w:rPr>
                      <w:color w:val="auto"/>
                      <w:sz w:val="18"/>
                      <w:szCs w:val="18"/>
                    </w:rPr>
                  </w:pPr>
                  <w:r>
                    <w:rPr>
                      <w:color w:val="auto"/>
                      <w:sz w:val="18"/>
                      <w:szCs w:val="18"/>
                    </w:rPr>
                    <w:t>辅料</w:t>
                  </w:r>
                </w:p>
              </w:tc>
              <w:tc>
                <w:tcPr>
                  <w:tcW w:w="658" w:type="pct"/>
                  <w:tcBorders>
                    <w:tl2br w:val="nil"/>
                    <w:tr2bl w:val="nil"/>
                  </w:tcBorders>
                  <w:noWrap w:val="0"/>
                  <w:vAlign w:val="center"/>
                </w:tcPr>
                <w:p w14:paraId="4DA74E21">
                  <w:pPr>
                    <w:autoSpaceDN w:val="0"/>
                    <w:jc w:val="center"/>
                    <w:textAlignment w:val="center"/>
                    <w:rPr>
                      <w:color w:val="auto"/>
                      <w:sz w:val="18"/>
                      <w:szCs w:val="18"/>
                    </w:rPr>
                  </w:pPr>
                  <w:r>
                    <w:rPr>
                      <w:color w:val="auto"/>
                      <w:sz w:val="18"/>
                      <w:szCs w:val="18"/>
                    </w:rPr>
                    <w:t>长石</w:t>
                  </w:r>
                </w:p>
              </w:tc>
              <w:tc>
                <w:tcPr>
                  <w:tcW w:w="627" w:type="pct"/>
                  <w:tcBorders>
                    <w:right w:val="single" w:color="auto" w:sz="4" w:space="0"/>
                    <w:tl2br w:val="nil"/>
                    <w:tr2bl w:val="nil"/>
                  </w:tcBorders>
                  <w:noWrap w:val="0"/>
                  <w:vAlign w:val="center"/>
                </w:tcPr>
                <w:p w14:paraId="3E06D912">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3646FBBB">
                  <w:pPr>
                    <w:autoSpaceDN w:val="0"/>
                    <w:jc w:val="center"/>
                    <w:textAlignment w:val="center"/>
                    <w:rPr>
                      <w:color w:val="auto"/>
                      <w:sz w:val="18"/>
                      <w:szCs w:val="18"/>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10BA4B19">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2000</w:t>
                  </w:r>
                </w:p>
              </w:tc>
              <w:tc>
                <w:tcPr>
                  <w:tcW w:w="1233" w:type="dxa"/>
                  <w:tcBorders>
                    <w:right w:val="single" w:color="auto" w:sz="4" w:space="0"/>
                    <w:tl2br w:val="nil"/>
                    <w:tr2bl w:val="nil"/>
                  </w:tcBorders>
                  <w:noWrap w:val="0"/>
                  <w:vAlign w:val="center"/>
                </w:tcPr>
                <w:p w14:paraId="6BF933F7">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2300</w:t>
                  </w:r>
                </w:p>
              </w:tc>
              <w:tc>
                <w:tcPr>
                  <w:tcW w:w="1333" w:type="dxa"/>
                  <w:tcBorders>
                    <w:left w:val="single" w:color="auto" w:sz="4" w:space="0"/>
                    <w:tl2br w:val="nil"/>
                    <w:tr2bl w:val="nil"/>
                  </w:tcBorders>
                  <w:noWrap w:val="0"/>
                  <w:vAlign w:val="center"/>
                </w:tcPr>
                <w:p w14:paraId="278EB3E1">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+300</w:t>
                  </w:r>
                </w:p>
              </w:tc>
            </w:tr>
            <w:tr w14:paraId="0B857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322" w:type="pct"/>
                  <w:vMerge w:val="continue"/>
                  <w:tcBorders>
                    <w:tl2br w:val="nil"/>
                    <w:tr2bl w:val="nil"/>
                  </w:tcBorders>
                  <w:noWrap w:val="0"/>
                  <w:vAlign w:val="center"/>
                </w:tcPr>
                <w:p w14:paraId="7A7B2D09">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7A5893EA">
                  <w:pPr>
                    <w:autoSpaceDN w:val="0"/>
                    <w:jc w:val="center"/>
                    <w:textAlignment w:val="center"/>
                    <w:rPr>
                      <w:color w:val="auto"/>
                      <w:sz w:val="18"/>
                      <w:szCs w:val="18"/>
                    </w:rPr>
                  </w:pPr>
                </w:p>
              </w:tc>
              <w:tc>
                <w:tcPr>
                  <w:tcW w:w="658" w:type="pct"/>
                  <w:tcBorders>
                    <w:tl2br w:val="nil"/>
                    <w:tr2bl w:val="nil"/>
                  </w:tcBorders>
                  <w:noWrap w:val="0"/>
                  <w:vAlign w:val="center"/>
                </w:tcPr>
                <w:p w14:paraId="6B07BE1D">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硝酸钠</w:t>
                  </w:r>
                </w:p>
              </w:tc>
              <w:tc>
                <w:tcPr>
                  <w:tcW w:w="627" w:type="pct"/>
                  <w:tcBorders>
                    <w:right w:val="single" w:color="auto" w:sz="4" w:space="0"/>
                    <w:tl2br w:val="nil"/>
                    <w:tr2bl w:val="nil"/>
                  </w:tcBorders>
                  <w:noWrap w:val="0"/>
                  <w:vAlign w:val="center"/>
                </w:tcPr>
                <w:p w14:paraId="32976DD6">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6144A611">
                  <w:pPr>
                    <w:autoSpaceDN w:val="0"/>
                    <w:jc w:val="center"/>
                    <w:textAlignment w:val="center"/>
                    <w:rPr>
                      <w:rFonts w:hint="eastAsia"/>
                      <w:color w:val="auto"/>
                      <w:sz w:val="18"/>
                      <w:szCs w:val="18"/>
                      <w:lang w:val="en-US" w:eastAsia="zh-CN"/>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5B18C5A7">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33" w:type="dxa"/>
                  <w:tcBorders>
                    <w:right w:val="single" w:color="auto" w:sz="4" w:space="0"/>
                    <w:tl2br w:val="nil"/>
                    <w:tr2bl w:val="nil"/>
                  </w:tcBorders>
                  <w:noWrap w:val="0"/>
                  <w:vAlign w:val="center"/>
                </w:tcPr>
                <w:p w14:paraId="42B52EB6">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c>
                <w:tcPr>
                  <w:tcW w:w="1333" w:type="dxa"/>
                  <w:tcBorders>
                    <w:left w:val="single" w:color="auto" w:sz="4" w:space="0"/>
                    <w:tl2br w:val="nil"/>
                    <w:tr2bl w:val="nil"/>
                  </w:tcBorders>
                  <w:noWrap w:val="0"/>
                  <w:vAlign w:val="center"/>
                </w:tcPr>
                <w:p w14:paraId="203FD164">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r>
            <w:tr w14:paraId="141C6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322" w:type="pct"/>
                  <w:vMerge w:val="continue"/>
                  <w:tcBorders>
                    <w:tl2br w:val="nil"/>
                    <w:tr2bl w:val="nil"/>
                  </w:tcBorders>
                  <w:noWrap w:val="0"/>
                  <w:vAlign w:val="center"/>
                </w:tcPr>
                <w:p w14:paraId="29875AE8">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7742FE82">
                  <w:pPr>
                    <w:autoSpaceDN w:val="0"/>
                    <w:jc w:val="center"/>
                    <w:textAlignment w:val="center"/>
                    <w:rPr>
                      <w:color w:val="auto"/>
                      <w:sz w:val="18"/>
                      <w:szCs w:val="18"/>
                    </w:rPr>
                  </w:pPr>
                </w:p>
              </w:tc>
              <w:tc>
                <w:tcPr>
                  <w:tcW w:w="658" w:type="pct"/>
                  <w:tcBorders>
                    <w:tl2br w:val="nil"/>
                    <w:tr2bl w:val="nil"/>
                  </w:tcBorders>
                  <w:noWrap w:val="0"/>
                  <w:vAlign w:val="center"/>
                </w:tcPr>
                <w:p w14:paraId="687B9CF8">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氢氧化铝</w:t>
                  </w:r>
                </w:p>
              </w:tc>
              <w:tc>
                <w:tcPr>
                  <w:tcW w:w="627" w:type="pct"/>
                  <w:tcBorders>
                    <w:right w:val="single" w:color="auto" w:sz="4" w:space="0"/>
                    <w:tl2br w:val="nil"/>
                    <w:tr2bl w:val="nil"/>
                  </w:tcBorders>
                  <w:noWrap w:val="0"/>
                  <w:vAlign w:val="center"/>
                </w:tcPr>
                <w:p w14:paraId="0AB34CFD">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3D0D17BF">
                  <w:pPr>
                    <w:autoSpaceDN w:val="0"/>
                    <w:jc w:val="center"/>
                    <w:textAlignment w:val="center"/>
                    <w:rPr>
                      <w:rFonts w:hint="eastAsia"/>
                      <w:color w:val="auto"/>
                      <w:sz w:val="18"/>
                      <w:szCs w:val="18"/>
                      <w:lang w:val="en-US" w:eastAsia="zh-CN"/>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276BE44B">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33" w:type="dxa"/>
                  <w:tcBorders>
                    <w:right w:val="single" w:color="auto" w:sz="4" w:space="0"/>
                    <w:tl2br w:val="nil"/>
                    <w:tr2bl w:val="nil"/>
                  </w:tcBorders>
                  <w:noWrap w:val="0"/>
                  <w:vAlign w:val="center"/>
                </w:tcPr>
                <w:p w14:paraId="4C121599">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c>
                <w:tcPr>
                  <w:tcW w:w="1333" w:type="dxa"/>
                  <w:tcBorders>
                    <w:left w:val="single" w:color="auto" w:sz="4" w:space="0"/>
                    <w:tl2br w:val="nil"/>
                    <w:tr2bl w:val="nil"/>
                  </w:tcBorders>
                  <w:noWrap w:val="0"/>
                  <w:vAlign w:val="center"/>
                </w:tcPr>
                <w:p w14:paraId="4832B414">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r>
            <w:tr w14:paraId="6FEE6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322" w:type="pct"/>
                  <w:vMerge w:val="continue"/>
                  <w:tcBorders>
                    <w:tl2br w:val="nil"/>
                    <w:tr2bl w:val="nil"/>
                  </w:tcBorders>
                  <w:noWrap w:val="0"/>
                  <w:vAlign w:val="center"/>
                </w:tcPr>
                <w:p w14:paraId="0D6E6CDB">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5D2043FE">
                  <w:pPr>
                    <w:autoSpaceDN w:val="0"/>
                    <w:jc w:val="center"/>
                    <w:textAlignment w:val="center"/>
                    <w:rPr>
                      <w:color w:val="auto"/>
                      <w:sz w:val="18"/>
                      <w:szCs w:val="18"/>
                    </w:rPr>
                  </w:pPr>
                </w:p>
              </w:tc>
              <w:tc>
                <w:tcPr>
                  <w:tcW w:w="658" w:type="pct"/>
                  <w:tcBorders>
                    <w:tl2br w:val="nil"/>
                    <w:tr2bl w:val="nil"/>
                  </w:tcBorders>
                  <w:noWrap w:val="0"/>
                  <w:vAlign w:val="center"/>
                </w:tcPr>
                <w:p w14:paraId="09AB6B4F">
                  <w:pPr>
                    <w:autoSpaceDN w:val="0"/>
                    <w:jc w:val="center"/>
                    <w:textAlignment w:val="center"/>
                    <w:rPr>
                      <w:color w:val="auto"/>
                      <w:sz w:val="18"/>
                      <w:szCs w:val="18"/>
                    </w:rPr>
                  </w:pPr>
                  <w:r>
                    <w:rPr>
                      <w:color w:val="auto"/>
                      <w:sz w:val="18"/>
                      <w:szCs w:val="18"/>
                    </w:rPr>
                    <w:t>方解石</w:t>
                  </w:r>
                </w:p>
              </w:tc>
              <w:tc>
                <w:tcPr>
                  <w:tcW w:w="627" w:type="pct"/>
                  <w:tcBorders>
                    <w:right w:val="single" w:color="auto" w:sz="4" w:space="0"/>
                    <w:tl2br w:val="nil"/>
                    <w:tr2bl w:val="nil"/>
                  </w:tcBorders>
                  <w:noWrap w:val="0"/>
                  <w:vAlign w:val="center"/>
                </w:tcPr>
                <w:p w14:paraId="22CD0976">
                  <w:pPr>
                    <w:autoSpaceDN w:val="0"/>
                    <w:adjustRightInd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12C479C1">
                  <w:pPr>
                    <w:autoSpaceDN w:val="0"/>
                    <w:jc w:val="center"/>
                    <w:textAlignment w:val="center"/>
                    <w:rPr>
                      <w:color w:val="auto"/>
                      <w:sz w:val="18"/>
                      <w:szCs w:val="18"/>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49A9A026">
                  <w:pPr>
                    <w:autoSpaceDN w:val="0"/>
                    <w:adjustRightInd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4000</w:t>
                  </w:r>
                </w:p>
              </w:tc>
              <w:tc>
                <w:tcPr>
                  <w:tcW w:w="1233" w:type="dxa"/>
                  <w:tcBorders>
                    <w:right w:val="single" w:color="auto" w:sz="4" w:space="0"/>
                    <w:tl2br w:val="nil"/>
                    <w:tr2bl w:val="nil"/>
                  </w:tcBorders>
                  <w:noWrap w:val="0"/>
                  <w:vAlign w:val="center"/>
                </w:tcPr>
                <w:p w14:paraId="0F075ABC">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4000</w:t>
                  </w:r>
                </w:p>
              </w:tc>
              <w:tc>
                <w:tcPr>
                  <w:tcW w:w="1333" w:type="dxa"/>
                  <w:tcBorders>
                    <w:left w:val="single" w:color="auto" w:sz="4" w:space="0"/>
                    <w:tl2br w:val="nil"/>
                    <w:tr2bl w:val="nil"/>
                  </w:tcBorders>
                  <w:noWrap w:val="0"/>
                  <w:vAlign w:val="center"/>
                </w:tcPr>
                <w:p w14:paraId="4CF86995">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r>
            <w:tr w14:paraId="63096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322" w:type="pct"/>
                  <w:vMerge w:val="continue"/>
                  <w:tcBorders>
                    <w:tl2br w:val="nil"/>
                    <w:tr2bl w:val="nil"/>
                  </w:tcBorders>
                  <w:noWrap w:val="0"/>
                  <w:vAlign w:val="center"/>
                </w:tcPr>
                <w:p w14:paraId="23EBF379">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712FE347">
                  <w:pPr>
                    <w:autoSpaceDN w:val="0"/>
                    <w:jc w:val="center"/>
                    <w:textAlignment w:val="center"/>
                    <w:rPr>
                      <w:color w:val="auto"/>
                      <w:sz w:val="18"/>
                      <w:szCs w:val="18"/>
                    </w:rPr>
                  </w:pPr>
                </w:p>
              </w:tc>
              <w:tc>
                <w:tcPr>
                  <w:tcW w:w="658" w:type="pct"/>
                  <w:tcBorders>
                    <w:tl2br w:val="nil"/>
                    <w:tr2bl w:val="nil"/>
                  </w:tcBorders>
                  <w:noWrap w:val="0"/>
                  <w:vAlign w:val="center"/>
                </w:tcPr>
                <w:p w14:paraId="733150A3">
                  <w:pPr>
                    <w:autoSpaceDN w:val="0"/>
                    <w:jc w:val="center"/>
                    <w:textAlignment w:val="center"/>
                    <w:rPr>
                      <w:rFonts w:hint="eastAsia" w:eastAsia="宋体"/>
                      <w:color w:val="auto"/>
                      <w:sz w:val="18"/>
                      <w:szCs w:val="18"/>
                      <w:lang w:eastAsia="zh-CN"/>
                    </w:rPr>
                  </w:pPr>
                  <w:r>
                    <w:rPr>
                      <w:rFonts w:hint="eastAsia"/>
                      <w:color w:val="auto"/>
                      <w:sz w:val="18"/>
                      <w:szCs w:val="18"/>
                      <w:lang w:val="en-US" w:eastAsia="zh-CN"/>
                    </w:rPr>
                    <w:t>碳酸钡</w:t>
                  </w:r>
                </w:p>
              </w:tc>
              <w:tc>
                <w:tcPr>
                  <w:tcW w:w="627" w:type="pct"/>
                  <w:tcBorders>
                    <w:right w:val="single" w:color="auto" w:sz="4" w:space="0"/>
                    <w:tl2br w:val="nil"/>
                    <w:tr2bl w:val="nil"/>
                  </w:tcBorders>
                  <w:noWrap w:val="0"/>
                  <w:vAlign w:val="center"/>
                </w:tcPr>
                <w:p w14:paraId="09CB9BFF">
                  <w:pPr>
                    <w:autoSpaceDN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04642F53">
                  <w:pPr>
                    <w:autoSpaceDN w:val="0"/>
                    <w:jc w:val="center"/>
                    <w:textAlignment w:val="center"/>
                    <w:rPr>
                      <w:color w:val="auto"/>
                      <w:sz w:val="18"/>
                      <w:szCs w:val="18"/>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4A3A4A6C">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33" w:type="dxa"/>
                  <w:tcBorders>
                    <w:right w:val="single" w:color="auto" w:sz="4" w:space="0"/>
                    <w:tl2br w:val="nil"/>
                    <w:tr2bl w:val="nil"/>
                  </w:tcBorders>
                  <w:noWrap w:val="0"/>
                  <w:vAlign w:val="center"/>
                </w:tcPr>
                <w:p w14:paraId="5D951A6B">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c>
                <w:tcPr>
                  <w:tcW w:w="1333" w:type="dxa"/>
                  <w:tcBorders>
                    <w:left w:val="single" w:color="auto" w:sz="4" w:space="0"/>
                    <w:tl2br w:val="nil"/>
                    <w:tr2bl w:val="nil"/>
                  </w:tcBorders>
                  <w:noWrap w:val="0"/>
                  <w:vAlign w:val="center"/>
                </w:tcPr>
                <w:p w14:paraId="516910E9">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r>
            <w:tr w14:paraId="75FCF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322" w:type="pct"/>
                  <w:vMerge w:val="continue"/>
                  <w:tcBorders>
                    <w:tl2br w:val="nil"/>
                    <w:tr2bl w:val="nil"/>
                  </w:tcBorders>
                  <w:noWrap w:val="0"/>
                  <w:vAlign w:val="center"/>
                </w:tcPr>
                <w:p w14:paraId="6D143513">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4FA9A357">
                  <w:pPr>
                    <w:autoSpaceDN w:val="0"/>
                    <w:jc w:val="center"/>
                    <w:textAlignment w:val="center"/>
                    <w:rPr>
                      <w:color w:val="auto"/>
                      <w:sz w:val="18"/>
                      <w:szCs w:val="18"/>
                    </w:rPr>
                  </w:pPr>
                </w:p>
              </w:tc>
              <w:tc>
                <w:tcPr>
                  <w:tcW w:w="658" w:type="pct"/>
                  <w:tcBorders>
                    <w:tl2br w:val="nil"/>
                    <w:tr2bl w:val="nil"/>
                  </w:tcBorders>
                  <w:noWrap w:val="0"/>
                  <w:vAlign w:val="center"/>
                </w:tcPr>
                <w:p w14:paraId="114C4783">
                  <w:pPr>
                    <w:autoSpaceDN w:val="0"/>
                    <w:jc w:val="center"/>
                    <w:textAlignment w:val="center"/>
                    <w:rPr>
                      <w:color w:val="auto"/>
                      <w:sz w:val="18"/>
                      <w:szCs w:val="18"/>
                    </w:rPr>
                  </w:pPr>
                  <w:r>
                    <w:rPr>
                      <w:color w:val="auto"/>
                      <w:sz w:val="18"/>
                      <w:szCs w:val="18"/>
                    </w:rPr>
                    <w:t>澄清剂</w:t>
                  </w:r>
                </w:p>
              </w:tc>
              <w:tc>
                <w:tcPr>
                  <w:tcW w:w="627" w:type="pct"/>
                  <w:tcBorders>
                    <w:right w:val="single" w:color="auto" w:sz="4" w:space="0"/>
                    <w:tl2br w:val="nil"/>
                    <w:tr2bl w:val="nil"/>
                  </w:tcBorders>
                  <w:noWrap w:val="0"/>
                  <w:vAlign w:val="center"/>
                </w:tcPr>
                <w:p w14:paraId="3DD30A6B">
                  <w:pPr>
                    <w:autoSpaceDN w:val="0"/>
                    <w:adjustRightInd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20D782A6">
                  <w:pPr>
                    <w:autoSpaceDN w:val="0"/>
                    <w:jc w:val="center"/>
                    <w:textAlignment w:val="center"/>
                    <w:rPr>
                      <w:color w:val="auto"/>
                      <w:sz w:val="18"/>
                      <w:szCs w:val="18"/>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65793AB5">
                  <w:pPr>
                    <w:autoSpaceDN w:val="0"/>
                    <w:adjustRightInd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400</w:t>
                  </w:r>
                </w:p>
              </w:tc>
              <w:tc>
                <w:tcPr>
                  <w:tcW w:w="1233" w:type="dxa"/>
                  <w:tcBorders>
                    <w:right w:val="single" w:color="auto" w:sz="4" w:space="0"/>
                    <w:tl2br w:val="nil"/>
                    <w:tr2bl w:val="nil"/>
                  </w:tcBorders>
                  <w:noWrap w:val="0"/>
                  <w:vAlign w:val="center"/>
                </w:tcPr>
                <w:p w14:paraId="79D1193C">
                  <w:pPr>
                    <w:autoSpaceDN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c>
                <w:tcPr>
                  <w:tcW w:w="1333" w:type="dxa"/>
                  <w:tcBorders>
                    <w:left w:val="single" w:color="auto" w:sz="4" w:space="0"/>
                    <w:tl2br w:val="nil"/>
                    <w:tr2bl w:val="nil"/>
                  </w:tcBorders>
                  <w:noWrap w:val="0"/>
                  <w:vAlign w:val="center"/>
                </w:tcPr>
                <w:p w14:paraId="1DF08C06">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r>
            <w:tr w14:paraId="620CF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322" w:type="pct"/>
                  <w:vMerge w:val="continue"/>
                  <w:tcBorders>
                    <w:tl2br w:val="nil"/>
                    <w:tr2bl w:val="nil"/>
                  </w:tcBorders>
                  <w:noWrap w:val="0"/>
                  <w:vAlign w:val="center"/>
                </w:tcPr>
                <w:p w14:paraId="7997726B">
                  <w:pPr>
                    <w:autoSpaceDN w:val="0"/>
                    <w:adjustRightInd w:val="0"/>
                    <w:jc w:val="center"/>
                    <w:textAlignment w:val="center"/>
                    <w:rPr>
                      <w:color w:val="auto"/>
                      <w:sz w:val="18"/>
                      <w:szCs w:val="18"/>
                    </w:rPr>
                  </w:pPr>
                </w:p>
              </w:tc>
              <w:tc>
                <w:tcPr>
                  <w:tcW w:w="431" w:type="pct"/>
                  <w:vMerge w:val="continue"/>
                  <w:tcBorders>
                    <w:tl2br w:val="nil"/>
                    <w:tr2bl w:val="nil"/>
                  </w:tcBorders>
                  <w:noWrap w:val="0"/>
                  <w:vAlign w:val="center"/>
                </w:tcPr>
                <w:p w14:paraId="4021964D">
                  <w:pPr>
                    <w:autoSpaceDN w:val="0"/>
                    <w:jc w:val="center"/>
                    <w:textAlignment w:val="center"/>
                    <w:rPr>
                      <w:color w:val="auto"/>
                      <w:sz w:val="18"/>
                      <w:szCs w:val="18"/>
                    </w:rPr>
                  </w:pPr>
                </w:p>
              </w:tc>
              <w:tc>
                <w:tcPr>
                  <w:tcW w:w="658" w:type="pct"/>
                  <w:tcBorders>
                    <w:tl2br w:val="nil"/>
                    <w:tr2bl w:val="nil"/>
                  </w:tcBorders>
                  <w:noWrap w:val="0"/>
                  <w:vAlign w:val="center"/>
                </w:tcPr>
                <w:p w14:paraId="26013766">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硼砂</w:t>
                  </w:r>
                </w:p>
              </w:tc>
              <w:tc>
                <w:tcPr>
                  <w:tcW w:w="627" w:type="pct"/>
                  <w:tcBorders>
                    <w:right w:val="single" w:color="auto" w:sz="4" w:space="0"/>
                    <w:tl2br w:val="nil"/>
                    <w:tr2bl w:val="nil"/>
                  </w:tcBorders>
                  <w:noWrap w:val="0"/>
                  <w:vAlign w:val="center"/>
                </w:tcPr>
                <w:p w14:paraId="4570F2F3">
                  <w:pPr>
                    <w:autoSpaceDN w:val="0"/>
                    <w:adjustRightInd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5007A4A4">
                  <w:pPr>
                    <w:autoSpaceDN w:val="0"/>
                    <w:jc w:val="center"/>
                    <w:textAlignment w:val="center"/>
                    <w:rPr>
                      <w:rFonts w:hint="eastAsia"/>
                      <w:color w:val="auto"/>
                      <w:sz w:val="18"/>
                      <w:szCs w:val="18"/>
                      <w:lang w:val="en-US" w:eastAsia="zh-CN"/>
                    </w:rPr>
                  </w:pPr>
                  <w:r>
                    <w:rPr>
                      <w:rFonts w:hint="eastAsia"/>
                      <w:color w:val="auto"/>
                      <w:sz w:val="18"/>
                      <w:szCs w:val="18"/>
                      <w:lang w:val="en-US" w:eastAsia="zh-CN"/>
                    </w:rPr>
                    <w:t>原料库</w:t>
                  </w:r>
                </w:p>
              </w:tc>
              <w:tc>
                <w:tcPr>
                  <w:tcW w:w="1149" w:type="dxa"/>
                  <w:tcBorders>
                    <w:left w:val="single" w:color="auto" w:sz="4" w:space="0"/>
                    <w:tl2br w:val="nil"/>
                    <w:tr2bl w:val="nil"/>
                  </w:tcBorders>
                  <w:noWrap w:val="0"/>
                  <w:vAlign w:val="center"/>
                </w:tcPr>
                <w:p w14:paraId="56D55579">
                  <w:pPr>
                    <w:autoSpaceDN w:val="0"/>
                    <w:adjustRightInd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33" w:type="dxa"/>
                  <w:tcBorders>
                    <w:right w:val="single" w:color="auto" w:sz="4" w:space="0"/>
                    <w:tl2br w:val="nil"/>
                    <w:tr2bl w:val="nil"/>
                  </w:tcBorders>
                  <w:noWrap w:val="0"/>
                  <w:vAlign w:val="center"/>
                </w:tcPr>
                <w:p w14:paraId="6ED2C1DE">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c>
                <w:tcPr>
                  <w:tcW w:w="1333" w:type="dxa"/>
                  <w:tcBorders>
                    <w:left w:val="single" w:color="auto" w:sz="4" w:space="0"/>
                    <w:tl2br w:val="nil"/>
                    <w:tr2bl w:val="nil"/>
                  </w:tcBorders>
                  <w:noWrap w:val="0"/>
                  <w:vAlign w:val="center"/>
                </w:tcPr>
                <w:p w14:paraId="53EE66C7">
                  <w:pPr>
                    <w:autoSpaceDN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+450</w:t>
                  </w:r>
                </w:p>
              </w:tc>
            </w:tr>
            <w:tr w14:paraId="2FE4A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322" w:type="pct"/>
                  <w:tcBorders>
                    <w:tl2br w:val="nil"/>
                    <w:tr2bl w:val="nil"/>
                  </w:tcBorders>
                  <w:noWrap w:val="0"/>
                  <w:vAlign w:val="center"/>
                </w:tcPr>
                <w:p w14:paraId="5D41AC08">
                  <w:pPr>
                    <w:autoSpaceDN w:val="0"/>
                    <w:adjustRightInd w:val="0"/>
                    <w:jc w:val="center"/>
                    <w:textAlignment w:val="center"/>
                    <w:rPr>
                      <w:color w:val="auto"/>
                      <w:sz w:val="18"/>
                      <w:szCs w:val="18"/>
                    </w:rPr>
                  </w:pPr>
                  <w:r>
                    <w:rPr>
                      <w:color w:val="auto"/>
                      <w:sz w:val="18"/>
                      <w:szCs w:val="18"/>
                    </w:rPr>
                    <w:t>4</w:t>
                  </w:r>
                </w:p>
              </w:tc>
              <w:tc>
                <w:tcPr>
                  <w:tcW w:w="1090" w:type="pct"/>
                  <w:gridSpan w:val="2"/>
                  <w:tcBorders>
                    <w:tl2br w:val="nil"/>
                    <w:tr2bl w:val="nil"/>
                  </w:tcBorders>
                  <w:noWrap w:val="0"/>
                  <w:vAlign w:val="center"/>
                </w:tcPr>
                <w:p w14:paraId="19575238">
                  <w:pPr>
                    <w:autoSpaceDN w:val="0"/>
                    <w:jc w:val="center"/>
                    <w:textAlignment w:val="center"/>
                    <w:rPr>
                      <w:color w:val="auto"/>
                      <w:sz w:val="18"/>
                      <w:szCs w:val="18"/>
                    </w:rPr>
                  </w:pPr>
                  <w:r>
                    <w:rPr>
                      <w:color w:val="auto"/>
                      <w:sz w:val="18"/>
                      <w:szCs w:val="18"/>
                    </w:rPr>
                    <w:t>水</w:t>
                  </w:r>
                </w:p>
              </w:tc>
              <w:tc>
                <w:tcPr>
                  <w:tcW w:w="627" w:type="pct"/>
                  <w:tcBorders>
                    <w:right w:val="single" w:color="auto" w:sz="4" w:space="0"/>
                    <w:tl2br w:val="nil"/>
                    <w:tr2bl w:val="nil"/>
                  </w:tcBorders>
                  <w:noWrap w:val="0"/>
                  <w:vAlign w:val="center"/>
                </w:tcPr>
                <w:p w14:paraId="3B5B20C8">
                  <w:pPr>
                    <w:autoSpaceDN w:val="0"/>
                    <w:adjustRightInd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2ECA6F6C">
                  <w:pPr>
                    <w:autoSpaceDN w:val="0"/>
                    <w:adjustRightInd w:val="0"/>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724" w:type="pct"/>
                  <w:tcBorders>
                    <w:left w:val="single" w:color="auto" w:sz="4" w:space="0"/>
                    <w:tl2br w:val="nil"/>
                    <w:tr2bl w:val="nil"/>
                  </w:tcBorders>
                  <w:noWrap w:val="0"/>
                  <w:vAlign w:val="center"/>
                </w:tcPr>
                <w:p w14:paraId="7FD253F1">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highlight w:val="none"/>
                      <w:lang w:val="en-US" w:eastAsia="zh-CN"/>
                    </w:rPr>
                    <w:t>12600</w:t>
                  </w:r>
                </w:p>
              </w:tc>
              <w:tc>
                <w:tcPr>
                  <w:tcW w:w="776" w:type="pct"/>
                  <w:tcBorders>
                    <w:right w:val="single" w:color="auto" w:sz="4" w:space="0"/>
                    <w:tl2br w:val="nil"/>
                    <w:tr2bl w:val="nil"/>
                  </w:tcBorders>
                  <w:noWrap w:val="0"/>
                  <w:vAlign w:val="center"/>
                </w:tcPr>
                <w:p w14:paraId="18DCC41F">
                  <w:pPr>
                    <w:autoSpaceDN w:val="0"/>
                    <w:jc w:val="center"/>
                    <w:textAlignment w:val="center"/>
                    <w:rPr>
                      <w:rFonts w:hint="default" w:eastAsia="宋体"/>
                      <w:color w:val="auto"/>
                      <w:sz w:val="18"/>
                      <w:szCs w:val="18"/>
                      <w:highlight w:val="yellow"/>
                      <w:lang w:val="en-US" w:eastAsia="zh-CN"/>
                    </w:rPr>
                  </w:pPr>
                  <w:r>
                    <w:rPr>
                      <w:rFonts w:hint="eastAsia"/>
                      <w:color w:val="auto"/>
                      <w:sz w:val="18"/>
                      <w:szCs w:val="18"/>
                      <w:highlight w:val="none"/>
                      <w:lang w:val="en-US" w:eastAsia="zh-CN"/>
                    </w:rPr>
                    <w:t>20592</w:t>
                  </w:r>
                </w:p>
              </w:tc>
              <w:tc>
                <w:tcPr>
                  <w:tcW w:w="836" w:type="pct"/>
                  <w:tcBorders>
                    <w:left w:val="single" w:color="auto" w:sz="4" w:space="0"/>
                    <w:tl2br w:val="nil"/>
                    <w:tr2bl w:val="nil"/>
                  </w:tcBorders>
                  <w:noWrap w:val="0"/>
                  <w:vAlign w:val="center"/>
                </w:tcPr>
                <w:p w14:paraId="72918CDD">
                  <w:pPr>
                    <w:autoSpaceDN w:val="0"/>
                    <w:jc w:val="center"/>
                    <w:textAlignment w:val="center"/>
                    <w:rPr>
                      <w:rFonts w:hint="eastAsia"/>
                      <w:color w:val="auto"/>
                      <w:sz w:val="18"/>
                      <w:szCs w:val="18"/>
                      <w:lang w:val="en-US" w:eastAsia="zh-CN"/>
                    </w:rPr>
                  </w:pPr>
                </w:p>
              </w:tc>
            </w:tr>
            <w:tr w14:paraId="59D5C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251EA956">
                  <w:pPr>
                    <w:autoSpaceDN w:val="0"/>
                    <w:adjustRightInd w:val="0"/>
                    <w:jc w:val="center"/>
                    <w:textAlignment w:val="center"/>
                    <w:rPr>
                      <w:color w:val="auto"/>
                      <w:sz w:val="18"/>
                      <w:szCs w:val="18"/>
                    </w:rPr>
                  </w:pPr>
                  <w:r>
                    <w:rPr>
                      <w:color w:val="auto"/>
                      <w:sz w:val="18"/>
                      <w:szCs w:val="18"/>
                    </w:rPr>
                    <w:t>5</w:t>
                  </w:r>
                </w:p>
              </w:tc>
              <w:tc>
                <w:tcPr>
                  <w:tcW w:w="1090" w:type="pct"/>
                  <w:gridSpan w:val="2"/>
                  <w:tcBorders>
                    <w:tl2br w:val="nil"/>
                    <w:tr2bl w:val="nil"/>
                  </w:tcBorders>
                  <w:noWrap w:val="0"/>
                  <w:vAlign w:val="center"/>
                </w:tcPr>
                <w:p w14:paraId="3EBF8B87">
                  <w:pPr>
                    <w:autoSpaceDN w:val="0"/>
                    <w:jc w:val="center"/>
                    <w:textAlignment w:val="center"/>
                    <w:rPr>
                      <w:color w:val="auto"/>
                      <w:sz w:val="18"/>
                      <w:szCs w:val="18"/>
                    </w:rPr>
                  </w:pPr>
                  <w:r>
                    <w:rPr>
                      <w:color w:val="auto"/>
                      <w:sz w:val="18"/>
                      <w:szCs w:val="18"/>
                    </w:rPr>
                    <w:t>电</w:t>
                  </w:r>
                </w:p>
              </w:tc>
              <w:tc>
                <w:tcPr>
                  <w:tcW w:w="627" w:type="pct"/>
                  <w:tcBorders>
                    <w:right w:val="single" w:color="auto" w:sz="4" w:space="0"/>
                    <w:tl2br w:val="nil"/>
                    <w:tr2bl w:val="nil"/>
                  </w:tcBorders>
                  <w:noWrap w:val="0"/>
                  <w:vAlign w:val="center"/>
                </w:tcPr>
                <w:p w14:paraId="74C6D7C1">
                  <w:pPr>
                    <w:autoSpaceDN w:val="0"/>
                    <w:adjustRightInd w:val="0"/>
                    <w:jc w:val="center"/>
                    <w:textAlignment w:val="center"/>
                    <w:rPr>
                      <w:color w:val="auto"/>
                      <w:sz w:val="18"/>
                      <w:szCs w:val="18"/>
                    </w:rPr>
                  </w:pPr>
                  <w:r>
                    <w:rPr>
                      <w:color w:val="auto"/>
                      <w:sz w:val="18"/>
                      <w:szCs w:val="18"/>
                    </w:rPr>
                    <w:t>万KWh/a</w:t>
                  </w:r>
                </w:p>
              </w:tc>
              <w:tc>
                <w:tcPr>
                  <w:tcW w:w="620" w:type="pct"/>
                  <w:tcBorders>
                    <w:left w:val="single" w:color="auto" w:sz="4" w:space="0"/>
                    <w:right w:val="single" w:color="auto" w:sz="4" w:space="0"/>
                    <w:tl2br w:val="nil"/>
                    <w:tr2bl w:val="nil"/>
                  </w:tcBorders>
                  <w:noWrap w:val="0"/>
                  <w:vAlign w:val="center"/>
                </w:tcPr>
                <w:p w14:paraId="1861DEC6">
                  <w:pPr>
                    <w:autoSpaceDN w:val="0"/>
                    <w:adjustRightInd w:val="0"/>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724" w:type="pct"/>
                  <w:tcBorders>
                    <w:left w:val="single" w:color="auto" w:sz="4" w:space="0"/>
                    <w:tl2br w:val="nil"/>
                    <w:tr2bl w:val="nil"/>
                  </w:tcBorders>
                  <w:noWrap w:val="0"/>
                  <w:vAlign w:val="center"/>
                </w:tcPr>
                <w:p w14:paraId="447307DE">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860</w:t>
                  </w:r>
                </w:p>
              </w:tc>
              <w:tc>
                <w:tcPr>
                  <w:tcW w:w="776" w:type="pct"/>
                  <w:tcBorders>
                    <w:right w:val="single" w:color="auto" w:sz="4" w:space="0"/>
                    <w:tl2br w:val="nil"/>
                    <w:tr2bl w:val="nil"/>
                  </w:tcBorders>
                  <w:noWrap w:val="0"/>
                  <w:vAlign w:val="center"/>
                </w:tcPr>
                <w:p w14:paraId="29213430">
                  <w:pPr>
                    <w:autoSpaceDN w:val="0"/>
                    <w:jc w:val="center"/>
                    <w:textAlignment w:val="center"/>
                    <w:rPr>
                      <w:rFonts w:hint="default" w:eastAsia="宋体"/>
                      <w:color w:val="auto"/>
                      <w:sz w:val="18"/>
                      <w:szCs w:val="18"/>
                      <w:highlight w:val="yellow"/>
                      <w:lang w:val="en-US" w:eastAsia="zh-CN"/>
                    </w:rPr>
                  </w:pPr>
                  <w:r>
                    <w:rPr>
                      <w:rFonts w:hint="eastAsia"/>
                      <w:color w:val="auto"/>
                      <w:sz w:val="18"/>
                      <w:szCs w:val="18"/>
                      <w:highlight w:val="none"/>
                      <w:lang w:val="en-US" w:eastAsia="zh-CN"/>
                    </w:rPr>
                    <w:t>900</w:t>
                  </w:r>
                </w:p>
              </w:tc>
              <w:tc>
                <w:tcPr>
                  <w:tcW w:w="836" w:type="pct"/>
                  <w:tcBorders>
                    <w:left w:val="single" w:color="auto" w:sz="4" w:space="0"/>
                    <w:tl2br w:val="nil"/>
                    <w:tr2bl w:val="nil"/>
                  </w:tcBorders>
                  <w:noWrap w:val="0"/>
                  <w:vAlign w:val="center"/>
                </w:tcPr>
                <w:p w14:paraId="1C7AAC43">
                  <w:pPr>
                    <w:autoSpaceDN w:val="0"/>
                    <w:jc w:val="center"/>
                    <w:textAlignment w:val="center"/>
                    <w:rPr>
                      <w:rFonts w:hint="eastAsia"/>
                      <w:color w:val="auto"/>
                      <w:sz w:val="18"/>
                      <w:szCs w:val="18"/>
                      <w:lang w:val="en-US" w:eastAsia="zh-CN"/>
                    </w:rPr>
                  </w:pPr>
                </w:p>
              </w:tc>
            </w:tr>
            <w:tr w14:paraId="57C9B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6106B00C">
                  <w:pPr>
                    <w:autoSpaceDN w:val="0"/>
                    <w:adjustRightInd w:val="0"/>
                    <w:jc w:val="center"/>
                    <w:textAlignment w:val="center"/>
                    <w:rPr>
                      <w:color w:val="auto"/>
                      <w:sz w:val="18"/>
                      <w:szCs w:val="18"/>
                    </w:rPr>
                  </w:pPr>
                  <w:r>
                    <w:rPr>
                      <w:color w:val="auto"/>
                      <w:sz w:val="18"/>
                      <w:szCs w:val="18"/>
                    </w:rPr>
                    <w:t>6</w:t>
                  </w:r>
                </w:p>
              </w:tc>
              <w:tc>
                <w:tcPr>
                  <w:tcW w:w="1090" w:type="pct"/>
                  <w:gridSpan w:val="2"/>
                  <w:tcBorders>
                    <w:tl2br w:val="nil"/>
                    <w:tr2bl w:val="nil"/>
                  </w:tcBorders>
                  <w:noWrap w:val="0"/>
                  <w:vAlign w:val="center"/>
                </w:tcPr>
                <w:p w14:paraId="335AC6D6">
                  <w:pPr>
                    <w:autoSpaceDN w:val="0"/>
                    <w:jc w:val="center"/>
                    <w:textAlignment w:val="center"/>
                    <w:rPr>
                      <w:color w:val="auto"/>
                      <w:sz w:val="18"/>
                      <w:szCs w:val="18"/>
                    </w:rPr>
                  </w:pPr>
                  <w:r>
                    <w:rPr>
                      <w:rFonts w:hint="eastAsia"/>
                      <w:color w:val="auto"/>
                      <w:sz w:val="18"/>
                      <w:szCs w:val="18"/>
                      <w:lang w:val="en-US" w:eastAsia="zh-CN"/>
                    </w:rPr>
                    <w:t>瓶装</w:t>
                  </w:r>
                  <w:r>
                    <w:rPr>
                      <w:color w:val="auto"/>
                      <w:sz w:val="18"/>
                      <w:szCs w:val="18"/>
                    </w:rPr>
                    <w:t>液化</w:t>
                  </w:r>
                  <w:r>
                    <w:rPr>
                      <w:rFonts w:hint="eastAsia"/>
                      <w:color w:val="auto"/>
                      <w:sz w:val="18"/>
                      <w:szCs w:val="18"/>
                      <w:lang w:val="en-US" w:eastAsia="zh-CN"/>
                    </w:rPr>
                    <w:t>石油</w:t>
                  </w:r>
                  <w:r>
                    <w:rPr>
                      <w:color w:val="auto"/>
                      <w:sz w:val="18"/>
                      <w:szCs w:val="18"/>
                    </w:rPr>
                    <w:t>气</w:t>
                  </w:r>
                </w:p>
              </w:tc>
              <w:tc>
                <w:tcPr>
                  <w:tcW w:w="627" w:type="pct"/>
                  <w:tcBorders>
                    <w:right w:val="single" w:color="auto" w:sz="4" w:space="0"/>
                    <w:tl2br w:val="nil"/>
                    <w:tr2bl w:val="nil"/>
                  </w:tcBorders>
                  <w:noWrap w:val="0"/>
                  <w:vAlign w:val="center"/>
                </w:tcPr>
                <w:p w14:paraId="6A37FED1">
                  <w:pPr>
                    <w:autoSpaceDN w:val="0"/>
                    <w:adjustRightInd w:val="0"/>
                    <w:jc w:val="center"/>
                    <w:textAlignment w:val="center"/>
                    <w:rPr>
                      <w:rFonts w:hint="eastAsia" w:eastAsia="宋体"/>
                      <w:color w:val="auto"/>
                      <w:sz w:val="18"/>
                      <w:szCs w:val="18"/>
                      <w:lang w:eastAsia="zh-CN"/>
                    </w:rPr>
                  </w:pPr>
                  <w:r>
                    <w:rPr>
                      <w:rFonts w:hint="eastAsia"/>
                      <w:color w:val="auto"/>
                      <w:sz w:val="18"/>
                      <w:szCs w:val="18"/>
                      <w:lang w:val="en-US" w:eastAsia="zh-CN"/>
                    </w:rPr>
                    <w:t>吨</w:t>
                  </w:r>
                </w:p>
              </w:tc>
              <w:tc>
                <w:tcPr>
                  <w:tcW w:w="620" w:type="pct"/>
                  <w:tcBorders>
                    <w:left w:val="single" w:color="auto" w:sz="4" w:space="0"/>
                    <w:right w:val="single" w:color="auto" w:sz="4" w:space="0"/>
                    <w:tl2br w:val="nil"/>
                    <w:tr2bl w:val="nil"/>
                  </w:tcBorders>
                  <w:noWrap w:val="0"/>
                  <w:vAlign w:val="center"/>
                </w:tcPr>
                <w:p w14:paraId="7074D0FA">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瓶装液化气暂存库</w:t>
                  </w:r>
                </w:p>
              </w:tc>
              <w:tc>
                <w:tcPr>
                  <w:tcW w:w="724" w:type="pct"/>
                  <w:tcBorders>
                    <w:left w:val="single" w:color="auto" w:sz="4" w:space="0"/>
                    <w:tl2br w:val="nil"/>
                    <w:tr2bl w:val="nil"/>
                  </w:tcBorders>
                  <w:noWrap w:val="0"/>
                  <w:vAlign w:val="center"/>
                </w:tcPr>
                <w:p w14:paraId="600C1D46">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50</w:t>
                  </w:r>
                </w:p>
              </w:tc>
              <w:tc>
                <w:tcPr>
                  <w:tcW w:w="776" w:type="pct"/>
                  <w:tcBorders>
                    <w:right w:val="single" w:color="auto" w:sz="4" w:space="0"/>
                    <w:tl2br w:val="nil"/>
                    <w:tr2bl w:val="nil"/>
                  </w:tcBorders>
                  <w:noWrap w:val="0"/>
                  <w:vAlign w:val="center"/>
                </w:tcPr>
                <w:p w14:paraId="0998B792">
                  <w:pPr>
                    <w:autoSpaceDN w:val="0"/>
                    <w:jc w:val="center"/>
                    <w:textAlignment w:val="center"/>
                    <w:rPr>
                      <w:rFonts w:hint="default" w:eastAsia="宋体"/>
                      <w:color w:val="auto"/>
                      <w:sz w:val="18"/>
                      <w:szCs w:val="18"/>
                      <w:lang w:val="en-US" w:eastAsia="zh-CN"/>
                    </w:rPr>
                  </w:pPr>
                  <w:r>
                    <w:rPr>
                      <w:rFonts w:hint="eastAsia"/>
                      <w:color w:val="auto"/>
                      <w:sz w:val="18"/>
                      <w:szCs w:val="18"/>
                      <w:lang w:val="en-US" w:eastAsia="zh-CN"/>
                    </w:rPr>
                    <w:t>60</w:t>
                  </w:r>
                </w:p>
              </w:tc>
              <w:tc>
                <w:tcPr>
                  <w:tcW w:w="836" w:type="pct"/>
                  <w:tcBorders>
                    <w:left w:val="single" w:color="auto" w:sz="4" w:space="0"/>
                    <w:tl2br w:val="nil"/>
                    <w:tr2bl w:val="nil"/>
                  </w:tcBorders>
                  <w:noWrap w:val="0"/>
                  <w:vAlign w:val="center"/>
                </w:tcPr>
                <w:p w14:paraId="0E54F294">
                  <w:pPr>
                    <w:autoSpaceDN w:val="0"/>
                    <w:jc w:val="center"/>
                    <w:textAlignment w:val="center"/>
                    <w:rPr>
                      <w:rFonts w:hint="default"/>
                      <w:color w:val="auto"/>
                      <w:sz w:val="18"/>
                      <w:szCs w:val="18"/>
                      <w:lang w:val="en-US" w:eastAsia="zh-CN"/>
                    </w:rPr>
                  </w:pPr>
                  <w:r>
                    <w:rPr>
                      <w:rFonts w:hint="eastAsia"/>
                      <w:color w:val="auto"/>
                      <w:sz w:val="18"/>
                      <w:szCs w:val="18"/>
                      <w:lang w:val="en-US" w:eastAsia="zh-CN"/>
                    </w:rPr>
                    <w:t>+10</w:t>
                  </w:r>
                </w:p>
              </w:tc>
            </w:tr>
            <w:tr w14:paraId="2DD8B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5B92F49A">
                  <w:pPr>
                    <w:autoSpaceDN w:val="0"/>
                    <w:adjustRightInd w:val="0"/>
                    <w:jc w:val="center"/>
                    <w:textAlignment w:val="center"/>
                    <w:rPr>
                      <w:color w:val="auto"/>
                      <w:sz w:val="18"/>
                      <w:szCs w:val="18"/>
                    </w:rPr>
                  </w:pPr>
                  <w:r>
                    <w:rPr>
                      <w:color w:val="auto"/>
                      <w:sz w:val="18"/>
                      <w:szCs w:val="18"/>
                    </w:rPr>
                    <w:t>7</w:t>
                  </w:r>
                </w:p>
              </w:tc>
              <w:tc>
                <w:tcPr>
                  <w:tcW w:w="1090" w:type="pct"/>
                  <w:gridSpan w:val="2"/>
                  <w:tcBorders>
                    <w:tl2br w:val="nil"/>
                    <w:tr2bl w:val="nil"/>
                  </w:tcBorders>
                  <w:noWrap w:val="0"/>
                  <w:vAlign w:val="center"/>
                </w:tcPr>
                <w:p w14:paraId="78C03690">
                  <w:pPr>
                    <w:autoSpaceDN w:val="0"/>
                    <w:jc w:val="center"/>
                    <w:textAlignment w:val="center"/>
                    <w:rPr>
                      <w:color w:val="auto"/>
                      <w:sz w:val="18"/>
                      <w:szCs w:val="18"/>
                    </w:rPr>
                  </w:pPr>
                  <w:r>
                    <w:rPr>
                      <w:color w:val="auto"/>
                      <w:sz w:val="18"/>
                      <w:szCs w:val="18"/>
                    </w:rPr>
                    <w:t>液氧</w:t>
                  </w:r>
                </w:p>
              </w:tc>
              <w:tc>
                <w:tcPr>
                  <w:tcW w:w="627" w:type="pct"/>
                  <w:tcBorders>
                    <w:right w:val="single" w:color="auto" w:sz="4" w:space="0"/>
                    <w:tl2br w:val="nil"/>
                    <w:tr2bl w:val="nil"/>
                  </w:tcBorders>
                  <w:noWrap w:val="0"/>
                  <w:vAlign w:val="center"/>
                </w:tcPr>
                <w:p w14:paraId="294F9145">
                  <w:pPr>
                    <w:autoSpaceDN w:val="0"/>
                    <w:adjustRightInd w:val="0"/>
                    <w:jc w:val="center"/>
                    <w:textAlignment w:val="center"/>
                    <w:rPr>
                      <w:color w:val="auto"/>
                      <w:sz w:val="18"/>
                      <w:szCs w:val="18"/>
                    </w:rPr>
                  </w:pPr>
                  <w:r>
                    <w:rPr>
                      <w:color w:val="auto"/>
                      <w:sz w:val="18"/>
                      <w:szCs w:val="18"/>
                    </w:rPr>
                    <w:t>t/a</w:t>
                  </w:r>
                </w:p>
              </w:tc>
              <w:tc>
                <w:tcPr>
                  <w:tcW w:w="620" w:type="pct"/>
                  <w:tcBorders>
                    <w:left w:val="single" w:color="auto" w:sz="4" w:space="0"/>
                    <w:right w:val="single" w:color="auto" w:sz="4" w:space="0"/>
                    <w:tl2br w:val="nil"/>
                    <w:tr2bl w:val="nil"/>
                  </w:tcBorders>
                  <w:noWrap w:val="0"/>
                  <w:vAlign w:val="center"/>
                </w:tcPr>
                <w:p w14:paraId="032687E0">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液氧罐区</w:t>
                  </w:r>
                </w:p>
              </w:tc>
              <w:tc>
                <w:tcPr>
                  <w:tcW w:w="724" w:type="pct"/>
                  <w:tcBorders>
                    <w:left w:val="single" w:color="auto" w:sz="4" w:space="0"/>
                    <w:tl2br w:val="nil"/>
                    <w:tr2bl w:val="nil"/>
                  </w:tcBorders>
                  <w:noWrap w:val="0"/>
                  <w:vAlign w:val="center"/>
                </w:tcPr>
                <w:p w14:paraId="6A6D713A">
                  <w:pPr>
                    <w:autoSpaceDN w:val="0"/>
                    <w:adjustRightInd w:val="0"/>
                    <w:jc w:val="center"/>
                    <w:textAlignment w:val="center"/>
                    <w:rPr>
                      <w:color w:val="auto"/>
                      <w:sz w:val="18"/>
                      <w:szCs w:val="18"/>
                    </w:rPr>
                  </w:pPr>
                  <w:r>
                    <w:rPr>
                      <w:rFonts w:hint="eastAsia"/>
                      <w:color w:val="auto"/>
                      <w:sz w:val="18"/>
                      <w:szCs w:val="18"/>
                      <w:lang w:val="en-US" w:eastAsia="zh-CN"/>
                    </w:rPr>
                    <w:t>360</w:t>
                  </w:r>
                </w:p>
              </w:tc>
              <w:tc>
                <w:tcPr>
                  <w:tcW w:w="776" w:type="pct"/>
                  <w:tcBorders>
                    <w:right w:val="single" w:color="auto" w:sz="4" w:space="0"/>
                    <w:tl2br w:val="nil"/>
                    <w:tr2bl w:val="nil"/>
                  </w:tcBorders>
                  <w:noWrap w:val="0"/>
                  <w:vAlign w:val="center"/>
                </w:tcPr>
                <w:p w14:paraId="4776CDE0">
                  <w:pPr>
                    <w:autoSpaceDN w:val="0"/>
                    <w:jc w:val="center"/>
                    <w:textAlignment w:val="center"/>
                    <w:rPr>
                      <w:rFonts w:hint="default" w:eastAsia="宋体"/>
                      <w:color w:val="auto"/>
                      <w:sz w:val="18"/>
                      <w:szCs w:val="18"/>
                      <w:lang w:val="en-US" w:eastAsia="zh-CN"/>
                    </w:rPr>
                  </w:pPr>
                  <w:r>
                    <w:rPr>
                      <w:rFonts w:hint="eastAsia" w:eastAsia="宋体"/>
                      <w:color w:val="auto"/>
                      <w:sz w:val="18"/>
                      <w:szCs w:val="18"/>
                      <w:lang w:val="en-US" w:eastAsia="zh-CN"/>
                    </w:rPr>
                    <w:t>30立方（暂存备用）</w:t>
                  </w:r>
                </w:p>
              </w:tc>
              <w:tc>
                <w:tcPr>
                  <w:tcW w:w="836" w:type="pct"/>
                  <w:tcBorders>
                    <w:left w:val="single" w:color="auto" w:sz="4" w:space="0"/>
                    <w:tl2br w:val="nil"/>
                    <w:tr2bl w:val="nil"/>
                  </w:tcBorders>
                  <w:noWrap w:val="0"/>
                  <w:vAlign w:val="center"/>
                </w:tcPr>
                <w:p w14:paraId="0C281700">
                  <w:pPr>
                    <w:autoSpaceDN w:val="0"/>
                    <w:jc w:val="center"/>
                    <w:textAlignment w:val="center"/>
                    <w:rPr>
                      <w:rFonts w:hint="default"/>
                      <w:color w:val="auto"/>
                      <w:sz w:val="18"/>
                      <w:szCs w:val="18"/>
                      <w:lang w:val="en-US" w:eastAsia="zh-CN"/>
                    </w:rPr>
                  </w:pPr>
                  <w:r>
                    <w:rPr>
                      <w:rFonts w:hint="eastAsia"/>
                      <w:color w:val="auto"/>
                      <w:sz w:val="18"/>
                      <w:szCs w:val="18"/>
                      <w:lang w:val="en-US" w:eastAsia="zh-CN"/>
                    </w:rPr>
                    <w:t>-360</w:t>
                  </w:r>
                </w:p>
              </w:tc>
            </w:tr>
            <w:tr w14:paraId="4836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23F05AB0">
                  <w:pPr>
                    <w:autoSpaceDN w:val="0"/>
                    <w:adjustRightInd w:val="0"/>
                    <w:jc w:val="center"/>
                    <w:textAlignment w:val="center"/>
                    <w:rPr>
                      <w:color w:val="auto"/>
                      <w:sz w:val="18"/>
                      <w:szCs w:val="18"/>
                    </w:rPr>
                  </w:pPr>
                </w:p>
              </w:tc>
              <w:tc>
                <w:tcPr>
                  <w:tcW w:w="1090" w:type="pct"/>
                  <w:gridSpan w:val="2"/>
                  <w:tcBorders>
                    <w:tl2br w:val="nil"/>
                    <w:tr2bl w:val="nil"/>
                  </w:tcBorders>
                  <w:noWrap w:val="0"/>
                  <w:vAlign w:val="center"/>
                </w:tcPr>
                <w:p w14:paraId="33948B7B">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氧气</w:t>
                  </w:r>
                </w:p>
              </w:tc>
              <w:tc>
                <w:tcPr>
                  <w:tcW w:w="627" w:type="pct"/>
                  <w:tcBorders>
                    <w:right w:val="single" w:color="auto" w:sz="4" w:space="0"/>
                    <w:tl2br w:val="nil"/>
                    <w:tr2bl w:val="nil"/>
                  </w:tcBorders>
                  <w:noWrap w:val="0"/>
                  <w:vAlign w:val="center"/>
                </w:tcPr>
                <w:p w14:paraId="7314D00F">
                  <w:pPr>
                    <w:autoSpaceDN w:val="0"/>
                    <w:adjustRightInd w:val="0"/>
                    <w:jc w:val="center"/>
                    <w:textAlignment w:val="center"/>
                    <w:rPr>
                      <w:color w:val="auto"/>
                      <w:sz w:val="18"/>
                      <w:szCs w:val="18"/>
                    </w:rPr>
                  </w:pP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620" w:type="pct"/>
                  <w:tcBorders>
                    <w:left w:val="single" w:color="auto" w:sz="4" w:space="0"/>
                    <w:right w:val="single" w:color="auto" w:sz="4" w:space="0"/>
                    <w:tl2br w:val="nil"/>
                    <w:tr2bl w:val="nil"/>
                  </w:tcBorders>
                  <w:noWrap w:val="0"/>
                  <w:vAlign w:val="center"/>
                </w:tcPr>
                <w:p w14:paraId="49E92430">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制氧机房</w:t>
                  </w:r>
                </w:p>
              </w:tc>
              <w:tc>
                <w:tcPr>
                  <w:tcW w:w="724" w:type="pct"/>
                  <w:tcBorders>
                    <w:left w:val="single" w:color="auto" w:sz="4" w:space="0"/>
                    <w:tl2br w:val="nil"/>
                    <w:tr2bl w:val="nil"/>
                  </w:tcBorders>
                  <w:noWrap w:val="0"/>
                  <w:vAlign w:val="center"/>
                </w:tcPr>
                <w:p w14:paraId="2C2B6F65">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776" w:type="pct"/>
                  <w:tcBorders>
                    <w:right w:val="single" w:color="auto" w:sz="4" w:space="0"/>
                    <w:tl2br w:val="nil"/>
                    <w:tr2bl w:val="nil"/>
                  </w:tcBorders>
                  <w:noWrap w:val="0"/>
                  <w:vAlign w:val="center"/>
                </w:tcPr>
                <w:p w14:paraId="16BEAF3A">
                  <w:pPr>
                    <w:autoSpaceDN w:val="0"/>
                    <w:jc w:val="center"/>
                    <w:textAlignment w:val="center"/>
                    <w:rPr>
                      <w:rFonts w:hint="eastAsia"/>
                      <w:color w:val="auto"/>
                      <w:sz w:val="18"/>
                      <w:szCs w:val="18"/>
                      <w:lang w:val="en-US" w:eastAsia="zh-CN"/>
                    </w:rPr>
                  </w:pPr>
                  <w:r>
                    <w:rPr>
                      <w:rFonts w:hint="eastAsia"/>
                      <w:color w:val="auto"/>
                      <w:sz w:val="18"/>
                      <w:szCs w:val="18"/>
                      <w:lang w:val="en-US" w:eastAsia="zh-CN"/>
                    </w:rPr>
                    <w:t>600</w:t>
                  </w:r>
                </w:p>
              </w:tc>
              <w:tc>
                <w:tcPr>
                  <w:tcW w:w="836" w:type="pct"/>
                  <w:tcBorders>
                    <w:left w:val="single" w:color="auto" w:sz="4" w:space="0"/>
                    <w:tl2br w:val="nil"/>
                    <w:tr2bl w:val="nil"/>
                  </w:tcBorders>
                  <w:noWrap w:val="0"/>
                  <w:vAlign w:val="center"/>
                </w:tcPr>
                <w:p w14:paraId="30158259">
                  <w:pPr>
                    <w:autoSpaceDN w:val="0"/>
                    <w:jc w:val="center"/>
                    <w:textAlignment w:val="center"/>
                    <w:rPr>
                      <w:rFonts w:hint="default"/>
                      <w:color w:val="auto"/>
                      <w:sz w:val="18"/>
                      <w:szCs w:val="18"/>
                      <w:lang w:val="en-US" w:eastAsia="zh-CN"/>
                    </w:rPr>
                  </w:pPr>
                  <w:r>
                    <w:rPr>
                      <w:rFonts w:hint="eastAsia"/>
                      <w:color w:val="auto"/>
                      <w:sz w:val="18"/>
                      <w:szCs w:val="18"/>
                      <w:lang w:val="en-US" w:eastAsia="zh-CN"/>
                    </w:rPr>
                    <w:t>600</w:t>
                  </w:r>
                </w:p>
              </w:tc>
            </w:tr>
            <w:tr w14:paraId="230E5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15E47569">
                  <w:pPr>
                    <w:autoSpaceDN w:val="0"/>
                    <w:adjustRightInd w:val="0"/>
                    <w:jc w:val="center"/>
                    <w:textAlignment w:val="center"/>
                    <w:rPr>
                      <w:rFonts w:hint="eastAsia" w:eastAsia="宋体"/>
                      <w:color w:val="auto"/>
                      <w:sz w:val="18"/>
                      <w:szCs w:val="18"/>
                      <w:lang w:val="en-US" w:eastAsia="zh-CN"/>
                    </w:rPr>
                  </w:pPr>
                  <w:r>
                    <w:rPr>
                      <w:rFonts w:hint="eastAsia"/>
                      <w:color w:val="auto"/>
                      <w:sz w:val="18"/>
                      <w:szCs w:val="18"/>
                      <w:lang w:val="en-US" w:eastAsia="zh-CN"/>
                    </w:rPr>
                    <w:t>8</w:t>
                  </w:r>
                </w:p>
              </w:tc>
              <w:tc>
                <w:tcPr>
                  <w:tcW w:w="1090" w:type="pct"/>
                  <w:gridSpan w:val="2"/>
                  <w:tcBorders>
                    <w:tl2br w:val="nil"/>
                    <w:tr2bl w:val="nil"/>
                  </w:tcBorders>
                  <w:noWrap w:val="0"/>
                  <w:vAlign w:val="center"/>
                </w:tcPr>
                <w:p w14:paraId="41082508">
                  <w:pPr>
                    <w:autoSpaceDN w:val="0"/>
                    <w:jc w:val="center"/>
                    <w:textAlignment w:val="center"/>
                    <w:rPr>
                      <w:rFonts w:hint="eastAsia" w:eastAsia="宋体"/>
                      <w:color w:val="auto"/>
                      <w:sz w:val="18"/>
                      <w:szCs w:val="18"/>
                      <w:lang w:val="en-US" w:eastAsia="zh-CN"/>
                    </w:rPr>
                  </w:pPr>
                  <w:r>
                    <w:rPr>
                      <w:rFonts w:hint="eastAsia"/>
                      <w:color w:val="auto"/>
                      <w:sz w:val="18"/>
                      <w:szCs w:val="18"/>
                      <w:lang w:val="en-US" w:eastAsia="zh-CN"/>
                    </w:rPr>
                    <w:t>天然气</w:t>
                  </w:r>
                </w:p>
              </w:tc>
              <w:tc>
                <w:tcPr>
                  <w:tcW w:w="627" w:type="pct"/>
                  <w:tcBorders>
                    <w:right w:val="single" w:color="auto" w:sz="4" w:space="0"/>
                    <w:tl2br w:val="nil"/>
                    <w:tr2bl w:val="nil"/>
                  </w:tcBorders>
                  <w:noWrap w:val="0"/>
                  <w:vAlign w:val="center"/>
                </w:tcPr>
                <w:p w14:paraId="20538EBA">
                  <w:pPr>
                    <w:autoSpaceDN w:val="0"/>
                    <w:adjustRightInd w:val="0"/>
                    <w:jc w:val="center"/>
                    <w:textAlignment w:val="center"/>
                    <w:rPr>
                      <w:color w:val="auto"/>
                      <w:sz w:val="18"/>
                      <w:szCs w:val="18"/>
                    </w:rPr>
                  </w:pPr>
                  <w:r>
                    <w:rPr>
                      <w:color w:val="auto"/>
                      <w:sz w:val="18"/>
                      <w:szCs w:val="18"/>
                    </w:rPr>
                    <w:t>万立方米</w:t>
                  </w:r>
                </w:p>
              </w:tc>
              <w:tc>
                <w:tcPr>
                  <w:tcW w:w="620" w:type="pct"/>
                  <w:tcBorders>
                    <w:left w:val="single" w:color="auto" w:sz="4" w:space="0"/>
                    <w:right w:val="single" w:color="auto" w:sz="4" w:space="0"/>
                    <w:tl2br w:val="nil"/>
                    <w:tr2bl w:val="nil"/>
                  </w:tcBorders>
                  <w:noWrap w:val="0"/>
                  <w:vAlign w:val="center"/>
                </w:tcPr>
                <w:p w14:paraId="4A99EC9E">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管道输送</w:t>
                  </w:r>
                </w:p>
              </w:tc>
              <w:tc>
                <w:tcPr>
                  <w:tcW w:w="724" w:type="pct"/>
                  <w:tcBorders>
                    <w:left w:val="single" w:color="auto" w:sz="4" w:space="0"/>
                    <w:tl2br w:val="nil"/>
                    <w:tr2bl w:val="nil"/>
                  </w:tcBorders>
                  <w:noWrap w:val="0"/>
                  <w:vAlign w:val="center"/>
                </w:tcPr>
                <w:p w14:paraId="07963A07">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270</w:t>
                  </w:r>
                </w:p>
              </w:tc>
              <w:tc>
                <w:tcPr>
                  <w:tcW w:w="776" w:type="pct"/>
                  <w:tcBorders>
                    <w:right w:val="single" w:color="auto" w:sz="4" w:space="0"/>
                    <w:tl2br w:val="nil"/>
                    <w:tr2bl w:val="nil"/>
                  </w:tcBorders>
                  <w:noWrap w:val="0"/>
                  <w:vAlign w:val="center"/>
                </w:tcPr>
                <w:p w14:paraId="1871151E">
                  <w:pPr>
                    <w:autoSpaceDN w:val="0"/>
                    <w:jc w:val="center"/>
                    <w:textAlignment w:val="center"/>
                    <w:rPr>
                      <w:rFonts w:hint="default" w:eastAsia="宋体"/>
                      <w:color w:val="auto"/>
                      <w:sz w:val="18"/>
                      <w:szCs w:val="18"/>
                      <w:lang w:val="en-US" w:eastAsia="zh-CN"/>
                    </w:rPr>
                  </w:pPr>
                  <w:r>
                    <w:rPr>
                      <w:rFonts w:hint="eastAsia"/>
                      <w:color w:val="auto"/>
                      <w:sz w:val="18"/>
                      <w:szCs w:val="18"/>
                      <w:lang w:val="en-US" w:eastAsia="zh-CN"/>
                    </w:rPr>
                    <w:t>800</w:t>
                  </w:r>
                </w:p>
              </w:tc>
              <w:tc>
                <w:tcPr>
                  <w:tcW w:w="836" w:type="pct"/>
                  <w:tcBorders>
                    <w:left w:val="single" w:color="auto" w:sz="4" w:space="0"/>
                    <w:tl2br w:val="nil"/>
                    <w:tr2bl w:val="nil"/>
                  </w:tcBorders>
                  <w:noWrap w:val="0"/>
                  <w:vAlign w:val="center"/>
                </w:tcPr>
                <w:p w14:paraId="0D9739F2">
                  <w:pPr>
                    <w:autoSpaceDN w:val="0"/>
                    <w:jc w:val="center"/>
                    <w:textAlignment w:val="center"/>
                    <w:rPr>
                      <w:rFonts w:hint="default"/>
                      <w:color w:val="auto"/>
                      <w:sz w:val="18"/>
                      <w:szCs w:val="18"/>
                      <w:lang w:val="en-US" w:eastAsia="zh-CN"/>
                    </w:rPr>
                  </w:pPr>
                  <w:r>
                    <w:rPr>
                      <w:rFonts w:hint="eastAsia"/>
                      <w:color w:val="auto"/>
                      <w:sz w:val="18"/>
                      <w:szCs w:val="18"/>
                      <w:lang w:val="en-US" w:eastAsia="zh-CN"/>
                    </w:rPr>
                    <w:t>+530</w:t>
                  </w:r>
                </w:p>
              </w:tc>
            </w:tr>
            <w:tr w14:paraId="2280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01926A21">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9</w:t>
                  </w:r>
                </w:p>
              </w:tc>
              <w:tc>
                <w:tcPr>
                  <w:tcW w:w="1090" w:type="pct"/>
                  <w:gridSpan w:val="2"/>
                  <w:tcBorders>
                    <w:tl2br w:val="nil"/>
                    <w:tr2bl w:val="nil"/>
                  </w:tcBorders>
                  <w:noWrap w:val="0"/>
                  <w:vAlign w:val="center"/>
                </w:tcPr>
                <w:p w14:paraId="0832F7DD">
                  <w:pPr>
                    <w:autoSpaceDN w:val="0"/>
                    <w:jc w:val="center"/>
                    <w:textAlignment w:val="center"/>
                    <w:rPr>
                      <w:rFonts w:hint="default"/>
                      <w:color w:val="auto"/>
                      <w:sz w:val="18"/>
                      <w:szCs w:val="18"/>
                      <w:lang w:val="en-US" w:eastAsia="zh-CN"/>
                    </w:rPr>
                  </w:pPr>
                  <w:r>
                    <w:rPr>
                      <w:rFonts w:hint="eastAsia"/>
                      <w:color w:val="auto"/>
                      <w:sz w:val="18"/>
                      <w:szCs w:val="18"/>
                      <w:lang w:val="en-US" w:eastAsia="zh-CN"/>
                    </w:rPr>
                    <w:t>液化天然气</w:t>
                  </w:r>
                </w:p>
              </w:tc>
              <w:tc>
                <w:tcPr>
                  <w:tcW w:w="627" w:type="pct"/>
                  <w:tcBorders>
                    <w:right w:val="single" w:color="auto" w:sz="4" w:space="0"/>
                    <w:tl2br w:val="nil"/>
                    <w:tr2bl w:val="nil"/>
                  </w:tcBorders>
                  <w:noWrap w:val="0"/>
                  <w:vAlign w:val="center"/>
                </w:tcPr>
                <w:p w14:paraId="0F872F97">
                  <w:pPr>
                    <w:autoSpaceDN w:val="0"/>
                    <w:adjustRightInd w:val="0"/>
                    <w:jc w:val="center"/>
                    <w:textAlignment w:val="center"/>
                    <w:rPr>
                      <w:rFonts w:hint="eastAsia" w:eastAsia="宋体"/>
                      <w:color w:val="auto"/>
                      <w:sz w:val="18"/>
                      <w:szCs w:val="18"/>
                      <w:lang w:val="en-US" w:eastAsia="zh-CN"/>
                    </w:rPr>
                  </w:pPr>
                  <w:r>
                    <w:rPr>
                      <w:rFonts w:hint="eastAsia"/>
                      <w:color w:val="auto"/>
                      <w:sz w:val="18"/>
                      <w:szCs w:val="18"/>
                      <w:lang w:val="en-US" w:eastAsia="zh-CN"/>
                    </w:rPr>
                    <w:t>m</w:t>
                  </w:r>
                  <w:r>
                    <w:rPr>
                      <w:rFonts w:hint="eastAsia"/>
                      <w:color w:val="auto"/>
                      <w:sz w:val="18"/>
                      <w:szCs w:val="18"/>
                      <w:vertAlign w:val="superscript"/>
                      <w:lang w:val="en-US" w:eastAsia="zh-CN"/>
                    </w:rPr>
                    <w:t>3</w:t>
                  </w:r>
                </w:p>
              </w:tc>
              <w:tc>
                <w:tcPr>
                  <w:tcW w:w="620" w:type="pct"/>
                  <w:tcBorders>
                    <w:left w:val="single" w:color="auto" w:sz="4" w:space="0"/>
                    <w:right w:val="single" w:color="auto" w:sz="4" w:space="0"/>
                    <w:tl2br w:val="nil"/>
                    <w:tr2bl w:val="nil"/>
                  </w:tcBorders>
                  <w:noWrap w:val="0"/>
                  <w:vAlign w:val="center"/>
                </w:tcPr>
                <w:p w14:paraId="0C724915">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储罐</w:t>
                  </w:r>
                </w:p>
              </w:tc>
              <w:tc>
                <w:tcPr>
                  <w:tcW w:w="724" w:type="pct"/>
                  <w:tcBorders>
                    <w:left w:val="single" w:color="auto" w:sz="4" w:space="0"/>
                    <w:tl2br w:val="nil"/>
                    <w:tr2bl w:val="nil"/>
                  </w:tcBorders>
                  <w:noWrap w:val="0"/>
                  <w:vAlign w:val="center"/>
                </w:tcPr>
                <w:p w14:paraId="21DD3DCE">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365</w:t>
                  </w:r>
                </w:p>
              </w:tc>
              <w:tc>
                <w:tcPr>
                  <w:tcW w:w="776" w:type="pct"/>
                  <w:tcBorders>
                    <w:right w:val="single" w:color="auto" w:sz="4" w:space="0"/>
                    <w:tl2br w:val="nil"/>
                    <w:tr2bl w:val="nil"/>
                  </w:tcBorders>
                  <w:noWrap w:val="0"/>
                  <w:vAlign w:val="center"/>
                </w:tcPr>
                <w:p w14:paraId="5D4E370D">
                  <w:pPr>
                    <w:autoSpaceDN w:val="0"/>
                    <w:jc w:val="center"/>
                    <w:textAlignment w:val="center"/>
                    <w:rPr>
                      <w:rFonts w:hint="default"/>
                      <w:color w:val="auto"/>
                      <w:sz w:val="18"/>
                      <w:szCs w:val="18"/>
                      <w:lang w:val="en-US" w:eastAsia="zh-CN"/>
                    </w:rPr>
                  </w:pPr>
                  <w:r>
                    <w:rPr>
                      <w:rFonts w:hint="eastAsia"/>
                      <w:color w:val="auto"/>
                      <w:sz w:val="18"/>
                      <w:szCs w:val="18"/>
                      <w:lang w:val="en-US" w:eastAsia="zh-CN"/>
                    </w:rPr>
                    <w:t>365</w:t>
                  </w:r>
                </w:p>
              </w:tc>
              <w:tc>
                <w:tcPr>
                  <w:tcW w:w="836" w:type="pct"/>
                  <w:tcBorders>
                    <w:left w:val="single" w:color="auto" w:sz="4" w:space="0"/>
                    <w:tl2br w:val="nil"/>
                    <w:tr2bl w:val="nil"/>
                  </w:tcBorders>
                  <w:noWrap w:val="0"/>
                  <w:vAlign w:val="center"/>
                </w:tcPr>
                <w:p w14:paraId="12B586F4">
                  <w:pPr>
                    <w:autoSpaceDN w:val="0"/>
                    <w:jc w:val="center"/>
                    <w:textAlignment w:val="center"/>
                    <w:rPr>
                      <w:rFonts w:hint="default"/>
                      <w:color w:val="auto"/>
                      <w:sz w:val="18"/>
                      <w:szCs w:val="18"/>
                      <w:lang w:val="en-US" w:eastAsia="zh-CN"/>
                    </w:rPr>
                  </w:pPr>
                  <w:r>
                    <w:rPr>
                      <w:rFonts w:hint="eastAsia"/>
                      <w:color w:val="auto"/>
                      <w:sz w:val="18"/>
                      <w:szCs w:val="18"/>
                      <w:lang w:val="en-US" w:eastAsia="zh-CN"/>
                    </w:rPr>
                    <w:t>+0</w:t>
                  </w:r>
                </w:p>
              </w:tc>
            </w:tr>
            <w:tr w14:paraId="374A8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0ECA154E">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10</w:t>
                  </w:r>
                </w:p>
              </w:tc>
              <w:tc>
                <w:tcPr>
                  <w:tcW w:w="1090" w:type="pct"/>
                  <w:gridSpan w:val="2"/>
                  <w:tcBorders>
                    <w:tl2br w:val="nil"/>
                    <w:tr2bl w:val="nil"/>
                  </w:tcBorders>
                  <w:noWrap w:val="0"/>
                  <w:vAlign w:val="center"/>
                </w:tcPr>
                <w:p w14:paraId="1B20E612">
                  <w:pPr>
                    <w:autoSpaceDN w:val="0"/>
                    <w:jc w:val="center"/>
                    <w:textAlignment w:val="center"/>
                    <w:rPr>
                      <w:rFonts w:hint="default"/>
                      <w:color w:val="auto"/>
                      <w:sz w:val="18"/>
                      <w:szCs w:val="18"/>
                      <w:lang w:val="en-US" w:eastAsia="zh-CN"/>
                    </w:rPr>
                  </w:pPr>
                  <w:r>
                    <w:rPr>
                      <w:rFonts w:hint="eastAsia"/>
                      <w:color w:val="auto"/>
                      <w:sz w:val="18"/>
                      <w:szCs w:val="18"/>
                      <w:lang w:val="en-US" w:eastAsia="zh-CN"/>
                    </w:rPr>
                    <w:t>氨水（10%）</w:t>
                  </w:r>
                </w:p>
              </w:tc>
              <w:tc>
                <w:tcPr>
                  <w:tcW w:w="627" w:type="pct"/>
                  <w:tcBorders>
                    <w:right w:val="single" w:color="auto" w:sz="4" w:space="0"/>
                    <w:tl2br w:val="nil"/>
                    <w:tr2bl w:val="nil"/>
                  </w:tcBorders>
                  <w:noWrap w:val="0"/>
                  <w:vAlign w:val="center"/>
                </w:tcPr>
                <w:p w14:paraId="1C9BCACF">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m</w:t>
                  </w:r>
                  <w:r>
                    <w:rPr>
                      <w:rFonts w:hint="eastAsia"/>
                      <w:color w:val="auto"/>
                      <w:sz w:val="18"/>
                      <w:szCs w:val="18"/>
                      <w:vertAlign w:val="superscript"/>
                      <w:lang w:val="en-US" w:eastAsia="zh-CN"/>
                    </w:rPr>
                    <w:t>3</w:t>
                  </w:r>
                </w:p>
              </w:tc>
              <w:tc>
                <w:tcPr>
                  <w:tcW w:w="620" w:type="pct"/>
                  <w:tcBorders>
                    <w:left w:val="single" w:color="auto" w:sz="4" w:space="0"/>
                    <w:right w:val="single" w:color="auto" w:sz="4" w:space="0"/>
                    <w:tl2br w:val="nil"/>
                    <w:tr2bl w:val="nil"/>
                  </w:tcBorders>
                  <w:noWrap w:val="0"/>
                  <w:vAlign w:val="center"/>
                </w:tcPr>
                <w:p w14:paraId="2A4DA75B">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氨水罐区</w:t>
                  </w:r>
                </w:p>
              </w:tc>
              <w:tc>
                <w:tcPr>
                  <w:tcW w:w="724" w:type="pct"/>
                  <w:tcBorders>
                    <w:left w:val="single" w:color="auto" w:sz="4" w:space="0"/>
                    <w:tl2br w:val="nil"/>
                    <w:tr2bl w:val="nil"/>
                  </w:tcBorders>
                  <w:noWrap w:val="0"/>
                  <w:vAlign w:val="center"/>
                </w:tcPr>
                <w:p w14:paraId="27AE5BBF">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45</w:t>
                  </w:r>
                </w:p>
              </w:tc>
              <w:tc>
                <w:tcPr>
                  <w:tcW w:w="776" w:type="pct"/>
                  <w:tcBorders>
                    <w:right w:val="single" w:color="auto" w:sz="4" w:space="0"/>
                    <w:tl2br w:val="nil"/>
                    <w:tr2bl w:val="nil"/>
                  </w:tcBorders>
                  <w:noWrap w:val="0"/>
                  <w:vAlign w:val="center"/>
                </w:tcPr>
                <w:p w14:paraId="2939B8C4">
                  <w:pPr>
                    <w:autoSpaceDN w:val="0"/>
                    <w:jc w:val="center"/>
                    <w:textAlignment w:val="center"/>
                    <w:rPr>
                      <w:rFonts w:hint="default"/>
                      <w:color w:val="auto"/>
                      <w:sz w:val="18"/>
                      <w:szCs w:val="18"/>
                      <w:lang w:val="en-US" w:eastAsia="zh-CN"/>
                    </w:rPr>
                  </w:pPr>
                  <w:r>
                    <w:rPr>
                      <w:rFonts w:hint="eastAsia"/>
                      <w:color w:val="auto"/>
                      <w:sz w:val="18"/>
                      <w:szCs w:val="18"/>
                      <w:lang w:val="en-US" w:eastAsia="zh-CN"/>
                    </w:rPr>
                    <w:t>45</w:t>
                  </w:r>
                </w:p>
              </w:tc>
              <w:tc>
                <w:tcPr>
                  <w:tcW w:w="836" w:type="pct"/>
                  <w:tcBorders>
                    <w:left w:val="single" w:color="auto" w:sz="4" w:space="0"/>
                    <w:tl2br w:val="nil"/>
                    <w:tr2bl w:val="nil"/>
                  </w:tcBorders>
                  <w:noWrap w:val="0"/>
                  <w:vAlign w:val="center"/>
                </w:tcPr>
                <w:p w14:paraId="598046BB">
                  <w:pPr>
                    <w:autoSpaceDN w:val="0"/>
                    <w:jc w:val="center"/>
                    <w:textAlignment w:val="center"/>
                    <w:rPr>
                      <w:rFonts w:hint="default"/>
                      <w:color w:val="auto"/>
                      <w:sz w:val="18"/>
                      <w:szCs w:val="18"/>
                      <w:lang w:val="en-US" w:eastAsia="zh-CN"/>
                    </w:rPr>
                  </w:pPr>
                  <w:r>
                    <w:rPr>
                      <w:rFonts w:hint="eastAsia"/>
                      <w:color w:val="auto"/>
                      <w:sz w:val="18"/>
                      <w:szCs w:val="18"/>
                      <w:lang w:val="en-US" w:eastAsia="zh-CN"/>
                    </w:rPr>
                    <w:t>+0</w:t>
                  </w:r>
                </w:p>
              </w:tc>
            </w:tr>
            <w:tr w14:paraId="36DBF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13D9DA5D">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11</w:t>
                  </w:r>
                </w:p>
              </w:tc>
              <w:tc>
                <w:tcPr>
                  <w:tcW w:w="1090" w:type="pct"/>
                  <w:gridSpan w:val="2"/>
                  <w:tcBorders>
                    <w:tl2br w:val="nil"/>
                    <w:tr2bl w:val="nil"/>
                  </w:tcBorders>
                  <w:noWrap w:val="0"/>
                  <w:vAlign w:val="center"/>
                </w:tcPr>
                <w:p w14:paraId="4EE5F728">
                  <w:pPr>
                    <w:autoSpaceDN w:val="0"/>
                    <w:jc w:val="center"/>
                    <w:textAlignment w:val="center"/>
                    <w:rPr>
                      <w:rFonts w:hint="default"/>
                      <w:color w:val="auto"/>
                      <w:sz w:val="18"/>
                      <w:szCs w:val="18"/>
                      <w:lang w:val="en-US" w:eastAsia="zh-CN"/>
                    </w:rPr>
                  </w:pPr>
                  <w:r>
                    <w:rPr>
                      <w:rFonts w:hint="eastAsia"/>
                      <w:color w:val="auto"/>
                      <w:sz w:val="18"/>
                      <w:szCs w:val="18"/>
                      <w:lang w:val="en-US" w:eastAsia="zh-CN"/>
                    </w:rPr>
                    <w:t>柴油</w:t>
                  </w:r>
                </w:p>
              </w:tc>
              <w:tc>
                <w:tcPr>
                  <w:tcW w:w="627" w:type="pct"/>
                  <w:tcBorders>
                    <w:right w:val="single" w:color="auto" w:sz="4" w:space="0"/>
                    <w:tl2br w:val="nil"/>
                    <w:tr2bl w:val="nil"/>
                  </w:tcBorders>
                  <w:noWrap w:val="0"/>
                  <w:vAlign w:val="center"/>
                </w:tcPr>
                <w:p w14:paraId="5F69A9B7">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吨</w:t>
                  </w:r>
                </w:p>
              </w:tc>
              <w:tc>
                <w:tcPr>
                  <w:tcW w:w="620" w:type="pct"/>
                  <w:tcBorders>
                    <w:left w:val="single" w:color="auto" w:sz="4" w:space="0"/>
                    <w:right w:val="single" w:color="auto" w:sz="4" w:space="0"/>
                    <w:tl2br w:val="nil"/>
                    <w:tr2bl w:val="nil"/>
                  </w:tcBorders>
                  <w:noWrap w:val="0"/>
                  <w:vAlign w:val="center"/>
                </w:tcPr>
                <w:p w14:paraId="240C7D6E">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柴油发电机房</w:t>
                  </w:r>
                </w:p>
              </w:tc>
              <w:tc>
                <w:tcPr>
                  <w:tcW w:w="724" w:type="pct"/>
                  <w:tcBorders>
                    <w:left w:val="single" w:color="auto" w:sz="4" w:space="0"/>
                    <w:tl2br w:val="nil"/>
                    <w:tr2bl w:val="nil"/>
                  </w:tcBorders>
                  <w:noWrap w:val="0"/>
                  <w:vAlign w:val="center"/>
                </w:tcPr>
                <w:p w14:paraId="62320ECE">
                  <w:pPr>
                    <w:autoSpaceDN w:val="0"/>
                    <w:adjustRightInd w:val="0"/>
                    <w:jc w:val="center"/>
                    <w:textAlignment w:val="center"/>
                    <w:rPr>
                      <w:rFonts w:hint="default" w:eastAsia="宋体"/>
                      <w:color w:val="auto"/>
                      <w:sz w:val="18"/>
                      <w:szCs w:val="18"/>
                      <w:lang w:val="en-US" w:eastAsia="zh-CN"/>
                    </w:rPr>
                  </w:pPr>
                  <w:r>
                    <w:rPr>
                      <w:rFonts w:hint="eastAsia"/>
                      <w:color w:val="auto"/>
                      <w:sz w:val="18"/>
                      <w:szCs w:val="18"/>
                      <w:lang w:val="en-US" w:eastAsia="zh-CN"/>
                    </w:rPr>
                    <w:t>0.3</w:t>
                  </w:r>
                </w:p>
              </w:tc>
              <w:tc>
                <w:tcPr>
                  <w:tcW w:w="776" w:type="pct"/>
                  <w:tcBorders>
                    <w:right w:val="single" w:color="auto" w:sz="4" w:space="0"/>
                    <w:tl2br w:val="nil"/>
                    <w:tr2bl w:val="nil"/>
                  </w:tcBorders>
                  <w:noWrap w:val="0"/>
                  <w:vAlign w:val="center"/>
                </w:tcPr>
                <w:p w14:paraId="58807BFD">
                  <w:pPr>
                    <w:autoSpaceDN w:val="0"/>
                    <w:jc w:val="center"/>
                    <w:textAlignment w:val="center"/>
                    <w:rPr>
                      <w:rFonts w:hint="default"/>
                      <w:color w:val="auto"/>
                      <w:sz w:val="18"/>
                      <w:szCs w:val="18"/>
                      <w:lang w:val="en-US" w:eastAsia="zh-CN"/>
                    </w:rPr>
                  </w:pPr>
                  <w:r>
                    <w:rPr>
                      <w:rFonts w:hint="eastAsia"/>
                      <w:color w:val="auto"/>
                      <w:sz w:val="18"/>
                      <w:szCs w:val="18"/>
                      <w:lang w:val="en-US" w:eastAsia="zh-CN"/>
                    </w:rPr>
                    <w:t>0.3</w:t>
                  </w:r>
                </w:p>
              </w:tc>
              <w:tc>
                <w:tcPr>
                  <w:tcW w:w="836" w:type="pct"/>
                  <w:tcBorders>
                    <w:left w:val="single" w:color="auto" w:sz="4" w:space="0"/>
                    <w:tl2br w:val="nil"/>
                    <w:tr2bl w:val="nil"/>
                  </w:tcBorders>
                  <w:noWrap w:val="0"/>
                  <w:vAlign w:val="center"/>
                </w:tcPr>
                <w:p w14:paraId="1D3454E6">
                  <w:pPr>
                    <w:autoSpaceDN w:val="0"/>
                    <w:jc w:val="center"/>
                    <w:textAlignment w:val="center"/>
                    <w:rPr>
                      <w:rFonts w:hint="default"/>
                      <w:color w:val="auto"/>
                      <w:sz w:val="18"/>
                      <w:szCs w:val="18"/>
                      <w:lang w:val="en-US" w:eastAsia="zh-CN"/>
                    </w:rPr>
                  </w:pPr>
                  <w:r>
                    <w:rPr>
                      <w:rFonts w:hint="eastAsia"/>
                      <w:color w:val="auto"/>
                      <w:sz w:val="18"/>
                      <w:szCs w:val="18"/>
                      <w:lang w:val="en-US" w:eastAsia="zh-CN"/>
                    </w:rPr>
                    <w:t>+0</w:t>
                  </w:r>
                </w:p>
              </w:tc>
            </w:tr>
            <w:tr w14:paraId="19681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3F4B0FBD">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12</w:t>
                  </w:r>
                </w:p>
              </w:tc>
              <w:tc>
                <w:tcPr>
                  <w:tcW w:w="1090" w:type="pct"/>
                  <w:gridSpan w:val="2"/>
                  <w:tcBorders>
                    <w:tl2br w:val="nil"/>
                    <w:tr2bl w:val="nil"/>
                  </w:tcBorders>
                  <w:noWrap w:val="0"/>
                  <w:vAlign w:val="center"/>
                </w:tcPr>
                <w:p w14:paraId="0105ACAF">
                  <w:pPr>
                    <w:autoSpaceDN w:val="0"/>
                    <w:jc w:val="center"/>
                    <w:textAlignment w:val="center"/>
                    <w:rPr>
                      <w:rFonts w:hint="default"/>
                      <w:color w:val="auto"/>
                      <w:sz w:val="18"/>
                      <w:szCs w:val="18"/>
                      <w:lang w:val="en-US" w:eastAsia="zh-CN"/>
                    </w:rPr>
                  </w:pPr>
                  <w:r>
                    <w:rPr>
                      <w:rFonts w:hint="eastAsia"/>
                      <w:color w:val="auto"/>
                      <w:sz w:val="18"/>
                      <w:szCs w:val="18"/>
                      <w:lang w:val="en-US" w:eastAsia="zh-CN"/>
                    </w:rPr>
                    <w:t>机油</w:t>
                  </w:r>
                </w:p>
              </w:tc>
              <w:tc>
                <w:tcPr>
                  <w:tcW w:w="627" w:type="pct"/>
                  <w:tcBorders>
                    <w:right w:val="single" w:color="auto" w:sz="4" w:space="0"/>
                    <w:tl2br w:val="nil"/>
                    <w:tr2bl w:val="nil"/>
                  </w:tcBorders>
                  <w:noWrap w:val="0"/>
                  <w:vAlign w:val="center"/>
                </w:tcPr>
                <w:p w14:paraId="084369E1">
                  <w:pPr>
                    <w:autoSpaceDN w:val="0"/>
                    <w:adjustRightInd w:val="0"/>
                    <w:jc w:val="center"/>
                    <w:textAlignment w:val="center"/>
                    <w:rPr>
                      <w:rFonts w:hint="eastAsia"/>
                      <w:color w:val="auto"/>
                      <w:sz w:val="18"/>
                      <w:szCs w:val="18"/>
                      <w:lang w:val="en-US" w:eastAsia="zh-CN"/>
                    </w:rPr>
                  </w:pPr>
                  <w:r>
                    <w:rPr>
                      <w:rFonts w:hint="eastAsia"/>
                      <w:color w:val="auto"/>
                      <w:sz w:val="18"/>
                      <w:szCs w:val="18"/>
                      <w:lang w:val="en-US" w:eastAsia="zh-CN"/>
                    </w:rPr>
                    <w:t>吨</w:t>
                  </w:r>
                </w:p>
              </w:tc>
              <w:tc>
                <w:tcPr>
                  <w:tcW w:w="620" w:type="pct"/>
                  <w:tcBorders>
                    <w:left w:val="single" w:color="auto" w:sz="4" w:space="0"/>
                    <w:right w:val="single" w:color="auto" w:sz="4" w:space="0"/>
                    <w:tl2br w:val="nil"/>
                    <w:tr2bl w:val="nil"/>
                  </w:tcBorders>
                  <w:noWrap w:val="0"/>
                  <w:vAlign w:val="center"/>
                </w:tcPr>
                <w:p w14:paraId="74CDB306">
                  <w:pPr>
                    <w:autoSpaceDN w:val="0"/>
                    <w:adjustRightInd w:val="0"/>
                    <w:jc w:val="center"/>
                    <w:textAlignment w:val="center"/>
                    <w:rPr>
                      <w:rFonts w:hint="eastAsia"/>
                      <w:color w:val="auto"/>
                      <w:sz w:val="18"/>
                      <w:szCs w:val="18"/>
                      <w:lang w:val="en-US" w:eastAsia="zh-CN"/>
                    </w:rPr>
                  </w:pPr>
                  <w:r>
                    <w:rPr>
                      <w:rFonts w:hint="eastAsia"/>
                      <w:color w:val="auto"/>
                      <w:sz w:val="18"/>
                      <w:szCs w:val="18"/>
                      <w:lang w:val="en-US" w:eastAsia="zh-CN"/>
                    </w:rPr>
                    <w:t>原料库</w:t>
                  </w:r>
                </w:p>
              </w:tc>
              <w:tc>
                <w:tcPr>
                  <w:tcW w:w="724" w:type="pct"/>
                  <w:tcBorders>
                    <w:left w:val="single" w:color="auto" w:sz="4" w:space="0"/>
                    <w:tl2br w:val="nil"/>
                    <w:tr2bl w:val="nil"/>
                  </w:tcBorders>
                  <w:noWrap w:val="0"/>
                  <w:vAlign w:val="center"/>
                </w:tcPr>
                <w:p w14:paraId="4CC52B29">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1</w:t>
                  </w:r>
                </w:p>
              </w:tc>
              <w:tc>
                <w:tcPr>
                  <w:tcW w:w="776" w:type="pct"/>
                  <w:tcBorders>
                    <w:right w:val="single" w:color="auto" w:sz="4" w:space="0"/>
                    <w:tl2br w:val="nil"/>
                    <w:tr2bl w:val="nil"/>
                  </w:tcBorders>
                  <w:noWrap w:val="0"/>
                  <w:vAlign w:val="center"/>
                </w:tcPr>
                <w:p w14:paraId="323E8448">
                  <w:pPr>
                    <w:autoSpaceDN w:val="0"/>
                    <w:jc w:val="center"/>
                    <w:textAlignment w:val="center"/>
                    <w:rPr>
                      <w:rFonts w:hint="default"/>
                      <w:color w:val="auto"/>
                      <w:sz w:val="18"/>
                      <w:szCs w:val="18"/>
                      <w:lang w:val="en-US" w:eastAsia="zh-CN"/>
                    </w:rPr>
                  </w:pPr>
                  <w:r>
                    <w:rPr>
                      <w:rFonts w:hint="eastAsia"/>
                      <w:color w:val="auto"/>
                      <w:sz w:val="18"/>
                      <w:szCs w:val="18"/>
                      <w:lang w:val="en-US" w:eastAsia="zh-CN"/>
                    </w:rPr>
                    <w:t>1</w:t>
                  </w:r>
                </w:p>
              </w:tc>
              <w:tc>
                <w:tcPr>
                  <w:tcW w:w="836" w:type="pct"/>
                  <w:tcBorders>
                    <w:left w:val="single" w:color="auto" w:sz="4" w:space="0"/>
                    <w:tl2br w:val="nil"/>
                    <w:tr2bl w:val="nil"/>
                  </w:tcBorders>
                  <w:noWrap w:val="0"/>
                  <w:vAlign w:val="center"/>
                </w:tcPr>
                <w:p w14:paraId="3F86E0C1">
                  <w:pPr>
                    <w:autoSpaceDN w:val="0"/>
                    <w:jc w:val="center"/>
                    <w:textAlignment w:val="center"/>
                    <w:rPr>
                      <w:rFonts w:hint="default"/>
                      <w:color w:val="auto"/>
                      <w:sz w:val="18"/>
                      <w:szCs w:val="18"/>
                      <w:lang w:val="en-US" w:eastAsia="zh-CN"/>
                    </w:rPr>
                  </w:pPr>
                  <w:r>
                    <w:rPr>
                      <w:rFonts w:hint="eastAsia"/>
                      <w:color w:val="auto"/>
                      <w:sz w:val="18"/>
                      <w:szCs w:val="18"/>
                      <w:lang w:val="en-US" w:eastAsia="zh-CN"/>
                    </w:rPr>
                    <w:t>+0</w:t>
                  </w:r>
                </w:p>
              </w:tc>
            </w:tr>
            <w:tr w14:paraId="0697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322" w:type="pct"/>
                  <w:tcBorders>
                    <w:tl2br w:val="nil"/>
                    <w:tr2bl w:val="nil"/>
                  </w:tcBorders>
                  <w:noWrap w:val="0"/>
                  <w:vAlign w:val="center"/>
                </w:tcPr>
                <w:p w14:paraId="1241C903">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13</w:t>
                  </w:r>
                </w:p>
              </w:tc>
              <w:tc>
                <w:tcPr>
                  <w:tcW w:w="1090" w:type="pct"/>
                  <w:gridSpan w:val="2"/>
                  <w:tcBorders>
                    <w:tl2br w:val="nil"/>
                    <w:tr2bl w:val="nil"/>
                  </w:tcBorders>
                  <w:noWrap w:val="0"/>
                  <w:vAlign w:val="center"/>
                </w:tcPr>
                <w:p w14:paraId="4A8D8F01">
                  <w:pPr>
                    <w:autoSpaceDN w:val="0"/>
                    <w:jc w:val="center"/>
                    <w:textAlignment w:val="center"/>
                    <w:rPr>
                      <w:rFonts w:hint="default"/>
                      <w:color w:val="auto"/>
                      <w:sz w:val="18"/>
                      <w:szCs w:val="18"/>
                      <w:lang w:val="en-US" w:eastAsia="zh-CN"/>
                    </w:rPr>
                  </w:pPr>
                  <w:r>
                    <w:rPr>
                      <w:rFonts w:hint="eastAsia"/>
                      <w:color w:val="auto"/>
                      <w:sz w:val="18"/>
                      <w:szCs w:val="18"/>
                      <w:lang w:val="en-US" w:eastAsia="zh-CN"/>
                    </w:rPr>
                    <w:t>氢氧化钙</w:t>
                  </w:r>
                </w:p>
              </w:tc>
              <w:tc>
                <w:tcPr>
                  <w:tcW w:w="627" w:type="pct"/>
                  <w:tcBorders>
                    <w:right w:val="single" w:color="auto" w:sz="4" w:space="0"/>
                    <w:tl2br w:val="nil"/>
                    <w:tr2bl w:val="nil"/>
                  </w:tcBorders>
                  <w:noWrap w:val="0"/>
                  <w:vAlign w:val="center"/>
                </w:tcPr>
                <w:p w14:paraId="4479F534">
                  <w:pPr>
                    <w:autoSpaceDN w:val="0"/>
                    <w:adjustRightInd w:val="0"/>
                    <w:jc w:val="center"/>
                    <w:textAlignment w:val="center"/>
                    <w:rPr>
                      <w:rFonts w:hint="eastAsia"/>
                      <w:color w:val="auto"/>
                      <w:sz w:val="18"/>
                      <w:szCs w:val="18"/>
                      <w:lang w:val="en-US" w:eastAsia="zh-CN"/>
                    </w:rPr>
                  </w:pPr>
                  <w:r>
                    <w:rPr>
                      <w:rFonts w:hint="eastAsia"/>
                      <w:color w:val="auto"/>
                      <w:sz w:val="18"/>
                      <w:szCs w:val="18"/>
                      <w:lang w:val="en-US" w:eastAsia="zh-CN"/>
                    </w:rPr>
                    <w:t>吨</w:t>
                  </w:r>
                </w:p>
              </w:tc>
              <w:tc>
                <w:tcPr>
                  <w:tcW w:w="620" w:type="pct"/>
                  <w:tcBorders>
                    <w:left w:val="single" w:color="auto" w:sz="4" w:space="0"/>
                    <w:right w:val="single" w:color="auto" w:sz="4" w:space="0"/>
                    <w:tl2br w:val="nil"/>
                    <w:tr2bl w:val="nil"/>
                  </w:tcBorders>
                  <w:noWrap w:val="0"/>
                  <w:vAlign w:val="center"/>
                </w:tcPr>
                <w:p w14:paraId="24022E21">
                  <w:pPr>
                    <w:autoSpaceDN w:val="0"/>
                    <w:adjustRightInd w:val="0"/>
                    <w:jc w:val="center"/>
                    <w:textAlignment w:val="center"/>
                    <w:rPr>
                      <w:rFonts w:hint="eastAsia"/>
                      <w:color w:val="auto"/>
                      <w:sz w:val="18"/>
                      <w:szCs w:val="18"/>
                      <w:lang w:val="en-US" w:eastAsia="zh-CN"/>
                    </w:rPr>
                  </w:pPr>
                  <w:r>
                    <w:rPr>
                      <w:rFonts w:hint="eastAsia"/>
                      <w:color w:val="auto"/>
                      <w:sz w:val="18"/>
                      <w:szCs w:val="18"/>
                      <w:lang w:val="en-US" w:eastAsia="zh-CN"/>
                    </w:rPr>
                    <w:t>原料库</w:t>
                  </w:r>
                </w:p>
              </w:tc>
              <w:tc>
                <w:tcPr>
                  <w:tcW w:w="724" w:type="pct"/>
                  <w:tcBorders>
                    <w:left w:val="single" w:color="auto" w:sz="4" w:space="0"/>
                    <w:tl2br w:val="nil"/>
                    <w:tr2bl w:val="nil"/>
                  </w:tcBorders>
                  <w:noWrap w:val="0"/>
                  <w:vAlign w:val="center"/>
                </w:tcPr>
                <w:p w14:paraId="5B548F57">
                  <w:pPr>
                    <w:autoSpaceDN w:val="0"/>
                    <w:adjustRightInd w:val="0"/>
                    <w:jc w:val="center"/>
                    <w:textAlignment w:val="center"/>
                    <w:rPr>
                      <w:rFonts w:hint="default"/>
                      <w:color w:val="auto"/>
                      <w:sz w:val="18"/>
                      <w:szCs w:val="18"/>
                      <w:lang w:val="en-US" w:eastAsia="zh-CN"/>
                    </w:rPr>
                  </w:pPr>
                  <w:r>
                    <w:rPr>
                      <w:rFonts w:hint="eastAsia"/>
                      <w:color w:val="auto"/>
                      <w:sz w:val="18"/>
                      <w:szCs w:val="18"/>
                      <w:lang w:val="en-US" w:eastAsia="zh-CN"/>
                    </w:rPr>
                    <w:t>0</w:t>
                  </w:r>
                </w:p>
              </w:tc>
              <w:tc>
                <w:tcPr>
                  <w:tcW w:w="776" w:type="pct"/>
                  <w:tcBorders>
                    <w:right w:val="single" w:color="auto" w:sz="4" w:space="0"/>
                    <w:tl2br w:val="nil"/>
                    <w:tr2bl w:val="nil"/>
                  </w:tcBorders>
                  <w:noWrap w:val="0"/>
                  <w:vAlign w:val="center"/>
                </w:tcPr>
                <w:p w14:paraId="2410BF32">
                  <w:pPr>
                    <w:autoSpaceDN w:val="0"/>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836" w:type="pct"/>
                  <w:tcBorders>
                    <w:left w:val="single" w:color="auto" w:sz="4" w:space="0"/>
                    <w:tl2br w:val="nil"/>
                    <w:tr2bl w:val="nil"/>
                  </w:tcBorders>
                  <w:noWrap w:val="0"/>
                  <w:vAlign w:val="center"/>
                </w:tcPr>
                <w:p w14:paraId="369CA64E">
                  <w:pPr>
                    <w:autoSpaceDN w:val="0"/>
                    <w:jc w:val="center"/>
                    <w:textAlignment w:val="center"/>
                    <w:rPr>
                      <w:rFonts w:hint="default"/>
                      <w:color w:val="auto"/>
                      <w:sz w:val="18"/>
                      <w:szCs w:val="18"/>
                      <w:lang w:val="en-US" w:eastAsia="zh-CN"/>
                    </w:rPr>
                  </w:pPr>
                  <w:r>
                    <w:rPr>
                      <w:rFonts w:hint="eastAsia"/>
                      <w:color w:val="auto"/>
                      <w:sz w:val="18"/>
                      <w:szCs w:val="18"/>
                      <w:lang w:val="en-US" w:eastAsia="zh-CN"/>
                    </w:rPr>
                    <w:t>+100</w:t>
                  </w:r>
                </w:p>
              </w:tc>
            </w:tr>
            <w:tr w14:paraId="1B997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5000" w:type="pct"/>
                  <w:gridSpan w:val="8"/>
                  <w:tcBorders>
                    <w:tl2br w:val="nil"/>
                    <w:tr2bl w:val="nil"/>
                  </w:tcBorders>
                  <w:noWrap w:val="0"/>
                  <w:vAlign w:val="center"/>
                </w:tcPr>
                <w:p w14:paraId="0C50F6B3">
                  <w:pPr>
                    <w:rPr>
                      <w:rFonts w:hint="default"/>
                      <w:color w:val="auto"/>
                      <w:sz w:val="18"/>
                      <w:szCs w:val="18"/>
                      <w:lang w:val="en-US" w:eastAsia="zh-CN"/>
                    </w:rPr>
                  </w:pPr>
                  <w:r>
                    <w:rPr>
                      <w:color w:val="auto"/>
                      <w:sz w:val="18"/>
                      <w:szCs w:val="18"/>
                    </w:rPr>
                    <w:t>辅料</w:t>
                  </w:r>
                  <w:r>
                    <w:rPr>
                      <w:rFonts w:hint="eastAsia"/>
                      <w:color w:val="auto"/>
                      <w:sz w:val="18"/>
                      <w:szCs w:val="18"/>
                      <w:lang w:eastAsia="zh-CN"/>
                    </w:rPr>
                    <w:t>：</w:t>
                  </w:r>
                  <w:r>
                    <w:rPr>
                      <w:rFonts w:hint="eastAsia"/>
                      <w:color w:val="auto"/>
                      <w:sz w:val="18"/>
                      <w:szCs w:val="18"/>
                      <w:lang w:val="en-US" w:eastAsia="zh-CN"/>
                    </w:rPr>
                    <w:t>生产过程产生碎玻璃2850吨/年回用于生产工序，掺入均化完成原料中进行使用。</w:t>
                  </w:r>
                </w:p>
                <w:p w14:paraId="295E5AD8">
                  <w:pPr>
                    <w:autoSpaceDN w:val="0"/>
                    <w:jc w:val="both"/>
                    <w:textAlignment w:val="center"/>
                    <w:rPr>
                      <w:rFonts w:hint="default" w:eastAsia="宋体"/>
                      <w:color w:val="auto"/>
                      <w:sz w:val="18"/>
                      <w:szCs w:val="18"/>
                      <w:lang w:val="en-US" w:eastAsia="zh-CN"/>
                    </w:rPr>
                  </w:pPr>
                  <w:r>
                    <w:rPr>
                      <w:rFonts w:hint="eastAsia" w:eastAsia="宋体"/>
                      <w:color w:val="auto"/>
                      <w:sz w:val="18"/>
                      <w:szCs w:val="18"/>
                      <w:lang w:val="en-US" w:eastAsia="zh-CN"/>
                    </w:rPr>
                    <w:t>现有纯氧用于抛光、烧口氧化剂，后续使用制氧机制氧进行替代，其他涉及燃烧工序使用空气。厂区暂存液氧备用。柴油作为柴油发电机组燃料油，备用。氢氧化钙用于熔窑烟气除湿，除湿后回收作为原料使用。</w:t>
                  </w:r>
                </w:p>
              </w:tc>
            </w:tr>
          </w:tbl>
          <w:p w14:paraId="67BEE614">
            <w:pPr>
              <w:adjustRightInd w:val="0"/>
              <w:snapToGrid w:val="0"/>
              <w:spacing w:line="360" w:lineRule="auto"/>
              <w:ind w:firstLine="422" w:firstLineChars="200"/>
              <w:jc w:val="left"/>
              <w:rPr>
                <w:rFonts w:hint="eastAsia" w:ascii="宋体" w:hAnsi="宋体" w:eastAsia="宋体" w:cs="宋体"/>
                <w:b/>
                <w:bCs/>
                <w:color w:val="auto"/>
                <w:sz w:val="21"/>
                <w:szCs w:val="21"/>
                <w:lang w:val="en-US" w:eastAsia="zh-CN"/>
              </w:rPr>
            </w:pPr>
            <w:r>
              <w:rPr>
                <w:rFonts w:ascii="宋体" w:hAnsi="宋体" w:eastAsia="宋体" w:cs="宋体"/>
                <w:b/>
                <w:bCs/>
                <w:color w:val="auto"/>
                <w:sz w:val="21"/>
                <w:szCs w:val="21"/>
              </w:rPr>
              <w:t>主要原辅材料功能或理化性质</w:t>
            </w:r>
            <w:r>
              <w:rPr>
                <w:rFonts w:hint="eastAsia" w:ascii="宋体" w:hAnsi="宋体" w:eastAsia="宋体" w:cs="宋体"/>
                <w:b/>
                <w:bCs/>
                <w:color w:val="auto"/>
                <w:sz w:val="21"/>
                <w:szCs w:val="21"/>
                <w:lang w:val="en-US" w:eastAsia="zh-CN"/>
              </w:rPr>
              <w:t>如下</w:t>
            </w:r>
          </w:p>
          <w:p w14:paraId="12B62B62">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sz w:val="21"/>
                <w:szCs w:val="21"/>
              </w:rPr>
              <w:t>石英砂：是一种坚硬、耐磨、化学性能稳定的矿物，其主要矿物成分是石英，其主要化学成分是</w:t>
            </w:r>
            <w:r>
              <w:rPr>
                <w:rFonts w:hint="default" w:ascii="Times New Roman" w:hAnsi="Times New Roman" w:eastAsia="TimesNewRomanPSMT" w:cs="Times New Roman"/>
                <w:b w:val="0"/>
                <w:bCs w:val="0"/>
                <w:color w:val="auto"/>
                <w:sz w:val="21"/>
                <w:szCs w:val="21"/>
              </w:rPr>
              <w:t>SiO</w:t>
            </w:r>
            <w:r>
              <w:rPr>
                <w:rFonts w:hint="default" w:ascii="Times New Roman" w:hAnsi="Times New Roman" w:eastAsia="TimesNewRomanPSMT"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，石英砂的颜色为乳白色、或无色半透明状，硬度</w:t>
            </w:r>
            <w:r>
              <w:rPr>
                <w:rFonts w:hint="default" w:ascii="Times New Roman" w:hAnsi="Times New Roman" w:eastAsia="TimesNewRomanPSMT" w:cs="Times New Roman"/>
                <w:b w:val="0"/>
                <w:bCs w:val="0"/>
                <w:color w:val="auto"/>
                <w:sz w:val="21"/>
                <w:szCs w:val="21"/>
              </w:rPr>
              <w:t>7</w:t>
            </w:r>
            <w:r>
              <w:rPr>
                <w:rFonts w:hint="default" w:ascii="Times New Roman" w:hAnsi="Times New Roman" w:eastAsia="宋体" w:cs="Times New Roman"/>
                <w:b w:val="0"/>
                <w:bCs w:val="0"/>
                <w:color w:val="auto"/>
                <w:sz w:val="21"/>
                <w:szCs w:val="21"/>
              </w:rPr>
              <w:t>，性脆无解理，贝壳状断口，油脂光泽，密度为</w:t>
            </w:r>
            <w:r>
              <w:rPr>
                <w:rFonts w:hint="default" w:ascii="Times New Roman" w:hAnsi="Times New Roman" w:eastAsia="TimesNewRomanPSMT" w:cs="Times New Roman"/>
                <w:b w:val="0"/>
                <w:bCs w:val="0"/>
                <w:color w:val="auto"/>
                <w:sz w:val="21"/>
                <w:szCs w:val="21"/>
              </w:rPr>
              <w:t>2.65</w:t>
            </w:r>
            <w:r>
              <w:rPr>
                <w:rFonts w:hint="default" w:ascii="Times New Roman" w:hAnsi="Times New Roman" w:eastAsia="宋体" w:cs="Times New Roman"/>
                <w:b w:val="0"/>
                <w:bCs w:val="0"/>
                <w:color w:val="auto"/>
                <w:sz w:val="21"/>
                <w:szCs w:val="21"/>
              </w:rPr>
              <w:t>，堆积密度（</w:t>
            </w:r>
            <w:r>
              <w:rPr>
                <w:rFonts w:hint="default" w:ascii="Times New Roman" w:hAnsi="Times New Roman" w:eastAsia="TimesNewRomanPSMT" w:cs="Times New Roman"/>
                <w:b w:val="0"/>
                <w:bCs w:val="0"/>
                <w:color w:val="auto"/>
                <w:sz w:val="21"/>
                <w:szCs w:val="21"/>
              </w:rPr>
              <w:t>20-200</w:t>
            </w:r>
            <w:r>
              <w:rPr>
                <w:rFonts w:hint="default" w:ascii="Times New Roman" w:hAnsi="Times New Roman" w:eastAsia="宋体" w:cs="Times New Roman"/>
                <w:b w:val="0"/>
                <w:bCs w:val="0"/>
                <w:color w:val="auto"/>
                <w:sz w:val="21"/>
                <w:szCs w:val="21"/>
              </w:rPr>
              <w:t>目为</w:t>
            </w:r>
            <w:r>
              <w:rPr>
                <w:rFonts w:hint="default" w:ascii="Times New Roman" w:hAnsi="Times New Roman" w:eastAsia="TimesNewRomanPSMT" w:cs="Times New Roman"/>
                <w:b w:val="0"/>
                <w:bCs w:val="0"/>
                <w:color w:val="auto"/>
                <w:sz w:val="21"/>
                <w:szCs w:val="21"/>
              </w:rPr>
              <w:t>1.5</w:t>
            </w:r>
            <w:r>
              <w:rPr>
                <w:rFonts w:hint="default" w:ascii="Times New Roman" w:hAnsi="Times New Roman" w:eastAsia="宋体" w:cs="Times New Roman"/>
                <w:b w:val="0"/>
                <w:bCs w:val="0"/>
                <w:color w:val="auto"/>
                <w:sz w:val="21"/>
                <w:szCs w:val="21"/>
              </w:rPr>
              <w:t>），其化学、热学和机械性能具有明显的异向性，不溶于酸，在</w:t>
            </w:r>
            <w:r>
              <w:rPr>
                <w:rFonts w:hint="default" w:ascii="Times New Roman" w:hAnsi="Times New Roman" w:eastAsia="TimesNewRomanPSMT" w:cs="Times New Roman"/>
                <w:b w:val="0"/>
                <w:bCs w:val="0"/>
                <w:color w:val="auto"/>
                <w:sz w:val="21"/>
                <w:szCs w:val="21"/>
              </w:rPr>
              <w:t>160</w:t>
            </w:r>
            <w:r>
              <w:rPr>
                <w:rFonts w:hint="default" w:ascii="Times New Roman" w:hAnsi="Times New Roman" w:eastAsia="宋体" w:cs="Times New Roman"/>
                <w:b w:val="0"/>
                <w:bCs w:val="0"/>
                <w:color w:val="auto"/>
                <w:sz w:val="21"/>
                <w:szCs w:val="21"/>
              </w:rPr>
              <w:t>℃以上时溶于</w:t>
            </w:r>
            <w:r>
              <w:rPr>
                <w:rFonts w:hint="default" w:ascii="Times New Roman" w:hAnsi="Times New Roman" w:eastAsia="TimesNewRomanPSMT" w:cs="Times New Roman"/>
                <w:b w:val="0"/>
                <w:bCs w:val="0"/>
                <w:color w:val="auto"/>
                <w:sz w:val="21"/>
                <w:szCs w:val="21"/>
              </w:rPr>
              <w:t>NaOH</w:t>
            </w:r>
            <w:r>
              <w:rPr>
                <w:rFonts w:hint="default" w:ascii="Times New Roman" w:hAnsi="Times New Roman" w:eastAsia="宋体" w:cs="Times New Roman"/>
                <w:b w:val="0"/>
                <w:bCs w:val="0"/>
                <w:color w:val="auto"/>
                <w:sz w:val="21"/>
                <w:szCs w:val="21"/>
              </w:rPr>
              <w:t>、</w:t>
            </w:r>
            <w:r>
              <w:rPr>
                <w:rFonts w:hint="default" w:ascii="Times New Roman" w:hAnsi="Times New Roman" w:eastAsia="TimesNewRomanPSMT" w:cs="Times New Roman"/>
                <w:b w:val="0"/>
                <w:bCs w:val="0"/>
                <w:color w:val="auto"/>
                <w:sz w:val="21"/>
                <w:szCs w:val="21"/>
              </w:rPr>
              <w:t>KOH</w:t>
            </w:r>
            <w:r>
              <w:rPr>
                <w:rFonts w:hint="default" w:ascii="Times New Roman" w:hAnsi="Times New Roman" w:eastAsia="宋体" w:cs="Times New Roman"/>
                <w:b w:val="0"/>
                <w:bCs w:val="0"/>
                <w:color w:val="auto"/>
                <w:sz w:val="21"/>
                <w:szCs w:val="21"/>
              </w:rPr>
              <w:t>水溶液，熔点</w:t>
            </w:r>
            <w:r>
              <w:rPr>
                <w:rFonts w:hint="default" w:ascii="Times New Roman" w:hAnsi="Times New Roman" w:eastAsia="TimesNewRomanPSMT" w:cs="Times New Roman"/>
                <w:b w:val="0"/>
                <w:bCs w:val="0"/>
                <w:color w:val="auto"/>
                <w:sz w:val="21"/>
                <w:szCs w:val="21"/>
              </w:rPr>
              <w:t>1650</w:t>
            </w:r>
            <w:r>
              <w:rPr>
                <w:rFonts w:hint="default" w:ascii="Times New Roman" w:hAnsi="Times New Roman" w:eastAsia="宋体" w:cs="Times New Roman"/>
                <w:b w:val="0"/>
                <w:bCs w:val="0"/>
                <w:color w:val="auto"/>
                <w:sz w:val="21"/>
                <w:szCs w:val="21"/>
              </w:rPr>
              <w:t>℃。从矿山开采出的石英石经加工后，一般粒度在</w:t>
            </w:r>
            <w:r>
              <w:rPr>
                <w:rFonts w:hint="default" w:ascii="Times New Roman" w:hAnsi="Times New Roman" w:eastAsia="TimesNewRomanPSMT" w:cs="Times New Roman"/>
                <w:b w:val="0"/>
                <w:bCs w:val="0"/>
                <w:color w:val="auto"/>
                <w:sz w:val="21"/>
                <w:szCs w:val="21"/>
              </w:rPr>
              <w:t>120</w:t>
            </w:r>
            <w:r>
              <w:rPr>
                <w:rFonts w:hint="default" w:ascii="Times New Roman" w:hAnsi="Times New Roman" w:eastAsia="宋体" w:cs="Times New Roman"/>
                <w:b w:val="0"/>
                <w:bCs w:val="0"/>
                <w:color w:val="auto"/>
                <w:sz w:val="21"/>
                <w:szCs w:val="21"/>
              </w:rPr>
              <w:t>目筛上的产品称石英砂。过</w:t>
            </w:r>
            <w:r>
              <w:rPr>
                <w:rFonts w:hint="default" w:ascii="Times New Roman" w:hAnsi="Times New Roman" w:eastAsia="TimesNewRomanPSMT" w:cs="Times New Roman"/>
                <w:b w:val="0"/>
                <w:bCs w:val="0"/>
                <w:color w:val="auto"/>
                <w:sz w:val="21"/>
                <w:szCs w:val="21"/>
              </w:rPr>
              <w:t>120</w:t>
            </w:r>
            <w:r>
              <w:rPr>
                <w:rFonts w:hint="default" w:ascii="Times New Roman" w:hAnsi="Times New Roman" w:eastAsia="宋体" w:cs="Times New Roman"/>
                <w:b w:val="0"/>
                <w:bCs w:val="0"/>
                <w:color w:val="auto"/>
                <w:sz w:val="21"/>
                <w:szCs w:val="21"/>
              </w:rPr>
              <w:t>目筛的产品称为石英粉。主要用途：滤料，高级玻璃，玻璃制品，耐火材料，熔炼石类，精密铸造，喷砂，轮磨材等。</w:t>
            </w:r>
          </w:p>
          <w:p w14:paraId="0E4C7340">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sz w:val="21"/>
                <w:szCs w:val="21"/>
                <w:lang w:val="en-US" w:eastAsia="zh-CN"/>
              </w:rPr>
              <w:t>纯碱：化学式为Na</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，分子量105.99，性状</w:t>
            </w:r>
            <w:r>
              <w:rPr>
                <w:rFonts w:hint="default"/>
                <w:color w:val="auto"/>
                <w:lang w:val="en-US" w:eastAsia="zh-CN"/>
              </w:rPr>
              <w:t>常温下为白色无气味的粉末或颗粒</w:t>
            </w:r>
            <w:r>
              <w:rPr>
                <w:rFonts w:hint="eastAsia"/>
                <w:color w:val="auto"/>
                <w:lang w:val="en-US" w:eastAsia="zh-CN"/>
              </w:rPr>
              <w:t>，</w:t>
            </w:r>
            <w:r>
              <w:rPr>
                <w:rFonts w:hint="default" w:ascii="Times New Roman" w:hAnsi="Times New Roman" w:eastAsia="宋体" w:cs="Times New Roman"/>
                <w:b w:val="0"/>
                <w:bCs w:val="0"/>
                <w:color w:val="auto"/>
                <w:sz w:val="21"/>
                <w:szCs w:val="21"/>
                <w:lang w:val="en-US" w:eastAsia="zh-CN"/>
              </w:rPr>
              <w:t>密度2.54g/cm</w:t>
            </w:r>
            <w:r>
              <w:rPr>
                <w:rFonts w:hint="default"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lang w:val="en-US" w:eastAsia="zh-CN"/>
              </w:rPr>
              <w:t>熔点856ºC</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溶解性</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易溶于水，还溶于甘油，20℃时每一百克水能溶解20克碳酸钠，35.4℃时溶解度最大，100克水中可溶解49.7克碳酸钠，微溶于无水乙醇，难溶于丙醇</w:t>
            </w:r>
            <w:r>
              <w:rPr>
                <w:rFonts w:hint="eastAsia" w:ascii="Times New Roman" w:hAnsi="Times New Roman" w:eastAsia="宋体" w:cs="Times New Roman"/>
                <w:b w:val="0"/>
                <w:bCs w:val="0"/>
                <w:color w:val="auto"/>
                <w:sz w:val="21"/>
                <w:szCs w:val="21"/>
                <w:lang w:val="en-US" w:eastAsia="zh-CN"/>
              </w:rPr>
              <w:t>，p</w:t>
            </w:r>
            <w:r>
              <w:rPr>
                <w:rFonts w:hint="default" w:ascii="Times New Roman" w:hAnsi="Times New Roman" w:eastAsia="宋体" w:cs="Times New Roman"/>
                <w:b w:val="0"/>
                <w:bCs w:val="0"/>
                <w:color w:val="auto"/>
                <w:sz w:val="21"/>
                <w:szCs w:val="21"/>
                <w:lang w:val="en-US" w:eastAsia="zh-CN"/>
              </w:rPr>
              <w:t>H</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1%水溶液为11.5</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水溶液在水溶液或熔融状态下能导电，并且水溶液有涩味和滑腻感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吸水性</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有吸水性，露置空气中逐渐吸收1mol/L水分（约=15%）</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水合物</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Na</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w:t>
            </w:r>
            <w:r>
              <w:rPr>
                <w:rFonts w:hint="default" w:ascii="Times New Roman" w:hAnsi="Times New Roman" w:eastAsia="宋体" w:cs="Times New Roman"/>
                <w:b w:val="0"/>
                <w:bCs w:val="0"/>
                <w:color w:val="auto"/>
                <w:sz w:val="21"/>
                <w:szCs w:val="21"/>
              </w:rPr>
              <w:t>。</w:t>
            </w:r>
          </w:p>
          <w:p w14:paraId="31CA025A">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（3）</w:t>
            </w:r>
            <w:r>
              <w:rPr>
                <w:rFonts w:hint="eastAsia" w:ascii="Times New Roman" w:hAnsi="Times New Roman" w:eastAsia="宋体" w:cs="Times New Roman"/>
                <w:b w:val="0"/>
                <w:bCs w:val="0"/>
                <w:color w:val="auto"/>
                <w:sz w:val="21"/>
                <w:szCs w:val="21"/>
                <w:lang w:val="en-US" w:eastAsia="zh-CN"/>
              </w:rPr>
              <w:t>长石：一种含有钙、钠、钾的铝硅酸盐矿物。长石的硬度波动于6-6.5，比重波动于2.55-2.75，相对密度2.55-2.75kg/m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，长石是钾、钠、钙及钡等碱金属和碱土金属的铝硅酸岩矿物，其主要化学成分为SiO</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、Al</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O</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、K</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O、Fe</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O</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、Na</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O、CaO，是重要的造岩矿物。主要用于制造陶瓷、搪瓷、玻璃原料、磨粒磨具等，此外还可以制造钾肥。</w:t>
            </w:r>
          </w:p>
          <w:p w14:paraId="628434CA">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（4）</w:t>
            </w:r>
            <w:r>
              <w:rPr>
                <w:rFonts w:hint="eastAsia" w:ascii="Times New Roman" w:hAnsi="Times New Roman" w:eastAsia="宋体" w:cs="Times New Roman"/>
                <w:b w:val="0"/>
                <w:bCs w:val="0"/>
                <w:color w:val="auto"/>
                <w:sz w:val="21"/>
                <w:szCs w:val="21"/>
                <w:lang w:val="en-US" w:eastAsia="zh-CN"/>
              </w:rPr>
              <w:t>硝酸钠：化学式为NaNO</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，熔点：306.8℃，沸点：380℃（分解），密度：2.26g/cm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lang w:val="en-US" w:eastAsia="zh-CN"/>
              </w:rPr>
              <w:t>外观：白色至黄色结晶性粉末，溶解性：易溶于水、甘油、液氨，微溶于乙醇，不溶于丙酮。为吸湿性无色透明三角系晶体。加热至380℃时分解。极易溶于水、液氨，能溶于甲醇和乙醇，极微溶于丙酮，微溶于甘油。溶于水时吸热，溶液变冷，水溶液为中性。</w:t>
            </w:r>
          </w:p>
          <w:p w14:paraId="0BFD635A">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（5）</w:t>
            </w:r>
            <w:r>
              <w:rPr>
                <w:rFonts w:hint="eastAsia" w:ascii="Times New Roman" w:hAnsi="Times New Roman" w:eastAsia="宋体" w:cs="Times New Roman"/>
                <w:b w:val="0"/>
                <w:bCs w:val="0"/>
                <w:color w:val="auto"/>
                <w:sz w:val="21"/>
                <w:szCs w:val="21"/>
                <w:lang w:val="en-US" w:eastAsia="zh-CN"/>
              </w:rPr>
              <w:t>氢氧化铝：化学式：Al(OH)</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lang w:val="en-US" w:eastAsia="zh-CN"/>
              </w:rPr>
              <w:t>分子量：78.004，密度：2.40g/cm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lang w:val="en-US" w:eastAsia="zh-CN"/>
              </w:rPr>
              <w:t>熔点：300℃，外观：白色非晶形的粉末，溶解性：不溶于水和醇，能溶于无机酸和碱溶液。氢氧化铝既能与酸反应生成盐和水又能与强碱反应生成盐和水，因此它是一种两性氢氧化物。</w:t>
            </w:r>
          </w:p>
          <w:p w14:paraId="65C99E59">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（6）</w:t>
            </w:r>
            <w:r>
              <w:rPr>
                <w:rFonts w:hint="eastAsia" w:ascii="Times New Roman" w:hAnsi="Times New Roman" w:eastAsia="宋体" w:cs="Times New Roman"/>
                <w:b w:val="0"/>
                <w:bCs w:val="0"/>
                <w:color w:val="auto"/>
                <w:sz w:val="21"/>
                <w:szCs w:val="21"/>
                <w:lang w:val="en-US" w:eastAsia="zh-CN"/>
              </w:rPr>
              <w:t>方解石：</w:t>
            </w:r>
            <w:r>
              <w:rPr>
                <w:rFonts w:ascii="宋体" w:hAnsi="宋体" w:eastAsia="宋体" w:cs="宋体"/>
                <w:b w:val="0"/>
                <w:bCs w:val="0"/>
                <w:color w:val="auto"/>
                <w:sz w:val="21"/>
                <w:szCs w:val="21"/>
              </w:rPr>
              <w:t>是一种碳酸钙矿物，天然碳酸钙中最常见的就是它。化学组成</w:t>
            </w:r>
            <w:r>
              <w:rPr>
                <w:rFonts w:ascii="TimesNewRomanPSMT" w:hAnsi="TimesNewRomanPSMT" w:eastAsia="TimesNewRomanPSMT" w:cs="TimesNewRomanPSMT"/>
                <w:b w:val="0"/>
                <w:bCs w:val="0"/>
                <w:color w:val="auto"/>
                <w:sz w:val="21"/>
                <w:szCs w:val="21"/>
              </w:rPr>
              <w:t>CaO</w:t>
            </w:r>
            <w:r>
              <w:rPr>
                <w:rFonts w:ascii="宋体" w:hAnsi="宋体" w:eastAsia="宋体" w:cs="宋体"/>
                <w:b w:val="0"/>
                <w:bCs w:val="0"/>
                <w:color w:val="auto"/>
                <w:sz w:val="21"/>
                <w:szCs w:val="21"/>
              </w:rPr>
              <w:t>占</w:t>
            </w:r>
            <w:r>
              <w:rPr>
                <w:rFonts w:hint="default" w:ascii="TimesNewRomanPSMT" w:hAnsi="TimesNewRomanPSMT" w:eastAsia="TimesNewRomanPSMT" w:cs="TimesNewRomanPSMT"/>
                <w:b w:val="0"/>
                <w:bCs w:val="0"/>
                <w:color w:val="auto"/>
                <w:sz w:val="21"/>
                <w:szCs w:val="21"/>
              </w:rPr>
              <w:t>56.03%</w:t>
            </w:r>
            <w:r>
              <w:rPr>
                <w:rFonts w:ascii="宋体" w:hAnsi="宋体" w:eastAsia="宋体" w:cs="宋体"/>
                <w:b w:val="0"/>
                <w:bCs w:val="0"/>
                <w:color w:val="auto"/>
                <w:sz w:val="21"/>
                <w:szCs w:val="21"/>
              </w:rPr>
              <w:t>，</w:t>
            </w:r>
            <w:r>
              <w:rPr>
                <w:rFonts w:hint="default" w:ascii="TimesNewRomanPSMT" w:hAnsi="TimesNewRomanPSMT" w:eastAsia="TimesNewRomanPSMT" w:cs="TimesNewRomanPSMT"/>
                <w:b w:val="0"/>
                <w:bCs w:val="0"/>
                <w:color w:val="auto"/>
                <w:sz w:val="21"/>
                <w:szCs w:val="21"/>
              </w:rPr>
              <w:t>CO</w:t>
            </w:r>
            <w:r>
              <w:rPr>
                <w:rFonts w:hint="default" w:ascii="TimesNewRomanPSMT" w:hAnsi="TimesNewRomanPSMT" w:eastAsia="TimesNewRomanPSMT" w:cs="TimesNewRomanPSMT"/>
                <w:b w:val="0"/>
                <w:bCs w:val="0"/>
                <w:color w:val="auto"/>
                <w:sz w:val="21"/>
                <w:szCs w:val="21"/>
                <w:vertAlign w:val="subscript"/>
              </w:rPr>
              <w:t>2</w:t>
            </w:r>
            <w:r>
              <w:rPr>
                <w:rFonts w:ascii="宋体" w:hAnsi="宋体" w:eastAsia="宋体" w:cs="宋体"/>
                <w:b w:val="0"/>
                <w:bCs w:val="0"/>
                <w:color w:val="auto"/>
                <w:sz w:val="21"/>
                <w:szCs w:val="21"/>
              </w:rPr>
              <w:t>占</w:t>
            </w:r>
            <w:r>
              <w:rPr>
                <w:rFonts w:hint="default" w:ascii="TimesNewRomanPSMT" w:hAnsi="TimesNewRomanPSMT" w:eastAsia="TimesNewRomanPSMT" w:cs="TimesNewRomanPSMT"/>
                <w:b w:val="0"/>
                <w:bCs w:val="0"/>
                <w:color w:val="auto"/>
                <w:sz w:val="21"/>
                <w:szCs w:val="21"/>
              </w:rPr>
              <w:t>43.97%</w:t>
            </w:r>
            <w:r>
              <w:rPr>
                <w:rFonts w:ascii="宋体" w:hAnsi="宋体" w:eastAsia="宋体" w:cs="宋体"/>
                <w:b w:val="0"/>
                <w:bCs w:val="0"/>
                <w:color w:val="auto"/>
                <w:sz w:val="21"/>
                <w:szCs w:val="21"/>
              </w:rPr>
              <w:t>，常含</w:t>
            </w:r>
            <w:r>
              <w:rPr>
                <w:rFonts w:hint="default" w:ascii="TimesNewRomanPSMT" w:hAnsi="TimesNewRomanPSMT" w:eastAsia="TimesNewRomanPSMT" w:cs="TimesNewRomanPSMT"/>
                <w:b w:val="0"/>
                <w:bCs w:val="0"/>
                <w:color w:val="auto"/>
                <w:sz w:val="21"/>
                <w:szCs w:val="21"/>
              </w:rPr>
              <w:t>Mn</w:t>
            </w:r>
            <w:r>
              <w:rPr>
                <w:rFonts w:ascii="宋体" w:hAnsi="宋体" w:eastAsia="宋体" w:cs="宋体"/>
                <w:b w:val="0"/>
                <w:bCs w:val="0"/>
                <w:color w:val="auto"/>
                <w:sz w:val="21"/>
                <w:szCs w:val="21"/>
              </w:rPr>
              <w:t>和</w:t>
            </w:r>
            <w:r>
              <w:rPr>
                <w:rFonts w:hint="default" w:ascii="TimesNewRomanPSMT" w:hAnsi="TimesNewRomanPSMT" w:eastAsia="TimesNewRomanPSMT" w:cs="TimesNewRomanPSMT"/>
                <w:b w:val="0"/>
                <w:bCs w:val="0"/>
                <w:color w:val="auto"/>
                <w:sz w:val="21"/>
                <w:szCs w:val="21"/>
              </w:rPr>
              <w:t>Fe</w:t>
            </w:r>
            <w:r>
              <w:rPr>
                <w:rFonts w:ascii="宋体" w:hAnsi="宋体" w:eastAsia="宋体" w:cs="宋体"/>
                <w:b w:val="0"/>
                <w:bCs w:val="0"/>
                <w:color w:val="auto"/>
                <w:sz w:val="21"/>
                <w:szCs w:val="21"/>
              </w:rPr>
              <w:t>，有时含</w:t>
            </w:r>
            <w:r>
              <w:rPr>
                <w:rFonts w:hint="default" w:ascii="TimesNewRomanPSMT" w:hAnsi="TimesNewRomanPSMT" w:eastAsia="TimesNewRomanPSMT" w:cs="TimesNewRomanPSMT"/>
                <w:b w:val="0"/>
                <w:bCs w:val="0"/>
                <w:color w:val="auto"/>
                <w:sz w:val="21"/>
                <w:szCs w:val="21"/>
              </w:rPr>
              <w:t>Sr</w:t>
            </w:r>
            <w:r>
              <w:rPr>
                <w:rFonts w:ascii="宋体" w:hAnsi="宋体" w:eastAsia="宋体" w:cs="宋体"/>
                <w:b w:val="0"/>
                <w:bCs w:val="0"/>
                <w:color w:val="auto"/>
                <w:sz w:val="21"/>
                <w:szCs w:val="21"/>
              </w:rPr>
              <w:t>。方解石是地壳最重要的造岩矿石。英文名</w:t>
            </w:r>
            <w:r>
              <w:rPr>
                <w:rFonts w:hint="default" w:ascii="TimesNewRomanPSMT" w:hAnsi="TimesNewRomanPSMT" w:eastAsia="TimesNewRomanPSMT" w:cs="TimesNewRomanPSMT"/>
                <w:b w:val="0"/>
                <w:bCs w:val="0"/>
                <w:color w:val="auto"/>
                <w:sz w:val="21"/>
                <w:szCs w:val="21"/>
              </w:rPr>
              <w:t>:calcite</w:t>
            </w:r>
            <w:r>
              <w:rPr>
                <w:rFonts w:ascii="宋体" w:hAnsi="宋体" w:eastAsia="宋体" w:cs="宋体"/>
                <w:b w:val="0"/>
                <w:bCs w:val="0"/>
                <w:color w:val="auto"/>
                <w:sz w:val="21"/>
                <w:szCs w:val="21"/>
              </w:rPr>
              <w:t>，属变岩，碳酸盐矿物，化学成分：</w:t>
            </w:r>
            <w:r>
              <w:rPr>
                <w:rFonts w:hint="default" w:ascii="TimesNewRomanPSMT" w:hAnsi="TimesNewRomanPSMT" w:eastAsia="TimesNewRomanPSMT" w:cs="TimesNewRomanPSMT"/>
                <w:b w:val="0"/>
                <w:bCs w:val="0"/>
                <w:color w:val="auto"/>
                <w:sz w:val="21"/>
                <w:szCs w:val="21"/>
              </w:rPr>
              <w:t>CaCO</w:t>
            </w:r>
            <w:r>
              <w:rPr>
                <w:rFonts w:hint="default" w:ascii="TimesNewRomanPSMT" w:hAnsi="TimesNewRomanPSMT" w:eastAsia="TimesNewRomanPSMT" w:cs="TimesNewRomanPSMT"/>
                <w:b w:val="0"/>
                <w:bCs w:val="0"/>
                <w:color w:val="auto"/>
                <w:sz w:val="21"/>
                <w:szCs w:val="21"/>
                <w:vertAlign w:val="subscript"/>
              </w:rPr>
              <w:t>3</w:t>
            </w:r>
            <w:r>
              <w:rPr>
                <w:rFonts w:ascii="宋体" w:hAnsi="宋体" w:eastAsia="宋体" w:cs="宋体"/>
                <w:b w:val="0"/>
                <w:bCs w:val="0"/>
                <w:color w:val="auto"/>
                <w:sz w:val="21"/>
                <w:szCs w:val="21"/>
              </w:rPr>
              <w:t>，三方晶系，三组完全解理，断口；玻璃光泽完全透明至半透明，普通为白色或无色，因含有其它金属致色无素呈现出淡红，淡黄，淡茶，玫红</w:t>
            </w:r>
            <w:r>
              <w:rPr>
                <w:rFonts w:hint="eastAsia" w:ascii="TimesNewRomanPSMT" w:hAnsi="TimesNewRomanPSMT" w:eastAsia="宋体" w:cs="TimesNewRomanPSMT"/>
                <w:b w:val="0"/>
                <w:bCs w:val="0"/>
                <w:color w:val="auto"/>
                <w:sz w:val="21"/>
                <w:szCs w:val="21"/>
                <w:lang w:eastAsia="zh-CN"/>
              </w:rPr>
              <w:t>，</w:t>
            </w:r>
            <w:r>
              <w:rPr>
                <w:rFonts w:ascii="宋体" w:hAnsi="宋体" w:eastAsia="宋体" w:cs="宋体"/>
                <w:b w:val="0"/>
                <w:bCs w:val="0"/>
                <w:color w:val="auto"/>
                <w:sz w:val="21"/>
                <w:szCs w:val="21"/>
              </w:rPr>
              <w:t>紫，多种颜色，条痕白色，硬度</w:t>
            </w:r>
            <w:r>
              <w:rPr>
                <w:rFonts w:hint="default" w:ascii="TimesNewRomanPSMT" w:hAnsi="TimesNewRomanPSMT" w:eastAsia="TimesNewRomanPSMT" w:cs="TimesNewRomanPSMT"/>
                <w:b w:val="0"/>
                <w:bCs w:val="0"/>
                <w:color w:val="auto"/>
                <w:sz w:val="21"/>
                <w:szCs w:val="21"/>
              </w:rPr>
              <w:t>2.704--3.0</w:t>
            </w:r>
            <w:r>
              <w:rPr>
                <w:rFonts w:ascii="宋体" w:hAnsi="宋体" w:eastAsia="宋体" w:cs="宋体"/>
                <w:b w:val="0"/>
                <w:bCs w:val="0"/>
                <w:color w:val="auto"/>
                <w:sz w:val="21"/>
                <w:szCs w:val="21"/>
              </w:rPr>
              <w:t>，比重</w:t>
            </w:r>
            <w:r>
              <w:rPr>
                <w:rFonts w:hint="default" w:ascii="TimesNewRomanPSMT" w:hAnsi="TimesNewRomanPSMT" w:eastAsia="TimesNewRomanPSMT" w:cs="TimesNewRomanPSMT"/>
                <w:b w:val="0"/>
                <w:bCs w:val="0"/>
                <w:color w:val="auto"/>
                <w:sz w:val="21"/>
                <w:szCs w:val="21"/>
              </w:rPr>
              <w:t>2.6</w:t>
            </w:r>
            <w:r>
              <w:rPr>
                <w:rFonts w:ascii="宋体" w:hAnsi="宋体" w:eastAsia="宋体" w:cs="宋体"/>
                <w:b w:val="0"/>
                <w:bCs w:val="0"/>
                <w:color w:val="auto"/>
                <w:sz w:val="21"/>
                <w:szCs w:val="21"/>
              </w:rPr>
              <w:t>～</w:t>
            </w:r>
            <w:r>
              <w:rPr>
                <w:rFonts w:hint="default" w:ascii="TimesNewRomanPSMT" w:hAnsi="TimesNewRomanPSMT" w:eastAsia="TimesNewRomanPSMT" w:cs="TimesNewRomanPSMT"/>
                <w:b w:val="0"/>
                <w:bCs w:val="0"/>
                <w:color w:val="auto"/>
                <w:sz w:val="21"/>
                <w:szCs w:val="21"/>
              </w:rPr>
              <w:t>2.8</w:t>
            </w:r>
            <w:r>
              <w:rPr>
                <w:rFonts w:ascii="宋体" w:hAnsi="宋体" w:eastAsia="宋体" w:cs="宋体"/>
                <w:b w:val="0"/>
                <w:bCs w:val="0"/>
                <w:color w:val="auto"/>
                <w:sz w:val="21"/>
                <w:szCs w:val="21"/>
              </w:rPr>
              <w:t>，遇稀盐酸剧烈起泡，非常纯净完全透明的晶体俗称为冰洲石，具有强烈双折射功能和最大的偏振光功能是人工不能制造也不能替代的自然晶体。</w:t>
            </w:r>
          </w:p>
          <w:p w14:paraId="0F129E0C">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（7）</w:t>
            </w:r>
            <w:r>
              <w:rPr>
                <w:rFonts w:hint="default" w:ascii="Times New Roman" w:hAnsi="Times New Roman" w:eastAsia="宋体" w:cs="Times New Roman"/>
                <w:b w:val="0"/>
                <w:bCs w:val="0"/>
                <w:color w:val="auto"/>
                <w:sz w:val="21"/>
                <w:szCs w:val="21"/>
                <w:lang w:val="en-US" w:eastAsia="zh-CN"/>
              </w:rPr>
              <w:t>碳酸钡：化学式BaCO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，分子量197.336。白色粉末。难溶于水，密度4.43g/cm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熔点881℃。1450℃分解，放出二氧化碳。微溶于含有二氧化碳的水，也溶于氯化铵或硝酸铵溶液生成络合物，溶于盐酸、硝酸放出二氧化碳。有毒。用于电子、仪表、冶金工业。配制焰火，制信号弹，陶瓷涂料，制光学玻璃的辅料。还用作杀鼠药、水澄清剂和填料。难溶于水，易溶于强酸，有毒，用途很广泛。</w:t>
            </w:r>
          </w:p>
          <w:p w14:paraId="65FE04EA">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（8）</w:t>
            </w:r>
            <w:r>
              <w:rPr>
                <w:rFonts w:hint="default" w:ascii="Times New Roman" w:hAnsi="Times New Roman" w:eastAsia="宋体" w:cs="Times New Roman"/>
                <w:b w:val="0"/>
                <w:bCs w:val="0"/>
                <w:color w:val="auto"/>
                <w:sz w:val="21"/>
                <w:szCs w:val="21"/>
                <w:lang w:val="en-US" w:eastAsia="zh-CN"/>
              </w:rPr>
              <w:t>澄清剂：本项目使用SH-8型玻璃澄清剂，用多种氧化剂、澄清剂及新型的助溶剂科学配置而成，其最大的特点是同时存在两种以上的澄清剂，充分发挥各种澄清剂的协同效应和叠加效果，分解、澄清温度范围宽(1200-1450℃)，熔制时逐级分解，接力澄清，使澄清能力处于旺盛状态起到降低玻璃气泡中气体分压，增大气泡体积，排出气泡的目的，从而产生清作用。不含砷、锑、铅、镉等有毒物质及重金属，是新型环保产品，无毒无害无污染。</w:t>
            </w:r>
          </w:p>
          <w:p w14:paraId="08AAD607">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（9）</w:t>
            </w:r>
            <w:r>
              <w:rPr>
                <w:rFonts w:hint="default" w:ascii="Times New Roman" w:hAnsi="Times New Roman" w:eastAsia="宋体" w:cs="Times New Roman"/>
                <w:b w:val="0"/>
                <w:bCs w:val="0"/>
                <w:color w:val="auto"/>
                <w:sz w:val="21"/>
                <w:szCs w:val="21"/>
                <w:lang w:val="en-US" w:eastAsia="zh-CN"/>
              </w:rPr>
              <w:t>液化</w:t>
            </w:r>
            <w:r>
              <w:rPr>
                <w:rFonts w:hint="eastAsia" w:ascii="Times New Roman" w:hAnsi="Times New Roman" w:eastAsia="宋体" w:cs="Times New Roman"/>
                <w:b w:val="0"/>
                <w:bCs w:val="0"/>
                <w:color w:val="auto"/>
                <w:sz w:val="21"/>
                <w:szCs w:val="21"/>
                <w:lang w:val="en-US" w:eastAsia="zh-CN"/>
              </w:rPr>
              <w:t>石油气</w:t>
            </w:r>
            <w:r>
              <w:rPr>
                <w:rFonts w:hint="default" w:ascii="Times New Roman" w:hAnsi="Times New Roman" w:eastAsia="宋体" w:cs="Times New Roman"/>
                <w:b w:val="0"/>
                <w:bCs w:val="0"/>
                <w:color w:val="auto"/>
                <w:sz w:val="21"/>
                <w:szCs w:val="21"/>
                <w:lang w:val="en-US" w:eastAsia="zh-CN"/>
              </w:rPr>
              <w:t>：是由碳氢化合物所组成，主要成分为丙烷、丁烷以及其他烷系或烯类等。丙烷加丁烷百分比的综合超过60%，液化石油气是炼油厂在进行原油催化裂解与热裂解时所得到的副产品。外观与性状：无色气体或黄棕色油状液体有特殊臭味。密度：液态液化石油气580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，气态密度为：2.35kg/m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，气态相对密度：1.686（即设空气的密度为1，天液态液化石油气相对于空气的密度为1.686），引燃温度：426～537℃，爆炸上限（V/V）：9.5%，爆炸下限（V/V）：1.5%，燃烧值：45.22～50.23MJ/kg。</w:t>
            </w:r>
          </w:p>
          <w:p w14:paraId="0A1515F7">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（10）</w:t>
            </w:r>
            <w:r>
              <w:rPr>
                <w:rFonts w:hint="default" w:ascii="Times New Roman" w:hAnsi="Times New Roman" w:eastAsia="宋体" w:cs="Times New Roman"/>
                <w:b w:val="0"/>
                <w:bCs w:val="0"/>
                <w:color w:val="auto"/>
                <w:sz w:val="21"/>
                <w:szCs w:val="21"/>
                <w:lang w:val="en-US" w:eastAsia="zh-CN"/>
              </w:rPr>
              <w:t>天然气：天然气是存在于地下岩石储集层中以烃为主体的混合气体的统称，比重约0.65，比空气轻，具有无色、无味、无毒之特性。天然气主要成分烷烃，其中甲烷占绝大多数，另有少量的乙烷、丙烷和丁烷，此外一般有硫化氢、二氧化碳、氮和水汽和少量一氧化碳及微量的稀有气体，如氦和氩等。天然气在送到最终用户之前，为助于泄漏检测，还要用硫醇、四氢噻吩等来给天然气添加气味。天然气不溶于水，密度为0.7</w:t>
            </w:r>
            <w:r>
              <w:rPr>
                <w:rFonts w:hint="eastAsia" w:ascii="Times New Roman" w:hAnsi="Times New Roman" w:eastAsia="宋体" w:cs="Times New Roman"/>
                <w:b w:val="0"/>
                <w:bCs w:val="0"/>
                <w:color w:val="auto"/>
                <w:sz w:val="21"/>
                <w:szCs w:val="21"/>
                <w:lang w:val="en-US" w:eastAsia="zh-CN"/>
              </w:rPr>
              <w:t>056</w:t>
            </w:r>
            <w:r>
              <w:rPr>
                <w:rFonts w:hint="default" w:ascii="Times New Roman" w:hAnsi="Times New Roman" w:eastAsia="宋体" w:cs="Times New Roman"/>
                <w:b w:val="0"/>
                <w:bCs w:val="0"/>
                <w:color w:val="auto"/>
                <w:sz w:val="21"/>
                <w:szCs w:val="21"/>
                <w:lang w:val="en-US" w:eastAsia="zh-CN"/>
              </w:rPr>
              <w:t>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，相对密度（水）为0.45（液化）燃点（℃）为650，爆炸极限（V%）为5-15。在标准状况下，甲烷至丁烷以气体状态存在，戊烷以上为液体。甲烷是最短和最轻的烃分子。天然气每立方燃烧热值为8000大卡至8500大卡。</w:t>
            </w:r>
            <w:r>
              <w:rPr>
                <w:rFonts w:hint="default" w:ascii="Times New Roman" w:hAnsi="Times New Roman" w:eastAsia="宋体" w:cs="Times New Roman"/>
                <w:b w:val="0"/>
                <w:bCs w:val="0"/>
                <w:color w:val="auto"/>
                <w:sz w:val="21"/>
                <w:szCs w:val="21"/>
                <w:lang w:val="en-US" w:eastAsia="zh-CN"/>
              </w:rPr>
              <w:t>液化天然气的密度是0.42～0.46g/cm³。液化天然气由液态汽化为气态时，体积会增大几百倍，气态甲烷是液态甲烷体积的625倍。液化天然气的储存温度为</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161.5℃</w:t>
            </w:r>
            <w:r>
              <w:rPr>
                <w:rFonts w:hint="eastAsia" w:ascii="Times New Roman" w:hAnsi="Times New Roman" w:eastAsia="宋体" w:cs="Times New Roman"/>
                <w:b w:val="0"/>
                <w:bCs w:val="0"/>
                <w:color w:val="auto"/>
                <w:sz w:val="21"/>
                <w:szCs w:val="21"/>
                <w:lang w:val="en-US" w:eastAsia="zh-CN"/>
              </w:rPr>
              <w:t>。</w:t>
            </w:r>
          </w:p>
          <w:p w14:paraId="47DBD2CD">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（11）</w:t>
            </w:r>
            <w:r>
              <w:rPr>
                <w:rFonts w:hint="default" w:ascii="Times New Roman" w:hAnsi="Times New Roman" w:eastAsia="宋体" w:cs="Times New Roman"/>
                <w:b w:val="0"/>
                <w:bCs w:val="0"/>
                <w:color w:val="auto"/>
                <w:sz w:val="21"/>
                <w:szCs w:val="21"/>
                <w:lang w:val="en-US" w:eastAsia="zh-CN"/>
              </w:rPr>
              <w:t>氨水：氨水又称阿摩尼亚水，指氨的水溶液，主要成分为NH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无色透明且具有刺激性气味。氨水易挥发，具有部分碱的通性，由氨气通入水中制得。挥发性：氨水易挥发出氨气，随温度升高和放置时间延长而挥发率增加，且随浓度的增大挥发量增加。腐蚀性：氨水有一定的腐蚀作用，碳化氨水的腐蚀性更加严重。对铜的腐蚀比较强，钢铁比较差，对水泥腐蚀不大。弱碱性：氨水中存在些化学平衡，因此仅有一小部分氨分子与水反应而成铵离子和氢氧根离子OH-，故呈弱碱性。另外，氨水的弱碱性，能使无色酚酞试液变红色，能使紫色石蕊试液变蓝色，能使湿润红色石蕊试纸变蓝。能与酸反应，生成铵盐。浓氨遇到与挥发性酸（如浓盐酸和浓硝酸）就会产生白烟，如果遇到不挥发性酸（如硫酸、磷酸）就不会有这种现象。 沉淀性：氨水是很好的沉淀剂，它能与多种金属离子反应，生成难溶性弱碱或两性氢氧化物。络合性：与Ag</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lang w:val="en-US" w:eastAsia="zh-CN"/>
              </w:rPr>
              <w:t>、Cu</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、Cr</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、Zn</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等发生络合反应。不稳定性：见光受热易分解成NH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和水。还原性：氨水有弱的还原性，可用于SNCR或SCR工艺，也可被强氧化剂氧化。燃烧和爆炸：接触下列物质能引发燃烧和爆炸：三甲胺、氨基化合物、醇类、醛类、有机酸酐、烯基氧化物等。</w:t>
            </w:r>
          </w:p>
          <w:p w14:paraId="1E3841E8">
            <w:pPr>
              <w:numPr>
                <w:ilvl w:val="0"/>
                <w:numId w:val="0"/>
              </w:num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（1</w:t>
            </w:r>
            <w:r>
              <w:rPr>
                <w:rFonts w:hint="eastAsia" w:ascii="Times New Roman" w:hAnsi="Times New Roman" w:eastAsia="宋体"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）氢氧化钙</w:t>
            </w:r>
            <w:r>
              <w:rPr>
                <w:rFonts w:hint="default" w:ascii="Times New Roman" w:hAnsi="Times New Roman" w:eastAsia="宋体" w:cs="Times New Roman"/>
                <w:b w:val="0"/>
                <w:bCs w:val="0"/>
                <w:color w:val="auto"/>
                <w:sz w:val="21"/>
                <w:szCs w:val="21"/>
                <w:lang w:val="en-US" w:eastAsia="zh-CN"/>
              </w:rPr>
              <w:t>：无机化合物，</w:t>
            </w:r>
            <w:r>
              <w:rPr>
                <w:rFonts w:hint="eastAsia" w:ascii="Times New Roman" w:hAnsi="Times New Roman" w:eastAsia="宋体" w:cs="Times New Roman"/>
                <w:b w:val="0"/>
                <w:bCs w:val="0"/>
                <w:color w:val="auto"/>
                <w:sz w:val="21"/>
                <w:szCs w:val="21"/>
                <w:lang w:val="en-US" w:eastAsia="zh-CN"/>
              </w:rPr>
              <w:t>用于烟气除湿，</w:t>
            </w:r>
            <w:r>
              <w:rPr>
                <w:rFonts w:hint="default" w:ascii="Times New Roman" w:hAnsi="Times New Roman" w:eastAsia="宋体" w:cs="Times New Roman"/>
                <w:b w:val="0"/>
                <w:bCs w:val="0"/>
                <w:color w:val="auto"/>
                <w:sz w:val="21"/>
                <w:szCs w:val="21"/>
                <w:lang w:val="en-US" w:eastAsia="zh-CN"/>
              </w:rPr>
              <w:t>化学式为Ca(OH)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，分子量：74.10。俗称熟石灰或消石灰。白色六方晶系粉末状晶体。密度2.243g/cm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。580℃失水成CaO。急性毒性：大鼠口经LD</w:t>
            </w:r>
            <w:r>
              <w:rPr>
                <w:rFonts w:hint="default" w:ascii="Times New Roman" w:hAnsi="Times New Roman" w:eastAsia="宋体" w:cs="Times New Roman"/>
                <w:b w:val="0"/>
                <w:bCs w:val="0"/>
                <w:color w:val="auto"/>
                <w:sz w:val="21"/>
                <w:szCs w:val="21"/>
                <w:vertAlign w:val="subscript"/>
                <w:lang w:val="en-US" w:eastAsia="zh-CN"/>
              </w:rPr>
              <w:t>50</w:t>
            </w:r>
            <w:r>
              <w:rPr>
                <w:rFonts w:hint="default" w:ascii="Times New Roman" w:hAnsi="Times New Roman" w:eastAsia="宋体" w:cs="Times New Roman"/>
                <w:b w:val="0"/>
                <w:bCs w:val="0"/>
                <w:color w:val="auto"/>
                <w:sz w:val="21"/>
                <w:szCs w:val="21"/>
                <w:lang w:val="en-US" w:eastAsia="zh-CN"/>
              </w:rPr>
              <w:t>：7340mg/kg；小鼠口经LD</w:t>
            </w:r>
            <w:r>
              <w:rPr>
                <w:rFonts w:hint="default" w:ascii="Times New Roman" w:hAnsi="Times New Roman" w:eastAsia="宋体" w:cs="Times New Roman"/>
                <w:b w:val="0"/>
                <w:bCs w:val="0"/>
                <w:color w:val="auto"/>
                <w:sz w:val="21"/>
                <w:szCs w:val="21"/>
                <w:vertAlign w:val="subscript"/>
                <w:lang w:val="en-US" w:eastAsia="zh-CN"/>
              </w:rPr>
              <w:t>50</w:t>
            </w:r>
            <w:r>
              <w:rPr>
                <w:rFonts w:hint="default" w:ascii="Times New Roman" w:hAnsi="Times New Roman" w:eastAsia="宋体" w:cs="Times New Roman"/>
                <w:b w:val="0"/>
                <w:bCs w:val="0"/>
                <w:color w:val="auto"/>
                <w:sz w:val="21"/>
                <w:szCs w:val="21"/>
                <w:lang w:val="en-US" w:eastAsia="zh-CN"/>
              </w:rPr>
              <w:t>：7300mg/kg。属强碱性物质，有刺激和腐蚀作用。吸入粉尘，对呼吸道有强烈刺激性，还有可能引起肺炎。眼接触亦有强烈刺激性，可致灼伤。</w:t>
            </w:r>
          </w:p>
          <w:p w14:paraId="76445249">
            <w:pPr>
              <w:adjustRightInd w:val="0"/>
              <w:snapToGrid w:val="0"/>
              <w:spacing w:line="360" w:lineRule="auto"/>
              <w:ind w:firstLine="422" w:firstLineChars="200"/>
              <w:jc w:val="left"/>
              <w:rPr>
                <w:b/>
                <w:color w:val="auto"/>
                <w:szCs w:val="21"/>
              </w:rPr>
            </w:pPr>
            <w:r>
              <w:rPr>
                <w:rFonts w:hint="eastAsia"/>
                <w:b/>
                <w:color w:val="auto"/>
                <w:szCs w:val="21"/>
              </w:rPr>
              <w:t>5、水平衡</w:t>
            </w:r>
          </w:p>
          <w:p w14:paraId="2CF65C9F">
            <w:pPr>
              <w:pStyle w:val="84"/>
              <w:rPr>
                <w:color w:val="auto"/>
                <w:lang w:val="en-US" w:eastAsia="zh-CN"/>
              </w:rPr>
            </w:pPr>
            <w:r>
              <w:rPr>
                <w:rFonts w:hint="eastAsia"/>
                <w:color w:val="auto"/>
                <w:lang w:val="en-US" w:eastAsia="zh-CN"/>
              </w:rPr>
              <w:t>本次技改扩建工程运营期用水主要为设备（主要是成型工序模具冷却）冷却水、车辆冲洗废水、生活用水，其中成型冷却水循环使用，定期补充自然消耗部分，不外排。因此工程外排废水主要为生活废水。本次技改项目不新增员工，生活污水量较技改前不发生变化。</w:t>
            </w:r>
            <w:r>
              <w:rPr>
                <w:color w:val="auto"/>
                <w:lang w:val="en-US" w:eastAsia="zh-CN"/>
              </w:rPr>
              <w:t>另外，仅对生产车间地面进行清理，不进行地面冲洗，无地面冲洗用水。</w:t>
            </w:r>
          </w:p>
          <w:p w14:paraId="5D84CA41">
            <w:pPr>
              <w:pStyle w:val="84"/>
              <w:rPr>
                <w:color w:val="auto"/>
                <w:lang w:val="en-US" w:eastAsia="zh-CN"/>
              </w:rPr>
            </w:pPr>
            <w:r>
              <w:rPr>
                <w:rFonts w:hint="eastAsia"/>
                <w:color w:val="auto"/>
                <w:lang w:val="en-US" w:eastAsia="zh-CN"/>
              </w:rPr>
              <w:t>（1）冷却水</w:t>
            </w:r>
          </w:p>
          <w:p w14:paraId="4197E579">
            <w:pPr>
              <w:adjustRightInd w:val="0"/>
              <w:spacing w:line="360" w:lineRule="auto"/>
              <w:ind w:firstLine="371" w:firstLineChars="177"/>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成型工序中需用水对瓶模进行冷却，冷却水不与物料直接进行接触，污染物浓度较低，且成型工序冷却用水对水质的要求不高，则该冷却水可循环回用于成型工序。项目设2台冷却循环水箱（一用一备），2个循环水池（均为300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）。冷却用水经回收降温后循环使用，回水自流入热水池，热水经冷却箱冷却，冷水流入冷却水池，再送至生产车间循环使用</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根据企业实际生产经验，每日补充新鲜水量，循环水连续使用不排放，水面与风接触面积较小，蒸发损失水量不计。本次技改扩建了3条压机，则冷却水消耗量增加，循环冷却水量上调为160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w:t>
            </w:r>
            <w:r>
              <w:rPr>
                <w:rFonts w:hint="eastAsia" w:ascii="Times New Roman" w:hAnsi="Times New Roman" w:cs="Times New Roman"/>
                <w:color w:val="auto"/>
                <w:sz w:val="21"/>
                <w:szCs w:val="21"/>
                <w:lang w:val="en-US" w:eastAsia="zh-CN"/>
              </w:rPr>
              <w:t>。经计算补充水量为1.5</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/h（36m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/d，11880m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/a）。</w:t>
            </w:r>
          </w:p>
          <w:p w14:paraId="62E137B2">
            <w:pPr>
              <w:adjustRightInd w:val="0"/>
              <w:spacing w:line="360" w:lineRule="auto"/>
              <w:ind w:firstLine="371" w:firstLineChars="177"/>
              <w:jc w:val="both"/>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开式冷却系统补充水量Q</w:t>
            </w:r>
            <w:r>
              <w:rPr>
                <w:rFonts w:hint="eastAsia" w:ascii="Times New Roman" w:hAnsi="Times New Roman" w:cs="Times New Roman"/>
                <w:b/>
                <w:bCs/>
                <w:color w:val="auto"/>
                <w:sz w:val="21"/>
                <w:szCs w:val="21"/>
                <w:highlight w:val="none"/>
                <w:lang w:val="en-US" w:eastAsia="zh-CN"/>
              </w:rPr>
              <w:t>m=Q</w:t>
            </w:r>
            <w:r>
              <w:rPr>
                <w:rFonts w:hint="eastAsia" w:ascii="Times New Roman" w:hAnsi="Times New Roman" w:cs="Times New Roman"/>
                <w:b/>
                <w:bCs/>
                <w:color w:val="auto"/>
                <w:sz w:val="21"/>
                <w:szCs w:val="21"/>
                <w:highlight w:val="none"/>
                <w:vertAlign w:val="subscript"/>
                <w:lang w:val="en-US" w:eastAsia="zh-CN"/>
              </w:rPr>
              <w:t>e</w:t>
            </w:r>
            <w:r>
              <w:rPr>
                <w:rFonts w:hint="eastAsia" w:ascii="Times New Roman" w:hAnsi="Times New Roman" w:cs="Times New Roman"/>
                <w:b/>
                <w:bCs/>
                <w:color w:val="auto"/>
                <w:sz w:val="21"/>
                <w:szCs w:val="21"/>
                <w:highlight w:val="none"/>
                <w:lang w:val="en-US" w:eastAsia="zh-CN"/>
              </w:rPr>
              <w:t>+Q</w:t>
            </w:r>
            <w:r>
              <w:rPr>
                <w:rFonts w:hint="eastAsia" w:ascii="Times New Roman" w:hAnsi="Times New Roman" w:cs="Times New Roman"/>
                <w:b/>
                <w:bCs/>
                <w:color w:val="auto"/>
                <w:sz w:val="21"/>
                <w:szCs w:val="21"/>
                <w:highlight w:val="none"/>
                <w:vertAlign w:val="subscript"/>
                <w:lang w:val="en-US" w:eastAsia="zh-CN"/>
              </w:rPr>
              <w:t>b</w:t>
            </w:r>
            <w:r>
              <w:rPr>
                <w:rFonts w:hint="eastAsia" w:ascii="Times New Roman" w:hAnsi="Times New Roman" w:cs="Times New Roman"/>
                <w:b/>
                <w:bCs/>
                <w:color w:val="auto"/>
                <w:sz w:val="21"/>
                <w:szCs w:val="21"/>
                <w:highlight w:val="none"/>
                <w:lang w:val="en-US" w:eastAsia="zh-CN"/>
              </w:rPr>
              <w:t>+Q</w:t>
            </w:r>
            <w:r>
              <w:rPr>
                <w:rFonts w:hint="eastAsia" w:ascii="Times New Roman" w:hAnsi="Times New Roman" w:cs="Times New Roman"/>
                <w:b/>
                <w:bCs/>
                <w:color w:val="auto"/>
                <w:sz w:val="21"/>
                <w:szCs w:val="21"/>
                <w:highlight w:val="none"/>
                <w:vertAlign w:val="subscript"/>
                <w:lang w:val="en-US" w:eastAsia="zh-CN"/>
              </w:rPr>
              <w:t>w</w:t>
            </w:r>
            <w:r>
              <w:rPr>
                <w:rFonts w:hint="eastAsia" w:ascii="Times New Roman" w:hAnsi="Times New Roman" w:cs="Times New Roman"/>
                <w:b/>
                <w:bCs/>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1.5</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/h</w:t>
            </w:r>
          </w:p>
          <w:p w14:paraId="207BD632">
            <w:pPr>
              <w:adjustRightInd w:val="0"/>
              <w:spacing w:line="360" w:lineRule="auto"/>
              <w:ind w:firstLine="2530" w:firstLineChars="1200"/>
              <w:jc w:val="both"/>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Qm=Qe×N÷（N-1）</w:t>
            </w:r>
            <w:r>
              <w:rPr>
                <w:rFonts w:hint="eastAsia" w:ascii="Times New Roman" w:hAnsi="Times New Roman" w:cs="Times New Roman"/>
                <w:b w:val="0"/>
                <w:bCs w:val="0"/>
                <w:color w:val="auto"/>
                <w:sz w:val="21"/>
                <w:szCs w:val="21"/>
                <w:highlight w:val="none"/>
                <w:lang w:val="en-US" w:eastAsia="zh-CN"/>
              </w:rPr>
              <w:t>=1.2×5÷4=1.5m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/h</w:t>
            </w:r>
          </w:p>
          <w:p w14:paraId="44ACE468">
            <w:pPr>
              <w:adjustRightInd w:val="0"/>
              <w:spacing w:line="360" w:lineRule="auto"/>
              <w:ind w:firstLine="2688" w:firstLineChars="1275"/>
              <w:jc w:val="both"/>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Qe=k×△t×Qr</w:t>
            </w:r>
            <w:r>
              <w:rPr>
                <w:rFonts w:hint="eastAsia" w:ascii="Times New Roman" w:hAnsi="Times New Roman" w:cs="Times New Roman"/>
                <w:b w:val="0"/>
                <w:bCs w:val="0"/>
                <w:color w:val="auto"/>
                <w:sz w:val="21"/>
                <w:szCs w:val="21"/>
                <w:highlight w:val="none"/>
                <w:lang w:val="en-US" w:eastAsia="zh-CN"/>
              </w:rPr>
              <w:t>=0.0015×5×160=1.2m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/h</w:t>
            </w:r>
          </w:p>
          <w:p w14:paraId="5590AC01">
            <w:pPr>
              <w:adjustRightInd w:val="0"/>
              <w:spacing w:line="360" w:lineRule="auto"/>
              <w:ind w:firstLine="371" w:firstLineChars="177"/>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式中：Qm—补充水量，m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/h；Qw—风吹损失水量，m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w:t>
            </w:r>
          </w:p>
          <w:p w14:paraId="55211212">
            <w:pPr>
              <w:adjustRightInd w:val="0"/>
              <w:spacing w:line="360" w:lineRule="auto"/>
              <w:ind w:firstLine="997" w:firstLineChars="475"/>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Qe—蒸发水量，m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/h；Qr—循环冷却水量，60m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w:t>
            </w:r>
          </w:p>
          <w:p w14:paraId="49251613">
            <w:pPr>
              <w:adjustRightInd w:val="0"/>
              <w:spacing w:line="360" w:lineRule="auto"/>
              <w:ind w:firstLine="997" w:firstLineChars="475"/>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△t—循环冷却水进、出冷却塔温差（℃），取值5；</w:t>
            </w:r>
          </w:p>
          <w:p w14:paraId="44E4BF0E">
            <w:pPr>
              <w:adjustRightInd w:val="0"/>
              <w:spacing w:line="360" w:lineRule="auto"/>
              <w:ind w:firstLine="997" w:firstLineChars="475"/>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K—蒸发损失系数（1/℃），按照进塔空气温度30℃取值，0.0015；</w:t>
            </w:r>
          </w:p>
          <w:p w14:paraId="3097076F">
            <w:pPr>
              <w:adjustRightInd w:val="0"/>
              <w:spacing w:line="360" w:lineRule="auto"/>
              <w:ind w:firstLine="997" w:firstLineChars="475"/>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N—浓缩系数，开式系统不宜小于5，本次按照5计算；</w:t>
            </w:r>
          </w:p>
          <w:p w14:paraId="182B3605">
            <w:pPr>
              <w:pStyle w:val="84"/>
              <w:rPr>
                <w:rFonts w:hint="eastAsia"/>
                <w:color w:val="auto"/>
                <w:lang w:val="en-US" w:eastAsia="zh-CN"/>
              </w:rPr>
            </w:pPr>
            <w:r>
              <w:rPr>
                <w:rFonts w:hint="eastAsia"/>
                <w:color w:val="auto"/>
                <w:lang w:val="en-US" w:eastAsia="zh-CN"/>
              </w:rPr>
              <w:t>（2）生活废水</w:t>
            </w:r>
          </w:p>
          <w:p w14:paraId="621FF35C">
            <w:pPr>
              <w:pStyle w:val="84"/>
              <w:rPr>
                <w:rFonts w:hint="eastAsia"/>
                <w:color w:val="auto"/>
                <w:lang w:val="en-US" w:eastAsia="zh-CN"/>
              </w:rPr>
            </w:pPr>
            <w:r>
              <w:rPr>
                <w:rFonts w:hint="eastAsia" w:ascii="Times New Roman" w:hAnsi="Times New Roman" w:eastAsia="宋体" w:cs="Times New Roman"/>
                <w:bCs/>
                <w:color w:val="auto"/>
                <w:lang w:val="en-US" w:eastAsia="zh-CN"/>
              </w:rPr>
              <w:t>本次技改扩建工程不新增员工，全厂定员128人，厂区内设置食堂，根据企业实际生活用水量25.6t/d。污水产生量按80%计，则每天产生生活污水20.5t，年产生量6770t。废水中主要污染物为COD300mg/L、SS200mg/L、BOD</w:t>
            </w:r>
            <w:r>
              <w:rPr>
                <w:rFonts w:hint="eastAsia" w:ascii="Times New Roman" w:hAnsi="Times New Roman" w:eastAsia="宋体" w:cs="Times New Roman"/>
                <w:bCs/>
                <w:color w:val="auto"/>
                <w:vertAlign w:val="subscript"/>
                <w:lang w:val="en-US" w:eastAsia="zh-CN"/>
              </w:rPr>
              <w:t>5</w:t>
            </w:r>
            <w:r>
              <w:rPr>
                <w:rFonts w:hint="eastAsia" w:ascii="Times New Roman" w:hAnsi="Times New Roman" w:eastAsia="宋体" w:cs="Times New Roman"/>
                <w:bCs/>
                <w:color w:val="auto"/>
                <w:lang w:val="en-US" w:eastAsia="zh-CN"/>
              </w:rPr>
              <w:t>150mg/L、NH</w:t>
            </w:r>
            <w:r>
              <w:rPr>
                <w:rFonts w:hint="eastAsia" w:ascii="Times New Roman" w:hAnsi="Times New Roman" w:eastAsia="宋体" w:cs="Times New Roman"/>
                <w:bCs/>
                <w:color w:val="auto"/>
                <w:vertAlign w:val="subscript"/>
                <w:lang w:val="en-US" w:eastAsia="zh-CN"/>
              </w:rPr>
              <w:t>3</w:t>
            </w:r>
            <w:r>
              <w:rPr>
                <w:rFonts w:hint="eastAsia" w:ascii="Times New Roman" w:hAnsi="Times New Roman" w:eastAsia="宋体" w:cs="Times New Roman"/>
                <w:bCs/>
                <w:color w:val="auto"/>
                <w:lang w:val="en-US" w:eastAsia="zh-CN"/>
              </w:rPr>
              <w:t>-N30mg/L，生活污水经化粪池预处理后排入八公山污水处理厂进一步处理，</w:t>
            </w:r>
            <w:r>
              <w:rPr>
                <w:rFonts w:hint="eastAsia"/>
                <w:color w:val="auto"/>
                <w:lang w:val="en-US" w:eastAsia="zh-CN"/>
              </w:rPr>
              <w:t>食堂废水经隔油池预处理后同生活污水一并进入化粪池预处理后排入污水管网进入</w:t>
            </w:r>
            <w:r>
              <w:rPr>
                <w:rFonts w:hint="eastAsia" w:ascii="Times New Roman" w:hAnsi="Times New Roman" w:eastAsia="宋体" w:cs="Times New Roman"/>
                <w:bCs/>
                <w:color w:val="auto"/>
                <w:lang w:val="en-US" w:eastAsia="zh-CN"/>
              </w:rPr>
              <w:t>八公山污水处理厂</w:t>
            </w:r>
            <w:r>
              <w:rPr>
                <w:rFonts w:hint="eastAsia"/>
                <w:color w:val="auto"/>
                <w:lang w:val="en-US" w:eastAsia="zh-CN"/>
              </w:rPr>
              <w:t>进一步处理，尾水最终排入淮河。</w:t>
            </w:r>
          </w:p>
          <w:p w14:paraId="7D80E5EF">
            <w:pPr>
              <w:pStyle w:val="84"/>
              <w:rPr>
                <w:color w:val="auto"/>
                <w:lang w:val="en-US" w:eastAsia="zh-CN"/>
              </w:rPr>
            </w:pPr>
            <w:r>
              <w:rPr>
                <w:rFonts w:hint="eastAsia"/>
                <w:color w:val="auto"/>
                <w:lang w:val="en-US" w:eastAsia="zh-CN"/>
              </w:rPr>
              <w:t>（3）车辆冲洗废水</w:t>
            </w:r>
          </w:p>
          <w:p w14:paraId="000E4294">
            <w:pPr>
              <w:pStyle w:val="84"/>
              <w:rPr>
                <w:rFonts w:hint="eastAsia"/>
                <w:color w:val="auto"/>
                <w:sz w:val="24"/>
                <w:szCs w:val="24"/>
              </w:rPr>
            </w:pPr>
            <w:r>
              <w:rPr>
                <w:rFonts w:hint="default" w:ascii="Times New Roman" w:hAnsi="Times New Roman" w:cs="Times New Roman"/>
                <w:color w:val="auto"/>
                <w:sz w:val="21"/>
                <w:szCs w:val="21"/>
              </w:rPr>
              <w:t>厂区出入口设置车辆自动冲洗设施，冲洗废水循环使用不外排。</w:t>
            </w:r>
            <w:r>
              <w:rPr>
                <w:rFonts w:hint="eastAsia" w:ascii="Times New Roman" w:hAnsi="Times New Roman" w:cs="Times New Roman"/>
                <w:color w:val="auto"/>
                <w:sz w:val="21"/>
                <w:szCs w:val="21"/>
                <w:lang w:val="en-US" w:eastAsia="zh-CN"/>
              </w:rPr>
              <w:t>根据企业实际运输物料运输核算，</w:t>
            </w:r>
            <w:r>
              <w:rPr>
                <w:rFonts w:hint="default" w:ascii="Times New Roman" w:hAnsi="Times New Roman" w:cs="Times New Roman"/>
                <w:color w:val="auto"/>
                <w:sz w:val="21"/>
                <w:szCs w:val="21"/>
              </w:rPr>
              <w:t>项目厂区外运车辆约</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辆·次/d。根据《建筑给水排水设计手册》用水定额中汽车冲洗用水定额，载重车用水定额为80L/辆·次，则车辆冲洗用水量为</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8m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val="en-US" w:eastAsia="zh-CN"/>
              </w:rPr>
              <w:t>产污系数0.8，废水产生量</w:t>
            </w:r>
            <w:r>
              <w:rPr>
                <w:rFonts w:hint="default" w:ascii="Times New Roman" w:hAnsi="Times New Roman" w:cs="Times New Roman"/>
                <w:color w:val="auto"/>
                <w:sz w:val="21"/>
                <w:szCs w:val="21"/>
              </w:rPr>
              <w:t>约</w:t>
            </w:r>
            <w:r>
              <w:rPr>
                <w:rFonts w:hint="eastAsia" w:ascii="Times New Roman" w:hAnsi="Times New Roman" w:cs="Times New Roman"/>
                <w:color w:val="auto"/>
                <w:sz w:val="21"/>
                <w:szCs w:val="21"/>
                <w:lang w:val="en-US" w:eastAsia="zh-CN"/>
              </w:rPr>
              <w:t>0.64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/d。该废水经沉淀后循环使用，不外排。每天补充新鲜水约</w:t>
            </w:r>
            <w:r>
              <w:rPr>
                <w:rFonts w:hint="eastAsia" w:ascii="Times New Roman" w:hAnsi="Times New Roman" w:cs="Times New Roman"/>
                <w:color w:val="auto"/>
                <w:sz w:val="21"/>
                <w:szCs w:val="21"/>
                <w:lang w:val="en-US" w:eastAsia="zh-CN"/>
              </w:rPr>
              <w:t>0.8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00EBA194">
            <w:pPr>
              <w:pStyle w:val="84"/>
              <w:rPr>
                <w:rFonts w:hint="eastAsia"/>
                <w:color w:val="auto"/>
                <w:lang w:val="en-US" w:eastAsia="zh-CN"/>
              </w:rPr>
            </w:pPr>
            <w:r>
              <w:rPr>
                <w:rFonts w:hint="eastAsia"/>
                <w:color w:val="auto"/>
                <w:lang w:val="en-US" w:eastAsia="zh-CN"/>
              </w:rPr>
              <w:t>本次技改扩建工程建成后全厂水平衡见下图。</w:t>
            </w:r>
          </w:p>
          <w:p w14:paraId="41CA45AB">
            <w:pPr>
              <w:pStyle w:val="84"/>
              <w:rPr>
                <w:rFonts w:hint="eastAsia"/>
                <w:color w:val="auto"/>
                <w:lang w:val="en-US" w:eastAsia="zh-CN"/>
              </w:rPr>
            </w:pP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2147570</wp:posOffset>
                      </wp:positionH>
                      <wp:positionV relativeFrom="paragraph">
                        <wp:posOffset>98425</wp:posOffset>
                      </wp:positionV>
                      <wp:extent cx="561975" cy="293370"/>
                      <wp:effectExtent l="4445" t="4445" r="12700" b="6985"/>
                      <wp:wrapNone/>
                      <wp:docPr id="21" name="矩形 89"/>
                      <wp:cNvGraphicFramePr/>
                      <a:graphic xmlns:a="http://schemas.openxmlformats.org/drawingml/2006/main">
                        <a:graphicData uri="http://schemas.microsoft.com/office/word/2010/wordprocessingShape">
                          <wps:wsp>
                            <wps:cNvSpPr/>
                            <wps:spPr>
                              <a:xfrm>
                                <a:off x="0" y="0"/>
                                <a:ext cx="56197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9C19CB">
                                  <w:pPr>
                                    <w:jc w:val="center"/>
                                  </w:pPr>
                                  <w:r>
                                    <w:rPr>
                                      <w:rFonts w:hint="eastAsia"/>
                                      <w:lang w:val="en-US" w:eastAsia="zh-CN"/>
                                    </w:rPr>
                                    <w:t>隔油池</w:t>
                                  </w:r>
                                </w:p>
                              </w:txbxContent>
                            </wps:txbx>
                            <wps:bodyPr vert="horz" wrap="square" lIns="0" rIns="0" anchor="t" anchorCtr="0" upright="1"/>
                          </wps:wsp>
                        </a:graphicData>
                      </a:graphic>
                    </wp:anchor>
                  </w:drawing>
                </mc:Choice>
                <mc:Fallback>
                  <w:pict>
                    <v:rect id="矩形 89" o:spid="_x0000_s1026" o:spt="1" style="position:absolute;left:0pt;margin-left:169.1pt;margin-top:7.75pt;height:23.1pt;width:44.25pt;z-index:251679744;mso-width-relative:page;mso-height-relative:page;" fillcolor="#FFFFFF" filled="t" stroked="t" coordsize="21600,21600" o:gfxdata="UEsDBAoAAAAAAIdO4kAAAAAAAAAAAAAAAAAEAAAAZHJzL1BLAwQUAAAACACHTuJAydOF/tgAAAAJ&#10;AQAADwAAAGRycy9kb3ducmV2LnhtbE2PQU7DMBBF90jcwRokdtRJStMoxOkCqUIqZUHoAdx4iCPi&#10;cRQ7abk9wwqWo//0/5tqd3WDWHAKvScF6SoBgdR601On4PSxfyhAhKjJ6METKvjGALv69qbSpfEX&#10;eseliZ3gEgqlVmBjHEspQ2vR6bDyIxJnn35yOvI5ddJM+sLlbpBZkuTS6Z54weoRny22X83sFLSL&#10;K16mN3rdH8b55A/2aJr0qNT9XZo8gYh4jX8w/OqzOtTsdPYzmSAGBet1kTHKwWYDgoHHLN+COCvI&#10;0y3IupL/P6h/AFBLAwQUAAAACACHTuJAWnW0jC0CAABvBAAADgAAAGRycy9lMm9Eb2MueG1srVRL&#10;btswEN0X6B0I7mvZDpzEQuQs4rooULQB0h5gTFESAf46pC27lynQXQ/R4xS5RoeU43zahRfVghqK&#10;wzfz3szo6npnNNtKDMrZik9GY86kFa5Wtq34l8+rN5echQi2Bu2srPheBn69eP3qqvelnLrO6Voi&#10;IxAbyt5XvIvRl0URRCcNhJHz0tJh49BApC22RY3QE7rRxXQ8Pi96h7VHJ2QI9HU5HPIDIp4C6JpG&#10;Cbl0YmOkjQMqSg2RKIVO+cAXOdumkSJ+apogI9MVJ6YxrxSE7HVai8UVlC2C75Q4pACnpPCCkwFl&#10;KegRagkR2AbVX1BGCXTBNXEknCkGIlkRYjEZv9DmrgMvMxeSOvij6OH/wYqP21tkqq74dMKZBUMV&#10;v//+8/evH+xyntTpfSjJ6c7f4mEXyExUdw2a9CYSbJcV3R8VlbvIBH2cnU/mFzPOBB1N52dnF1nx&#10;4vGyxxDfSWdYMiqOVLCsI2w/hEgByfXBJcUKTqt6pbTOG2zXNxrZFqi4q/ykjOnKMzdtWV/x+Wya&#10;8gDq2IY6hUzjiXWwbY737EZ4CjzOz7+AU2JLCN2QQEZIblAaFWVSC8pOQv3W1izuPQlraaB4SsbI&#10;mjMtaf6SlT0jKH2KJ7HTlkimugyVSFbcrXcEk8y1q/dUUppw0rNz+I0iUn8T1a8bQIqv31tqIBoA&#10;fDDACnKsOKkymDdxGJGNR9V2hDPJ/BM89WGW+DAzqdGf7nNmj/+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J04X+2AAAAAkBAAAPAAAAAAAAAAEAIAAAACIAAABkcnMvZG93bnJldi54bWxQSwEC&#10;FAAUAAAACACHTuJAWnW0jC0CAABvBAAADgAAAAAAAAABACAAAAAnAQAAZHJzL2Uyb0RvYy54bWxQ&#10;SwUGAAAAAAYABgBZAQAAxgUAAAAA&#10;">
                      <v:fill on="t" focussize="0,0"/>
                      <v:stroke color="#000000" joinstyle="miter"/>
                      <v:imagedata o:title=""/>
                      <o:lock v:ext="edit" aspectratio="f"/>
                      <v:textbox inset="0mm,1.27mm,0mm,1.27mm">
                        <w:txbxContent>
                          <w:p w14:paraId="319C19CB">
                            <w:pPr>
                              <w:jc w:val="center"/>
                            </w:pPr>
                            <w:r>
                              <w:rPr>
                                <w:rFonts w:hint="eastAsia"/>
                                <w:lang w:val="en-US" w:eastAsia="zh-CN"/>
                              </w:rPr>
                              <w:t>隔油池</w:t>
                            </w:r>
                          </w:p>
                        </w:txbxContent>
                      </v:textbox>
                    </v:rect>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1871980</wp:posOffset>
                      </wp:positionH>
                      <wp:positionV relativeFrom="paragraph">
                        <wp:posOffset>121285</wp:posOffset>
                      </wp:positionV>
                      <wp:extent cx="457200" cy="208280"/>
                      <wp:effectExtent l="0" t="0" r="0" b="0"/>
                      <wp:wrapNone/>
                      <wp:docPr id="18" name="矩形 90"/>
                      <wp:cNvGraphicFramePr/>
                      <a:graphic xmlns:a="http://schemas.openxmlformats.org/drawingml/2006/main">
                        <a:graphicData uri="http://schemas.microsoft.com/office/word/2010/wordprocessingShape">
                          <wps:wsp>
                            <wps:cNvSpPr/>
                            <wps:spPr>
                              <a:xfrm>
                                <a:off x="0" y="0"/>
                                <a:ext cx="457200" cy="208280"/>
                              </a:xfrm>
                              <a:prstGeom prst="rect">
                                <a:avLst/>
                              </a:prstGeom>
                              <a:solidFill>
                                <a:srgbClr val="FFFFFF">
                                  <a:alpha val="0"/>
                                </a:srgbClr>
                              </a:solidFill>
                              <a:ln>
                                <a:noFill/>
                              </a:ln>
                            </wps:spPr>
                            <wps:txbx>
                              <w:txbxContent>
                                <w:p w14:paraId="594D06B7">
                                  <w:pPr>
                                    <w:rPr>
                                      <w:rFonts w:hint="default" w:eastAsia="宋体"/>
                                      <w:lang w:val="en-US" w:eastAsia="zh-CN"/>
                                    </w:rPr>
                                  </w:pPr>
                                  <w:r>
                                    <w:rPr>
                                      <w:rFonts w:hint="eastAsia"/>
                                      <w:lang w:val="en-US" w:eastAsia="zh-CN"/>
                                    </w:rPr>
                                    <w:t>14.5</w:t>
                                  </w:r>
                                </w:p>
                              </w:txbxContent>
                            </wps:txbx>
                            <wps:bodyPr vert="horz" wrap="square" lIns="0" tIns="0" rIns="0" bIns="0" anchor="t" anchorCtr="0" upright="1"/>
                          </wps:wsp>
                        </a:graphicData>
                      </a:graphic>
                    </wp:anchor>
                  </w:drawing>
                </mc:Choice>
                <mc:Fallback>
                  <w:pict>
                    <v:rect id="矩形 90" o:spid="_x0000_s1026" o:spt="1" style="position:absolute;left:0pt;margin-left:147.4pt;margin-top:9.55pt;height:16.4pt;width:36pt;z-index:251676672;mso-width-relative:page;mso-height-relative:page;" fillcolor="#FFFFFF" filled="t" stroked="f" coordsize="21600,21600" o:gfxdata="UEsDBAoAAAAAAIdO4kAAAAAAAAAAAAAAAAAEAAAAZHJzL1BLAwQUAAAACACHTuJAdTbn6tgAAAAJ&#10;AQAADwAAAGRycy9kb3ducmV2LnhtbE2PwU7DMBBE70j8g7VI3KiTUhIS4vRQqRKIqhIB7m68JBH2&#10;Oordpv17lhMcZ2c087Zan50VJ5zC4ElBukhAILXeDNQp+Hjf3j2CCFGT0dYTKrhggHV9fVXp0viZ&#10;3vDUxE5wCYVSK+hjHEspQ9uj02HhRyT2vvzkdGQ5ddJMeuZyZ+UySTLp9EC80OsRNz22383RKcjb&#10;Zvqcd9tV3jzvd9FS/rK5vCp1e5MmTyAinuNfGH7xGR1qZjr4I5kgrIJlsWL0yEaRguDAfZbx4aDg&#10;IS1A1pX8/0H9A1BLAwQUAAAACACHTuJA9ApaF+wBAADfAwAADgAAAGRycy9lMm9Eb2MueG1srVNN&#10;rtMwEN4jcQfLe5q04qdUTd/iVUVICJ704ACO4zSW/MeM26RcBokdh+A4iGswdpoWHpu3IAtnxh5/&#10;M9834/XNYA07KkDtXcXns5Iz5aRvtNtX/NPH3bMlZxiFa4TxTlX8pJDfbJ4+WfdhpRa+86ZRwAjE&#10;4aoPFe9iDKuiQNkpK3Dmg3J02HqwIpIL+6IB0RO6NcWiLF8WvYcmgJcKkXa34yE/I8JjAH3baqm2&#10;Xh6scnFEBWVEJErY6YB8k6ttWyXjh7ZFFZmpODGNeaUkZNdpLTZrsdqDCJ2W5xLEY0p4wMkK7Sjp&#10;BWoromAH0P9AWS3Bo2/jTHpbjESyIsRiXj7Q5r4TQWUuJDWGi+j4/2Dl++MdMN3QJFDfnbDU8V9f&#10;v//88Y29zur0AVcUdB/ugLRKHpKZqA4t2PQnEmzIip4uiqohMkmbz1+8op5zJuloUS4Xy4xZXC8H&#10;wPhGecuSUXGghmUdxfEdRkpIoVNIyoXe6GanjckO7OtbA+woqLm7/I13TejEuDulwzE04/2FYVxC&#10;cj5hjunSTnHlmaw41MOZfO2bEwlG74eq7Tx84ayn6ak4fj4IUJyZt47ak0ZtMmAy6skQTtLVikfO&#10;RvM2jiN5CKD3HSHP02DmKqjvuerzjKbB+tPPUdd3u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Tbn6tgAAAAJAQAADwAAAAAAAAABACAAAAAiAAAAZHJzL2Rvd25yZXYueG1sUEsBAhQAFAAAAAgA&#10;h07iQPQKWhfsAQAA3wMAAA4AAAAAAAAAAQAgAAAAJwEAAGRycy9lMm9Eb2MueG1sUEsFBgAAAAAG&#10;AAYAWQEAAIUFAAAAAA==&#10;">
                      <v:fill on="t" opacity="0f" focussize="0,0"/>
                      <v:stroke on="f"/>
                      <v:imagedata o:title=""/>
                      <o:lock v:ext="edit" aspectratio="f"/>
                      <v:textbox inset="0mm,0mm,0mm,0mm">
                        <w:txbxContent>
                          <w:p w14:paraId="594D06B7">
                            <w:pPr>
                              <w:rPr>
                                <w:rFonts w:hint="default" w:eastAsia="宋体"/>
                                <w:lang w:val="en-US" w:eastAsia="zh-CN"/>
                              </w:rPr>
                            </w:pPr>
                            <w:r>
                              <w:rPr>
                                <w:rFonts w:hint="eastAsia"/>
                                <w:lang w:val="en-US" w:eastAsia="zh-CN"/>
                              </w:rPr>
                              <w:t>14.5</w:t>
                            </w:r>
                          </w:p>
                        </w:txbxContent>
                      </v:textbox>
                    </v:rect>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1501775</wp:posOffset>
                      </wp:positionH>
                      <wp:positionV relativeFrom="paragraph">
                        <wp:posOffset>68580</wp:posOffset>
                      </wp:positionV>
                      <wp:extent cx="295910" cy="208280"/>
                      <wp:effectExtent l="0" t="0" r="0" b="0"/>
                      <wp:wrapNone/>
                      <wp:docPr id="16" name="矩形 88"/>
                      <wp:cNvGraphicFramePr/>
                      <a:graphic xmlns:a="http://schemas.openxmlformats.org/drawingml/2006/main">
                        <a:graphicData uri="http://schemas.microsoft.com/office/word/2010/wordprocessingShape">
                          <wps:wsp>
                            <wps:cNvSpPr/>
                            <wps:spPr>
                              <a:xfrm>
                                <a:off x="0" y="0"/>
                                <a:ext cx="295910" cy="208280"/>
                              </a:xfrm>
                              <a:prstGeom prst="rect">
                                <a:avLst/>
                              </a:prstGeom>
                              <a:solidFill>
                                <a:srgbClr val="FFFFFF">
                                  <a:alpha val="0"/>
                                </a:srgbClr>
                              </a:solidFill>
                              <a:ln>
                                <a:noFill/>
                              </a:ln>
                            </wps:spPr>
                            <wps:txbx>
                              <w:txbxContent>
                                <w:p w14:paraId="2F5F7032">
                                  <w:pPr>
                                    <w:rPr>
                                      <w:rFonts w:hint="default" w:eastAsia="宋体"/>
                                      <w:lang w:val="en-US" w:eastAsia="zh-CN"/>
                                    </w:rPr>
                                  </w:pPr>
                                  <w:r>
                                    <w:rPr>
                                      <w:rFonts w:hint="eastAsia"/>
                                      <w:lang w:val="en-US" w:eastAsia="zh-CN"/>
                                    </w:rPr>
                                    <w:t>5.1</w:t>
                                  </w:r>
                                </w:p>
                              </w:txbxContent>
                            </wps:txbx>
                            <wps:bodyPr vert="horz" wrap="square" lIns="0" tIns="0" rIns="0" bIns="0" anchor="t" anchorCtr="0" upright="1"/>
                          </wps:wsp>
                        </a:graphicData>
                      </a:graphic>
                    </wp:anchor>
                  </w:drawing>
                </mc:Choice>
                <mc:Fallback>
                  <w:pict>
                    <v:rect id="矩形 88" o:spid="_x0000_s1026" o:spt="1" style="position:absolute;left:0pt;margin-left:118.25pt;margin-top:5.4pt;height:16.4pt;width:23.3pt;z-index:251674624;mso-width-relative:page;mso-height-relative:page;" fillcolor="#FFFFFF" filled="t" stroked="f" coordsize="21600,21600" o:gfxdata="UEsDBAoAAAAAAIdO4kAAAAAAAAAAAAAAAAAEAAAAZHJzL1BLAwQUAAAACACHTuJAvBWDztgAAAAJ&#10;AQAADwAAAGRycy9kb3ducmV2LnhtbE2Py07DMBBF90j8gzVI7KjzKEmVxumiUiUQFRIB9m7sJhH2&#10;OLLdpv17hhVdju7RnXPrzcUadtY+jA4FpIsEmMbOqRF7AV+fu6cVsBAlKmkcagFXHWDT3N/VslJu&#10;xg99bmPPqARDJQUMMU4V56EbtJVh4SaNlB2dtzLS6XuuvJyp3BqeJUnBrRyRPgxy0ttBdz/tyQoo&#10;u9Z/z/vdsmxf3vfRYPm6vb4J8fiQJmtgUV/iPwx/+qQODTkd3AlVYEZAlhfPhFKQ0AQCslWeAjsI&#10;WOYF8KbmtwuaX1BLAwQUAAAACACHTuJAOtAtae4BAADfAwAADgAAAGRycy9lMm9Eb2MueG1srVPN&#10;jtMwEL4j8Q6W7zRtJVbdquketipCQrDSwgM4jpNY8h8zbpPyMkjceAgeB/EajJ2mC7uXPWwOzow9&#10;/ma+b8abm8EadlSA2ruSL2ZzzpSTvtauLfmXz/s3K84wClcL450q+Ukhv9m+frXpw1otfedNrYAR&#10;iMN1H0rexRjWRYGyU1bgzAfl6LDxYEUkF9qiBtETujXFcj6/KnoPdQAvFSLt7sZDfkaE5wD6ptFS&#10;7bw8WOXiiArKiEiUsNMB+TZX2zRKxk9NgyoyU3JiGvNKSciu0lpsN2LdggidlucSxHNKeMTJCu0o&#10;6QVqJ6JgB9BPoKyW4NE3cSa9LUYiWRFisZg/0ua+E0FlLiQ1hovo+HKw8uPxDpiuaRKuOHPCUsf/&#10;fP/5+9cPtloldfqAawq6D3dw9pDMRHVowKY/kWBDVvR0UVQNkUnaXF6/vV6Q1pKOlvPVcpUVLx4u&#10;B8D4TnnLklFyoIZlHcXxA0ZKSKFTSMqF3uh6r43JDrTVrQF2FNTcff7GuyZ0Ytyd0uEYmvH+wzAu&#10;ITmfMMd0aadIrEeeyYpDNZzJV74+kWD0fqjazsM3znqanpLj14MAxZl576g9adQmAyajmgzhJF0t&#10;eeRsNG/jOJKHALrtCHmRpM9VUN9z1ecZTYP1r5+jHt7l9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8FYPO2AAAAAkBAAAPAAAAAAAAAAEAIAAAACIAAABkcnMvZG93bnJldi54bWxQSwECFAAUAAAA&#10;CACHTuJAOtAtae4BAADfAwAADgAAAAAAAAABACAAAAAnAQAAZHJzL2Uyb0RvYy54bWxQSwUGAAAA&#10;AAYABgBZAQAAhwUAAAAA&#10;">
                      <v:fill on="t" opacity="0f" focussize="0,0"/>
                      <v:stroke on="f"/>
                      <v:imagedata o:title=""/>
                      <o:lock v:ext="edit" aspectratio="f"/>
                      <v:textbox inset="0mm,0mm,0mm,0mm">
                        <w:txbxContent>
                          <w:p w14:paraId="2F5F7032">
                            <w:pPr>
                              <w:rPr>
                                <w:rFonts w:hint="default" w:eastAsia="宋体"/>
                                <w:lang w:val="en-US" w:eastAsia="zh-CN"/>
                              </w:rPr>
                            </w:pPr>
                            <w:r>
                              <w:rPr>
                                <w:rFonts w:hint="eastAsia"/>
                                <w:lang w:val="en-US" w:eastAsia="zh-CN"/>
                              </w:rPr>
                              <w:t>5.1</w:t>
                            </w:r>
                          </w:p>
                        </w:txbxContent>
                      </v:textbox>
                    </v:rect>
                  </w:pict>
                </mc:Fallback>
              </mc:AlternateContent>
            </w:r>
          </w:p>
          <w:p w14:paraId="0A61FD85">
            <w:pPr>
              <w:pStyle w:val="84"/>
              <w:rPr>
                <w:rFonts w:hint="eastAsia"/>
                <w:color w:val="auto"/>
                <w:lang w:val="en-US" w:eastAsia="zh-CN"/>
              </w:rPr>
            </w:pP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3488055</wp:posOffset>
                      </wp:positionH>
                      <wp:positionV relativeFrom="paragraph">
                        <wp:posOffset>14605</wp:posOffset>
                      </wp:positionV>
                      <wp:extent cx="635" cy="396240"/>
                      <wp:effectExtent l="48895" t="0" r="57150" b="0"/>
                      <wp:wrapNone/>
                      <wp:docPr id="25" name="直线 62"/>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2" o:spid="_x0000_s1026" o:spt="20" style="position:absolute;left:0pt;margin-left:274.65pt;margin-top:1.15pt;height:31.2pt;width:0.05pt;z-index:251683840;mso-width-relative:page;mso-height-relative:page;" filled="f" stroked="t" coordsize="21600,21600" o:gfxdata="UEsDBAoAAAAAAIdO4kAAAAAAAAAAAAAAAAAEAAAAZHJzL1BLAwQUAAAACACHTuJALTsn2dgAAAAI&#10;AQAADwAAAGRycy9kb3ducmV2LnhtbE2PzU7DMBCE70i8g7VIXBB1WtICIZseQEiA4EBKxdWNt3GE&#10;f6LYbcLbs5zgtBrNaPabcj05K440xC54hPksA0G+CbrzLcLH5vHyBkRMymtlgyeEb4qwrk5PSlXo&#10;MPp3OtapFVziY6EQTEp9IWVsDDkVZ6Enz94+DE4llkMr9aBGLndWLrJsJZ3qPH8wqqd7Q81XfXAI&#10;7XZ81k+vn/Xebh82L8sLY97chHh+Ns/uQCSa0l8YfvEZHSpm2oWD11FYhGV+e8VRhAUf9lnnIHYI&#10;q/waZFXK/wOqH1BLAwQUAAAACACHTuJA1L7qdfABAADfAwAADgAAAGRycy9lMm9Eb2MueG1srVNL&#10;jhMxEN0jcQfLe9JJDxMxrXRmQRg2CEYaOEDFdndb8k8uJ52chWuwYsNx5hqU3SGBgcUs6IW7bJdf&#10;vffKXt0erGF7FVF71/LFbM6ZcsJL7fqWf/l89+oNZ5jASTDeqZYfFfLb9csXqzE0qvaDN1JFRiAO&#10;mzG0fEgpNFWFYlAWcOaDcrTZ+Wgh0TT2lYwwEro1VT2fL6vRRxmiFwqRVjfTJj8hxucA+q7TQm28&#10;2Fnl0oQalYFEknDQAfm6sO06JdKnrkOVmGk5KU1lpCIUb/NYrVfQ9BHCoMWJAjyHwhNNFrSjomeo&#10;DSRgu6j/grJaRI++SzPhbTUJKY6QisX8iTcPAwRVtJDVGM6m4/+DFR/395Fp2fL6mjMHljr++PXb&#10;4/cfbFlnd8aADSU9hPt4miGFWeqhizb/SQQ7FEePZ0fVITFBi8srQhW0fnWzrF8Xu6vLyRAxvVfe&#10;shy03GiX1UID+w+YqBql/krJy8axseU315mpALp6HbWcQhuIPrq+nEVvtLzTxuQTGPvtWxPZHnL7&#10;y5c1Ee4fabnIBnCY8srWdDEGBfKdkywdA/ni6D3wTMEqyZlR9HxyRIDQJNDmkgkx+vHfqVTbOKKQ&#10;fZ2czNHWyyP1YRei7geyYlFo5h3qeyF8uqP5Yv0+L0iXd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07J9nYAAAACAEAAA8AAAAAAAAAAQAgAAAAIgAAAGRycy9kb3ducmV2LnhtbFBLAQIUABQA&#10;AAAIAIdO4kDUvup18AEAAN8DAAAOAAAAAAAAAAEAIAAAACcBAABkcnMvZTJvRG9jLnhtbFBLBQYA&#10;AAAABgAGAFkBAACJBQ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2713990</wp:posOffset>
                      </wp:positionH>
                      <wp:positionV relativeFrom="paragraph">
                        <wp:posOffset>20955</wp:posOffset>
                      </wp:positionV>
                      <wp:extent cx="783590" cy="5715"/>
                      <wp:effectExtent l="0" t="48260" r="8890" b="52705"/>
                      <wp:wrapNone/>
                      <wp:docPr id="24" name="直线 61"/>
                      <wp:cNvGraphicFramePr/>
                      <a:graphic xmlns:a="http://schemas.openxmlformats.org/drawingml/2006/main">
                        <a:graphicData uri="http://schemas.microsoft.com/office/word/2010/wordprocessingShape">
                          <wps:wsp>
                            <wps:cNvSpPr/>
                            <wps:spPr>
                              <a:xfrm flipV="1">
                                <a:off x="0" y="0"/>
                                <a:ext cx="78359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1" o:spid="_x0000_s1026" o:spt="20" style="position:absolute;left:0pt;flip:y;margin-left:213.7pt;margin-top:1.65pt;height:0.45pt;width:61.7pt;z-index:251682816;mso-width-relative:page;mso-height-relative:page;" filled="f" stroked="t" coordsize="21600,21600" o:gfxdata="UEsDBAoAAAAAAIdO4kAAAAAAAAAAAAAAAAAEAAAAZHJzL1BLAwQUAAAACACHTuJAd1TTc9YAAAAH&#10;AQAADwAAAGRycy9kb3ducmV2LnhtbE2Py07DMBBF90j8gzVIbCpq90VRiNNFJViww61g68TTJDS2&#10;o3jahr9nuqLL0bm690y+GX0nzjikNgYNs6kCgaGKrg21hv3u7ekFRCIbnO1iQA2/mGBT3N/lNnPx&#10;Ej7xbKgWXBJSZjU0RH0mZaoa9DZNY4+B2SEO3hKfQy3dYC9c7js5V+pZetsGXmhsj9sGq6M5eQ3v&#10;H0Tlbt/T5Hj4Mj/fk+1o1kbrx4eZegVBONJ/GK76rA4FO5XxFFwSnYblfL3kqIbFAgTz1UrxK+UV&#10;gCxyeetf/AFQSwMEFAAAAAgAh07iQN/yEMf3AQAA6gMAAA4AAABkcnMvZTJvRG9jLnhtbK1TS3IT&#10;MRDdU8UdVNrjsQ3OZ8rjLDBhQ0GqEti3Jc2MqvQrteyxz8I1WLHhOLkGLY1xIMkiC2Yx1VI/PfV7&#10;3Vpe7a1hOxVRe9fw2WTKmXLCS+26hn+9u35zwRkmcBKMd6rhB4X8avX61XIItZr73hupIiMSh/UQ&#10;Gt6nFOqqQtErCzjxQTlKtj5aSLSMXSUjDMRuTTWfTs+qwUcZohcKkXbXY5IfGeNLCH3baqHWXmyt&#10;cmlkjcpAIknY64B8VaptWyXSl7ZFlZhpOClN5U+XULzJ/2q1hLqLEHotjiXAS0p4pMmCdnTpiWoN&#10;Cdg26idUVovo0bdpIrytRiHFEVIxmz7y5raHoIoWshrDyXT8f7Ti8+4mMi0bPn/HmQNLHb///uP+&#10;5y92NsvuDAFrAt2Gm3hcIYVZ6r6NlrVGh280RkU8yWH74u3h5K3aJyZo8/zi7eKSXBeUWpzPFpm7&#10;GkkyWYiYPipvWQ4abrTLwqGG3SdMI/QPJG8bx4aGXy7mC2IEmsKWuk+hDaQEXVfOojdaXmtj8gmM&#10;3ea9iWwHeRLKdyzhH1i+ZA3Yj7iSyjCoewXyg5MsHQJZ5Ohp8FyCVZIzo+gl5aggE2jzgIQY/fA8&#10;lOQbRy5ki0dTc7Tx8kAt2Yaou56sKF0oGBqB4tlxXPOM/b0uTA9Pd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1TTc9YAAAAHAQAADwAAAAAAAAABACAAAAAiAAAAZHJzL2Rvd25yZXYueG1sUEsB&#10;AhQAFAAAAAgAh07iQN/yEMf3AQAA6gMAAA4AAAAAAAAAAQAgAAAAJQEAAGRycy9lMm9Eb2MueG1s&#10;UEsFBgAAAAAGAAYAWQEAAI4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1867535</wp:posOffset>
                      </wp:positionH>
                      <wp:positionV relativeFrom="paragraph">
                        <wp:posOffset>39370</wp:posOffset>
                      </wp:positionV>
                      <wp:extent cx="287020" cy="3175"/>
                      <wp:effectExtent l="0" t="48260" r="2540" b="55245"/>
                      <wp:wrapNone/>
                      <wp:docPr id="23" name="直线 60"/>
                      <wp:cNvGraphicFramePr/>
                      <a:graphic xmlns:a="http://schemas.openxmlformats.org/drawingml/2006/main">
                        <a:graphicData uri="http://schemas.microsoft.com/office/word/2010/wordprocessingShape">
                          <wps:wsp>
                            <wps:cNvSpPr/>
                            <wps:spPr>
                              <a:xfrm flipV="1">
                                <a:off x="0" y="0"/>
                                <a:ext cx="287020" cy="3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0" o:spid="_x0000_s1026" o:spt="20" style="position:absolute;left:0pt;flip:y;margin-left:147.05pt;margin-top:3.1pt;height:0.25pt;width:22.6pt;z-index:251681792;mso-width-relative:page;mso-height-relative:page;" filled="f" stroked="t" coordsize="21600,21600" o:gfxdata="UEsDBAoAAAAAAIdO4kAAAAAAAAAAAAAAAAAEAAAAZHJzL1BLAwQUAAAACACHTuJAlhEicNYAAAAH&#10;AQAADwAAAGRycy9kb3ducmV2LnhtbE2OTU/DMBBE70j8B2uRuFTU+UAtDXF6qAQHbrgVXJ14m4TG&#10;dhRv2/DvWU5wHM3ozSu3sxvEBafYB68gXSYg0DfB9r5VcNi/PDyBiGS8NUPwqOAbI2yr25vSFDZc&#10;/TteNLWCIT4WRkFHNBZSxqZDZ+IyjOi5O4bJGeI4tdJO5spwN8gsSVbSmd7zQ2dG3HXYnPTZKXh9&#10;I6r3h5EWp+OH/vpc7Ga91krd36XJMwjCmf7G8KvP6lCxUx3O3kYxKMg2jylPFawyENzn+SYHUXNe&#10;g6xK+d+/+gFQSwMEFAAAAAgAh07iQOQtxvL2AQAA6gMAAA4AAABkcnMvZTJvRG9jLnhtbK1TzW4T&#10;MRC+I/EOlu90k63SllU2PRDKBUGlAveJ19615D95nGzyLLwGJy48Tl+DsTckUDj0gA/W2DP+PN/n&#10;z8vbvTVsJyNq71o+v5hxJp3wnXZ9yz9/unt1wxkmcB0Y72TLDxL57erli+UYGln7wZtORkYgDpsx&#10;tHxIKTRVhWKQFvDCB+koqXy0kGgZ+6qLMBK6NVU9m11Vo49diF5IRNpdT0l+RIzPAfRKaSHXXmyt&#10;dGlCjdJAIko46IB8VbpVSor0USmUiZmWE9NUZrqE4k2eq9USmj5CGLQ4tgDPaeEJJwva0aUnqDUk&#10;YNuo/4KyWkSPXqUL4W01ESmKEIv57Ik2DwMEWbiQ1BhOouP/gxUfdveR6a7l9SVnDiy9+OPXb4/f&#10;f7Cros4YsKGih3AfSau8Qgoz1b2KlimjwxeyUSFPdNi+aHs4aSv3iQnarG+uZzWpLih1Ob9eZOWr&#10;CSSDhYjpnfSW5aDlRrtMHBrYvcc0lf4qydvGsbHlrxf1ghCBXKjo9Sm0gZig68tZ9EZ3d9qYfAJj&#10;v3ljIttBdkIZxxb+KMuXrAGHqa6kJo8MErq3rmPpEEgiR1+D5xas7Dgzkn5SjoqbEmhzroQY/fjv&#10;UqJvHKlwFjVHG98d6Em2Iep+ICnmpc2cIQsUzY52zR77fV2Qzl90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SJw1gAAAAcBAAAPAAAAAAAAAAEAIAAAACIAAABkcnMvZG93bnJldi54bWxQSwEC&#10;FAAUAAAACACHTuJA5C3G8vYBAADqAwAADgAAAAAAAAABACAAAAAlAQAAZHJzL2Uyb0RvYy54bWxQ&#10;SwUGAAAAAAYABgBZAQAAjQU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1864360</wp:posOffset>
                      </wp:positionH>
                      <wp:positionV relativeFrom="paragraph">
                        <wp:posOffset>42545</wp:posOffset>
                      </wp:positionV>
                      <wp:extent cx="3175" cy="237490"/>
                      <wp:effectExtent l="4445" t="0" r="7620" b="6350"/>
                      <wp:wrapNone/>
                      <wp:docPr id="22" name="直线 59"/>
                      <wp:cNvGraphicFramePr/>
                      <a:graphic xmlns:a="http://schemas.openxmlformats.org/drawingml/2006/main">
                        <a:graphicData uri="http://schemas.microsoft.com/office/word/2010/wordprocessingShape">
                          <wps:wsp>
                            <wps:cNvSpPr/>
                            <wps:spPr>
                              <a:xfrm flipH="1" flipV="1">
                                <a:off x="0" y="0"/>
                                <a:ext cx="3175" cy="2374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flip:x y;margin-left:146.8pt;margin-top:3.35pt;height:18.7pt;width:0.25pt;z-index:251680768;mso-width-relative:page;mso-height-relative:page;" filled="f" stroked="t" coordsize="21600,21600" o:gfxdata="UEsDBAoAAAAAAIdO4kAAAAAAAAAAAAAAAAAEAAAAZHJzL1BLAwQUAAAACACHTuJAr2qnuNUAAAAI&#10;AQAADwAAAGRycy9kb3ducmV2LnhtbE2PwU7DMBBE70j8g7VI3KiTUCVpiNNDpX5AC6o4uvESR9jr&#10;ELtN+XuWE5xWqxnNvGm3N+/EFec4BlKQrzIQSH0wIw0K3l73TzWImDQZ7QKhgm+MsO3u71rdmLDQ&#10;Aa/HNAgOodhoBTalqZEy9ha9jqswIbH2EWavE7/zIM2sFw73ThZZVkqvR+IGqyfcWew/jxevwNVZ&#10;/XXaVcv7wXDL/uQsVblSjw959gIi4S39meEXn9GhY6ZzuJCJwikoNs8lWxWUFQjWi806B3FWsOYr&#10;u1b+H9D9AFBLAwQUAAAACACHTuJANhIWwPkBAADzAwAADgAAAGRycy9lMm9Eb2MueG1srVNLjhMx&#10;EN0jcQfLe9JJhjCklc4sCAMLBCMNsK/Y7m5L/snlpJOzcA1WbDjOXGPK7hBg2GRBL1rPrvKres/l&#10;1c3BGrZXEbV3DZ9NppwpJ7zUrmv4l8+3L15zhgmcBOOdavhRIb9ZP3+2GkKt5r73RqrIiMRhPYSG&#10;9ymFuqpQ9MoCTnxQjoKtjxYSLWNXyQgDsVtTzafTV9XgowzRC4VIu5sxyE+M8RJC37ZaqI0XO6tc&#10;GlmjMpBIEvY6IF+XbttWifSpbVElZhpOSlP5UxHC2/yv1iuouwih1+LUAlzSwhNNFrSjomeqDSRg&#10;u6j/obJaRI++TRPhbTUKKY6Qitn0iTf3PQRVtJDVGM6m4/+jFR/3d5Fp2fD5nDMHlm784dv3hx8/&#10;2WKZ3RkC1pR0H+7iaYUEs9RDGy1rjQ7vaYx4QV8zyjESxg7F5ePZZXVITNDm1ex6wZmgwPzq+uWy&#10;3EE10uWjIWJ6p7xlGTTcaJctgBr2HzBRC5T6KyVvG8eGhi8X88wJNI8tzQFBG0gTuq6cRW+0vNXG&#10;5BMYu+0bE9ke8kyULwsl3r/ScpENYD/mldA4Lb0C+dZJlo6BzHL0SHhuwSrJmVH0pjIiQqgTaHNJ&#10;JpU2jjrIXo/uZrT18kh3swtRdz05MStd5gjNQun3NLd52P5cF6bfb3X9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9qp7jVAAAACAEAAA8AAAAAAAAAAQAgAAAAIgAAAGRycy9kb3ducmV2LnhtbFBL&#10;AQIUABQAAAAIAIdO4kA2EhbA+QEAAPMDAAAOAAAAAAAAAAEAIAAAACQBAABkcnMvZTJvRG9jLnht&#10;bFBLBQYAAAAABgAGAFkBAACPBQ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1309370</wp:posOffset>
                      </wp:positionH>
                      <wp:positionV relativeFrom="paragraph">
                        <wp:posOffset>5080</wp:posOffset>
                      </wp:positionV>
                      <wp:extent cx="336550" cy="265430"/>
                      <wp:effectExtent l="0" t="20320" r="13970" b="19050"/>
                      <wp:wrapNone/>
                      <wp:docPr id="4" name="自选图形 55"/>
                      <wp:cNvGraphicFramePr/>
                      <a:graphic xmlns:a="http://schemas.openxmlformats.org/drawingml/2006/main">
                        <a:graphicData uri="http://schemas.microsoft.com/office/word/2010/wordprocessingShape">
                          <wps:wsp>
                            <wps:cNvCnPr/>
                            <wps:spPr>
                              <a:xfrm flipV="1">
                                <a:off x="0" y="0"/>
                                <a:ext cx="336550" cy="265430"/>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55" o:spid="_x0000_s1026" o:spt="38" type="#_x0000_t38" style="position:absolute;left:0pt;flip:y;margin-left:103.1pt;margin-top:0.4pt;height:20.9pt;width:26.5pt;z-index:251662336;mso-width-relative:page;mso-height-relative:page;" filled="f" stroked="t" coordsize="21600,21600" o:gfxdata="UEsDBAoAAAAAAIdO4kAAAAAAAAAAAAAAAAAEAAAAZHJzL1BLAwQUAAAACACHTuJA1AH/59YAAAAH&#10;AQAADwAAAGRycy9kb3ducmV2LnhtbE2PMU/DMBSEdyT+g/WQWFBr14JQQpwOkRg6MJAiwejGr0lE&#10;/BzFbtry63lMMJ7udPddsTn7Qcw4xT6QgdVSgUBqguupNfC+e1msQcRkydkhEBq4YIRNeX1V2NyF&#10;E73hXKdWcAnF3BroUhpzKWPTobdxGUYk9g5h8jaxnFrpJnvicj9IrVQmve2JFzo7YtVh81UfvQE6&#10;fFR3EzZ2+13V+Pg59/p1ezHm9malnkEkPKe/MPziMzqUzLQPR3JRDAa0yjRHDfABtvXDE8u9gXud&#10;gSwL+Z+//AFQSwMEFAAAAAgAh07iQPAJvEsdAgAAIAQAAA4AAABkcnMvZTJvRG9jLnhtbK1TS44T&#10;MRDdI3EHy3vS+UxH0EpnFgnDBsFIfPYV291t5J9sJ53s2CHOwI4ld4DbjAS3oOxuMjAIaRb0olW2&#10;n1/Ve1VeXR61Igfhg7SmprPJlBJhmOXStDV98/rq0WNKQgTDQVkjanoSgV6uHz5Y9a4Sc9tZxYUn&#10;SGJC1buadjG6qigC64SGMLFOGDxsrNcQcenbgnvokV2rYj6dLoveeu68ZSIE3N0Oh3Rk9PchtE0j&#10;mdhattfCxIHVCwURJYVOukDXudqmESy+bJogIlE1RaUx/zEJxrv0L9YrqFoPrpNsLAHuU8IdTRqk&#10;waRnqi1EIHsv/6LSknkbbBMnzOpiEJIdQRWz6R1vXnXgRNaCVgd3Nj38P1r24nDtieQ1vaDEgMaG&#10;f//w5cf7jzefvt18/UzKMlnUu1AhcmOu/bgK7tonvcfGa9Io6d7iLGUHUBM5ZoNPZ4PFMRKGm4vF&#10;sizReoZH82V5scgNKAaaROd8iM+E1SQFNWV7fxB8Y43BRlq/yAng8DzE7DUfKwb+bkZJoxW27gCK&#10;lFP8Ut3IPKIx+sWdripD+po+KeclFgM4xQ1OD4baoRPBtDlRsEryK6lUuhF8u9soT5AfZeVvzPAH&#10;LCXZQugGHMcooaDqBPCnhpN4cmixwZdFUwVacEqUwIeYooyMINUtMnoJplX/QKMqZVBm6s/QkRTt&#10;LD/lRuV9HJxsxDjkaTJ/X+fbtw97/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Af/n1gAAAAcB&#10;AAAPAAAAAAAAAAEAIAAAACIAAABkcnMvZG93bnJldi54bWxQSwECFAAUAAAACACHTuJA8Am8Sx0C&#10;AAAgBAAADgAAAAAAAAABACAAAAAlAQAAZHJzL2Uyb0RvYy54bWxQSwUGAAAAAAYABgBZAQAAtAUA&#10;AAAA&#10;" adj="10800">
                      <v:fill on="f" focussize="0,0"/>
                      <v:stroke color="#000000" joinstyle="round" dashstyle="dash" endarrow="block"/>
                      <v:imagedata o:title=""/>
                      <o:lock v:ext="edit" aspectratio="f"/>
                    </v:shape>
                  </w:pict>
                </mc:Fallback>
              </mc:AlternateContent>
            </w:r>
          </w:p>
          <w:p w14:paraId="20B688DE">
            <w:pPr>
              <w:pStyle w:val="84"/>
              <w:rPr>
                <w:rFonts w:hint="eastAsia"/>
                <w:color w:val="auto"/>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8255</wp:posOffset>
                      </wp:positionV>
                      <wp:extent cx="413385" cy="284480"/>
                      <wp:effectExtent l="0" t="0" r="0" b="0"/>
                      <wp:wrapNone/>
                      <wp:docPr id="2" name="矩形 53"/>
                      <wp:cNvGraphicFramePr/>
                      <a:graphic xmlns:a="http://schemas.openxmlformats.org/drawingml/2006/main">
                        <a:graphicData uri="http://schemas.microsoft.com/office/word/2010/wordprocessingShape">
                          <wps:wsp>
                            <wps:cNvSpPr/>
                            <wps:spPr>
                              <a:xfrm>
                                <a:off x="0" y="0"/>
                                <a:ext cx="413385" cy="284480"/>
                              </a:xfrm>
                              <a:prstGeom prst="rect">
                                <a:avLst/>
                              </a:prstGeom>
                              <a:solidFill>
                                <a:srgbClr val="FFFFFF">
                                  <a:alpha val="0"/>
                                </a:srgbClr>
                              </a:solidFill>
                              <a:ln>
                                <a:noFill/>
                              </a:ln>
                            </wps:spPr>
                            <wps:txbx>
                              <w:txbxContent>
                                <w:p w14:paraId="2CD02A3A">
                                  <w:r>
                                    <w:rPr>
                                      <w:rFonts w:hint="eastAsia"/>
                                      <w:lang w:val="en-US" w:eastAsia="zh-CN"/>
                                    </w:rPr>
                                    <w:t>25.6</w:t>
                                  </w:r>
                                </w:p>
                              </w:txbxContent>
                            </wps:txbx>
                            <wps:bodyPr vert="horz" wrap="square" lIns="0" tIns="0" rIns="0" bIns="0" anchor="t" anchorCtr="0" upright="1"/>
                          </wps:wsp>
                        </a:graphicData>
                      </a:graphic>
                    </wp:anchor>
                  </w:drawing>
                </mc:Choice>
                <mc:Fallback>
                  <w:pict>
                    <v:rect id="矩形 53" o:spid="_x0000_s1026" o:spt="1" style="position:absolute;left:0pt;margin-left:64pt;margin-top:0.65pt;height:22.4pt;width:32.55pt;z-index:251660288;mso-width-relative:page;mso-height-relative:page;" fillcolor="#FFFFFF" filled="t" stroked="f" coordsize="21600,21600" o:gfxdata="UEsDBAoAAAAAAIdO4kAAAAAAAAAAAAAAAAAEAAAAZHJzL1BLAwQUAAAACACHTuJAEtH/GdcAAAAI&#10;AQAADwAAAGRycy9kb3ducmV2LnhtbE2PwU7DMBBE70j8g7VI3KiTtmpKiNNDpUogKiQC3N14SSLs&#10;dWS7Tfv3bE9w29GMZt9Um7Oz4oQhDp4U5LMMBFLrzUCdgs+P3cMaREyajLaeUMEFI2zq25tKl8ZP&#10;9I6nJnWCSyiWWkGf0lhKGdsenY4zPyKx9+2D04ll6KQJeuJyZ+U8y1bS6YH4Q69H3PbY/jRHp6Bo&#10;m/A17XfLonl+2ydLxcv28qrU/V2ePYFIeE5/YbjiMzrUzHTwRzJRWNbzNW9JfCxAXP3HRQ7ioGC5&#10;ykHWlfw/oP4FUEsDBBQAAAAIAIdO4kA0tDes7QEAAN4DAAAOAAAAZHJzL2Uyb0RvYy54bWytU82O&#10;0zAQviPxDpbvNP1bVFVN97BVERKClRYewHWcxJL/mHGblJdB4sZD8DiI12DspF1YLnsgB2fGHn8z&#10;3zfjzW1vDTspQO1dyWeTKWfKSV9p15T808f9qxVnGIWrhPFOlfyskN9uX77YdGGt5r71plLACMTh&#10;ugslb2MM66JA2SorcOKDcnRYe7AikgtNUYHoCN2aYj6dvi46D1UALxUi7e6GQz4iwnMAfV1rqXZe&#10;Hq1ycUAFZUQkStjqgHybq61rJeOHukYVmSk5MY15pSRkH9JabDdi3YAIrZZjCeI5JTzhZIV2lPQK&#10;tRNRsCPof6CsluDR13EivS0GIlkRYjGbPtHmoRVBZS4kNYar6Pj/YOX70z0wXZV8zpkTlhr+6+v3&#10;nz++sZtFEqcLuKaYh3APo4dkJqZ9DTb9iQPrs6Dnq6Cqj0zS5nK2WKxuOJN0NF8tl6ssePF4OQDG&#10;N8pbloySA/UryyhO7zBSQgq9hKRc6I2u9tqY7EBzuDPAToJ6u8/fcNeEVgy7l3Q4hGa8vzCMS0jO&#10;J8whXdopEuuBZ7Jif+hH8gdfnUkvej5UbevhC2cdDU/J8fNRgOLMvHXUnTRpFwMuxuFiCCfpaskj&#10;Z4N5F4eJPAbQTUvIsyR9roLanqseRzTN1Z9+jnp8l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tH/GdcAAAAIAQAADwAAAAAAAAABACAAAAAiAAAAZHJzL2Rvd25yZXYueG1sUEsBAhQAFAAAAAgA&#10;h07iQDS0N6ztAQAA3gMAAA4AAAAAAAAAAQAgAAAAJgEAAGRycy9lMm9Eb2MueG1sUEsFBgAAAAAG&#10;AAYAWQEAAIUFAAAAAA==&#10;">
                      <v:fill on="t" opacity="0f" focussize="0,0"/>
                      <v:stroke on="f"/>
                      <v:imagedata o:title=""/>
                      <o:lock v:ext="edit" aspectratio="f"/>
                      <v:textbox inset="0mm,0mm,0mm,0mm">
                        <w:txbxContent>
                          <w:p w14:paraId="2CD02A3A">
                            <w:r>
                              <w:rPr>
                                <w:rFonts w:hint="eastAsia"/>
                                <w:lang w:val="en-US" w:eastAsia="zh-CN"/>
                              </w:rPr>
                              <w:t>25.6</w:t>
                            </w:r>
                          </w:p>
                        </w:txbxContent>
                      </v:textbox>
                    </v:rect>
                  </w:pict>
                </mc:Fallback>
              </mc:AlternateContent>
            </w: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3601720</wp:posOffset>
                      </wp:positionH>
                      <wp:positionV relativeFrom="paragraph">
                        <wp:posOffset>34290</wp:posOffset>
                      </wp:positionV>
                      <wp:extent cx="309880" cy="271145"/>
                      <wp:effectExtent l="0" t="0" r="0" b="0"/>
                      <wp:wrapNone/>
                      <wp:docPr id="26" name="矩形 54"/>
                      <wp:cNvGraphicFramePr/>
                      <a:graphic xmlns:a="http://schemas.openxmlformats.org/drawingml/2006/main">
                        <a:graphicData uri="http://schemas.microsoft.com/office/word/2010/wordprocessingShape">
                          <wps:wsp>
                            <wps:cNvSpPr/>
                            <wps:spPr>
                              <a:xfrm>
                                <a:off x="0" y="0"/>
                                <a:ext cx="309880" cy="271145"/>
                              </a:xfrm>
                              <a:prstGeom prst="rect">
                                <a:avLst/>
                              </a:prstGeom>
                              <a:solidFill>
                                <a:srgbClr val="FFFFFF">
                                  <a:alpha val="0"/>
                                </a:srgbClr>
                              </a:solidFill>
                              <a:ln>
                                <a:noFill/>
                              </a:ln>
                            </wps:spPr>
                            <wps:txbx>
                              <w:txbxContent>
                                <w:p w14:paraId="2699E5CC">
                                  <w:pPr>
                                    <w:rPr>
                                      <w:rFonts w:hint="default" w:eastAsia="宋体"/>
                                      <w:lang w:val="en-US" w:eastAsia="zh-CN"/>
                                    </w:rPr>
                                  </w:pPr>
                                  <w:r>
                                    <w:rPr>
                                      <w:rFonts w:hint="eastAsia"/>
                                      <w:lang w:val="en-US" w:eastAsia="zh-CN"/>
                                    </w:rPr>
                                    <w:t>20.5</w:t>
                                  </w:r>
                                </w:p>
                              </w:txbxContent>
                            </wps:txbx>
                            <wps:bodyPr vert="horz" wrap="square" lIns="0" tIns="0" rIns="0" bIns="0" anchor="t" anchorCtr="0" upright="1"/>
                          </wps:wsp>
                        </a:graphicData>
                      </a:graphic>
                    </wp:anchor>
                  </w:drawing>
                </mc:Choice>
                <mc:Fallback>
                  <w:pict>
                    <v:rect id="矩形 54" o:spid="_x0000_s1026" o:spt="1" style="position:absolute;left:0pt;margin-left:283.6pt;margin-top:2.7pt;height:21.35pt;width:24.4pt;z-index:251684864;mso-width-relative:page;mso-height-relative:page;" fillcolor="#FFFFFF" filled="t" stroked="f" coordsize="21600,21600" o:gfxdata="UEsDBAoAAAAAAIdO4kAAAAAAAAAAAAAAAAAEAAAAZHJzL1BLAwQUAAAACACHTuJAZtOnVdcAAAAI&#10;AQAADwAAAGRycy9kb3ducmV2LnhtbE2PwWrDMBBE74X+g9hCb43s4NrBsZxDINDSUKjT3hVrY5ta&#10;KyMpcfL33Z7a2w4zzL6pNlc7igv6MDhSkC4SEEitMwN1Cj4Pu6cViBA1GT06QgU3DLCp7+8qXRo3&#10;0wdemtgJLqFQagV9jFMpZWh7tDos3ITE3sl5qyNL30nj9czldpTLJMml1QPxh15PuO2x/W7OVkHR&#10;Nv5r3u+yonl538eRitft7U2px4c0WYOIeI1/YfjFZ3SomenozmSCGBU858WSo3xkINjP05y3HRVk&#10;qxRkXcn/A+ofUEsDBBQAAAAIAIdO4kCU0CLC8AEAAN8DAAAOAAAAZHJzL2Uyb0RvYy54bWytU81u&#10;EzEQviPxDpbvZJPQlhBl00OjICQElQoP4Hi9WUv+Y8bJbngZJG48BI+DeA3GdpLS9tIDe/DO2ONv&#10;5vtmvLgerGF7Bai9q/lkNOZMOekb7bY1//J5/WrGGUbhGmG8UzU/KOTXy5cvFn2Yq6nvvGkUMAJx&#10;OO9DzbsYw7yqUHbKChz5oBwdth6siOTCtmpA9IRuTTUdj6+q3kMTwEuFSLurcsiPiPAcQN+2WqqV&#10;lzurXCyooIyIRAk7HZAvc7Vtq2T81LaoIjM1J6Yxr5SE7E1aq+VCzLcgQqflsQTxnBIecbJCO0p6&#10;hlqJKNgO9BMoqyV49G0cSW+rQiQrQiwm40fa3HUiqMyFpMZwFh3/H6z8uL8FppuaT684c8JSx/98&#10;//n71w92eZHU6QPOKegu3MLRQzIT1aEFm/5Egg1Z0cNZUTVEJmnz9fjtbEZaSzqavplMLi4TZnV/&#10;OQDGd8pbloyaAzUs6yj2HzCW0FNIyoXe6GatjckObDc3BtheUHPX+St3TehE2c0NpnRYQnPqBxjG&#10;JSTnE2ZJl3aqxLrwTFYcNsOR/MY3BxKM3g9V23n4xllP01Nz/LoToDgz7x21J43ayYCTsTkZwkm6&#10;WvPIWTFvYhnJXQC97Qh5kmVKuanvuerjjKbB+tfPtd6/y+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tOnVdcAAAAIAQAADwAAAAAAAAABACAAAAAiAAAAZHJzL2Rvd25yZXYueG1sUEsBAhQAFAAA&#10;AAgAh07iQJTQIsLwAQAA3wMAAA4AAAAAAAAAAQAgAAAAJgEAAGRycy9lMm9Eb2MueG1sUEsFBgAA&#10;AAAGAAYAWQEAAIgFAAAAAA==&#10;">
                      <v:fill on="t" opacity="0f" focussize="0,0"/>
                      <v:stroke on="f"/>
                      <v:imagedata o:title=""/>
                      <o:lock v:ext="edit" aspectratio="f"/>
                      <v:textbox inset="0mm,0mm,0mm,0mm">
                        <w:txbxContent>
                          <w:p w14:paraId="2699E5CC">
                            <w:pPr>
                              <w:rPr>
                                <w:rFonts w:hint="default" w:eastAsia="宋体"/>
                                <w:lang w:val="en-US" w:eastAsia="zh-CN"/>
                              </w:rPr>
                            </w:pPr>
                            <w:r>
                              <w:rPr>
                                <w:rFonts w:hint="eastAsia"/>
                                <w:lang w:val="en-US" w:eastAsia="zh-CN"/>
                              </w:rPr>
                              <w:t>20.5</w:t>
                            </w:r>
                          </w:p>
                        </w:txbxContent>
                      </v:textbox>
                    </v:rect>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3899535</wp:posOffset>
                      </wp:positionH>
                      <wp:positionV relativeFrom="paragraph">
                        <wp:posOffset>31115</wp:posOffset>
                      </wp:positionV>
                      <wp:extent cx="1144905" cy="282575"/>
                      <wp:effectExtent l="4445" t="4445" r="8890" b="17780"/>
                      <wp:wrapNone/>
                      <wp:docPr id="19" name="矩形 60"/>
                      <wp:cNvGraphicFramePr/>
                      <a:graphic xmlns:a="http://schemas.openxmlformats.org/drawingml/2006/main">
                        <a:graphicData uri="http://schemas.microsoft.com/office/word/2010/wordprocessingShape">
                          <wps:wsp>
                            <wps:cNvSpPr/>
                            <wps:spPr>
                              <a:xfrm>
                                <a:off x="0" y="0"/>
                                <a:ext cx="114490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23954">
                                  <w:r>
                                    <w:t>八公山污水处理厂</w:t>
                                  </w:r>
                                </w:p>
                              </w:txbxContent>
                            </wps:txbx>
                            <wps:bodyPr vert="horz" wrap="square" lIns="0" rIns="0" anchor="t" anchorCtr="0" upright="1"/>
                          </wps:wsp>
                        </a:graphicData>
                      </a:graphic>
                    </wp:anchor>
                  </w:drawing>
                </mc:Choice>
                <mc:Fallback>
                  <w:pict>
                    <v:rect id="矩形 60" o:spid="_x0000_s1026" o:spt="1" style="position:absolute;left:0pt;margin-left:307.05pt;margin-top:2.45pt;height:22.25pt;width:90.15pt;z-index:251677696;mso-width-relative:page;mso-height-relative:page;" fillcolor="#FFFFFF" filled="t" stroked="t" coordsize="21600,21600" o:gfxdata="UEsDBAoAAAAAAIdO4kAAAAAAAAAAAAAAAAAEAAAAZHJzL1BLAwQUAAAACACHTuJAyod/ItUAAAAI&#10;AQAADwAAAGRycy9kb3ducmV2LnhtbE2PwU7DMBBE70j8g7VI3KhjZJU2xOkBqUIq5UDoB7jxNo4a&#10;ryPbScvf457gOJrRzJtqc3UDmzHE3pMCsSiAIbXe9NQpOHxvn1bAYtJk9OAJFfxghE19f1fp0vgL&#10;feHcpI7lEoqlVmBTGkvOY2vR6bjwI1L2Tj44nbIMHTdBX3K5G/hzUSy50z3lBatHfLPYnpvJKWhn&#10;t3oPn/Sx3Y3Twe/s3jRir9TjgyhegSW8pr8w3PAzOtSZ6egnMpENCpZCihxVINfAsv+ylhLY8aYl&#10;8Lri/w/Uv1BLAwQUAAAACACHTuJAuHjjpSoCAABwBAAADgAAAGRycy9lMm9Eb2MueG1srVTNjtMw&#10;EL4j8Q6W7zRptV220aZ72FKEhGClhQdwbSex5D/GbpPyMkjceAgeB/EajJ1uu7tw6IEc0s/J5Jv5&#10;vpnp9c1gNNlJCMrZmk4nJSXScieUbWv6+dP61RUlITIrmHZW1nQvA71Zvnxx3ftKzlzntJBAkMSG&#10;qvc17WL0VVEE3knDwsR5afFl48CwiEdoCwGsR3aji1lZXha9A+HBcRkCPl2NL+mBEc4hdE2juFw5&#10;vjXSxpEVpGYRJYVO+UCXudqmkTx+bJogI9E1RaUx3zEJ4k26F8trVrXAfKf4oQR2TgnPNBmmLCY9&#10;Uq1YZGQL6i8qozi44Jo44c4Uo5DsCKqYls+8ue+Yl1kLWh380fTw/2j5h90dECVwEhaUWGaw47+/&#10;/fj18zu5zO70PlQYdO/vAL1Kp4AwSR0aMOkXRZAhO7o/OiqHSDg+nE4vLhblnBKO72ZXs/nrebK8&#10;OH3tIcS30hmSQE0BO5aNZLv3IY6hDyEpWXBaibXSOh+g3dxqIDuG3V3n68D+JExb0td0MZ+lOhiO&#10;bIOjgtB4lB1sm/M9+SI8Ji7z9S/iVNiKhW4sIDOkMFYZFSVk1Ekm3lhB4t6jsxY3iqZijBSUaIkL&#10;mFCOjEzpcyLRO23RwlMrEorDZkCaBDdO7LGnuOLoZ+fgK2bEAUepX7YMML9+Z3GCcAPgATDLMbCm&#10;6MoIb+O4I1sPqu2QZ5r1J3ocxNzAw9KkSX98zpWd/ii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h38i1QAAAAgBAAAPAAAAAAAAAAEAIAAAACIAAABkcnMvZG93bnJldi54bWxQSwECFAAUAAAA&#10;CACHTuJAuHjjpSoCAABwBAAADgAAAAAAAAABACAAAAAkAQAAZHJzL2Uyb0RvYy54bWxQSwUGAAAA&#10;AAYABgBZAQAAwAUAAAAA&#10;">
                      <v:fill on="t" focussize="0,0"/>
                      <v:stroke color="#000000" joinstyle="miter"/>
                      <v:imagedata o:title=""/>
                      <o:lock v:ext="edit" aspectratio="f"/>
                      <v:textbox inset="0mm,1.27mm,0mm,1.27mm">
                        <w:txbxContent>
                          <w:p w14:paraId="6A723954">
                            <w:r>
                              <w:t>八公山污水处理厂</w:t>
                            </w:r>
                          </w:p>
                        </w:txbxContent>
                      </v:textbox>
                    </v:rect>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2771775</wp:posOffset>
                      </wp:positionH>
                      <wp:positionV relativeFrom="paragraph">
                        <wp:posOffset>54610</wp:posOffset>
                      </wp:positionV>
                      <wp:extent cx="561975" cy="293370"/>
                      <wp:effectExtent l="4445" t="4445" r="12700" b="6985"/>
                      <wp:wrapNone/>
                      <wp:docPr id="17" name="矩形 89"/>
                      <wp:cNvGraphicFramePr/>
                      <a:graphic xmlns:a="http://schemas.openxmlformats.org/drawingml/2006/main">
                        <a:graphicData uri="http://schemas.microsoft.com/office/word/2010/wordprocessingShape">
                          <wps:wsp>
                            <wps:cNvSpPr/>
                            <wps:spPr>
                              <a:xfrm>
                                <a:off x="0" y="0"/>
                                <a:ext cx="56197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4204A8">
                                  <w:r>
                                    <w:rPr>
                                      <w:rFonts w:hint="eastAsia"/>
                                    </w:rPr>
                                    <w:t>化粪池</w:t>
                                  </w:r>
                                </w:p>
                              </w:txbxContent>
                            </wps:txbx>
                            <wps:bodyPr vert="horz" wrap="square" lIns="0" rIns="0" anchor="t" anchorCtr="0" upright="1"/>
                          </wps:wsp>
                        </a:graphicData>
                      </a:graphic>
                    </wp:anchor>
                  </w:drawing>
                </mc:Choice>
                <mc:Fallback>
                  <w:pict>
                    <v:rect id="矩形 89" o:spid="_x0000_s1026" o:spt="1" style="position:absolute;left:0pt;margin-left:218.25pt;margin-top:4.3pt;height:23.1pt;width:44.25pt;z-index:251675648;mso-width-relative:page;mso-height-relative:page;" fillcolor="#FFFFFF" filled="t" stroked="t" coordsize="21600,21600" o:gfxdata="UEsDBAoAAAAAAIdO4kAAAAAAAAAAAAAAAAAEAAAAZHJzL1BLAwQUAAAACACHTuJACEmZltcAAAAI&#10;AQAADwAAAGRycy9kb3ducmV2LnhtbE2PwU7DMBBE70j8g7VI3KiT0kRRiNMDUoVUyoHQD3DjbRw1&#10;Xkexk5a/ZznBbUczmn1TbW9uEAtOofekIF0lIJBab3rqFBy/dk8FiBA1GT14QgXfGGBb399VujT+&#10;Sp+4NLETXEKh1ApsjGMpZWgtOh1WfkRi7+wnpyPLqZNm0lcud4NcJ0kune6JP1g94qvF9tLMTkG7&#10;uOJt+qD33X6cj35vD6ZJD0o9PqTJC4iIt/gXhl98RoeamU5+JhPEoGDznGccVVDkINjP1hlvO/Gx&#10;KUDWlfw/oP4BUEsDBBQAAAAIAIdO4kAPRZsgLQIAAG8EAAAOAAAAZHJzL2Uyb0RvYy54bWytVM2O&#10;0zAQviPxDpbvNG1X3W6jpnvYUoSEYKWFB5jaTmLJf9huk/IySNx4CB4H7WswdrrdHzj0QA7OOB5/&#10;M983M1le91qRvfBBWlPRyWhMiTDMcmmain75vHlzRUmIYDgoa0RFDyLQ69XrV8vOlWJqW6u48ARB&#10;TCg7V9E2RlcWRWCt0BBG1gmDh7X1GiJufVNwDx2ia1VMx+PLorOeO2+ZCAG/rodDekT05wDaupZM&#10;rC3baWHigOqFgoiUQitdoKucbV0LFj/VdRCRqIoi05hXDIL2Nq3Fagll48G1kh1TgHNSeMFJgzQY&#10;9AS1hghk5+VfUFoyb4Ot44hZXQxEsiLIYjJ+oc1dC05kLih1cCfRw/+DZR/3t55Ijp0wp8SAxorf&#10;f//5+9cPcrVI6nQulOh05279cRfQTFT72uv0RhKkz4oeToqKPhKGH2eXk8V8RgnDo+ni4mKeFS8e&#10;Lzsf4jthNUlGRT0WLOsI+w8hYkB0fXBJsYJVkm+kUnnjm+2N8mQPWNxNflLGeOWZmzKkq+hiNk15&#10;AHZsjZ2CpnbIOpgmx3t2IzwFHufnX8ApsTWEdkggIyQ3KLWMIqkFZSuAvzWcxINDYQ0OFE3JaMEp&#10;UQLnL1nZM4JU53giO2WQZKrLUIlkxX7bI0wyt5YfsKQ44ahna/03jIj9jVS/7sBjfPXeYAPhAPgH&#10;AwxDx4qiKoN5E4cR2TkvmxZxJpl/gsc+zBIfZyY1+tN9zuzxP7H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hJmZbXAAAACAEAAA8AAAAAAAAAAQAgAAAAIgAAAGRycy9kb3ducmV2LnhtbFBLAQIU&#10;ABQAAAAIAIdO4kAPRZsgLQIAAG8EAAAOAAAAAAAAAAEAIAAAACYBAABkcnMvZTJvRG9jLnhtbFBL&#10;BQYAAAAABgAGAFkBAADFBQAAAAA=&#10;">
                      <v:fill on="t" focussize="0,0"/>
                      <v:stroke color="#000000" joinstyle="miter"/>
                      <v:imagedata o:title=""/>
                      <o:lock v:ext="edit" aspectratio="f"/>
                      <v:textbox inset="0mm,1.27mm,0mm,1.27mm">
                        <w:txbxContent>
                          <w:p w14:paraId="564204A8">
                            <w:r>
                              <w:rPr>
                                <w:rFonts w:hint="eastAsia"/>
                              </w:rPr>
                              <w:t>化粪池</w:t>
                            </w:r>
                          </w:p>
                        </w:txbxContent>
                      </v:textbox>
                    </v:rect>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680720</wp:posOffset>
                      </wp:positionH>
                      <wp:positionV relativeFrom="paragraph">
                        <wp:posOffset>184150</wp:posOffset>
                      </wp:positionV>
                      <wp:extent cx="18415" cy="1405890"/>
                      <wp:effectExtent l="4445" t="0" r="7620" b="11430"/>
                      <wp:wrapNone/>
                      <wp:docPr id="14" name="自选图形 69"/>
                      <wp:cNvGraphicFramePr/>
                      <a:graphic xmlns:a="http://schemas.openxmlformats.org/drawingml/2006/main">
                        <a:graphicData uri="http://schemas.microsoft.com/office/word/2010/wordprocessingShape">
                          <wps:wsp>
                            <wps:cNvCnPr/>
                            <wps:spPr>
                              <a:xfrm flipH="1">
                                <a:off x="0" y="0"/>
                                <a:ext cx="18415" cy="14058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9" o:spid="_x0000_s1026" o:spt="32" type="#_x0000_t32" style="position:absolute;left:0pt;flip:x;margin-left:53.6pt;margin-top:14.5pt;height:110.7pt;width:1.45pt;z-index:251672576;mso-width-relative:page;mso-height-relative:page;" filled="f" stroked="t" coordsize="21600,21600" o:gfxdata="UEsDBAoAAAAAAIdO4kAAAAAAAAAAAAAAAAAEAAAAZHJzL1BLAwQUAAAACACHTuJA/iRa+9cAAAAK&#10;AQAADwAAAGRycy9kb3ducmV2LnhtbE2PwU7DMBBE75X4B2srcWvtRKUtIU4PSCAOKBIF7m68JKHx&#10;OsRu0v492xMcZ/ZpdibfnV0nRhxC60lDslQgkCpvW6o1fLw/LbYgQjRkTecJNVwwwK64meUms36i&#10;Nxz3sRYcQiEzGpoY+0zKUDXoTFj6HolvX35wJrIcamkHM3G462Sq1Fo60xJ/aEyPjw1Wx/3Jafih&#10;zeVzJcftd1nG9fPLa01YTlrfzhP1ACLiOf7BcK3P1aHgTgd/IhtEx1ptUkY1pPe86QokKgFxYONO&#10;rUAWufw/ofgFUEsDBBQAAAAIAIdO4kCGiNT9AgIAAPMDAAAOAAAAZHJzL2Uyb0RvYy54bWytU0uO&#10;EzEQ3SNxB8t70kmUjDKtdGaRMLBAEAk4gONPtyX/5PKkkx07xBnYseQOcJuRhltQdocAwyYLetEq&#10;u1yv6j0/L28O1pC9jKC9a+hkNKZEOu6Fdm1D37+7fbagBBJzghnvZEOPEujN6umTZR9qOfWdN0JG&#10;giAO6j40tEsp1FUFvJOWwcgH6TCpfLQs4TK2lYisR3Rrqul4fFX1PooQPZcAuLsZkvSEGC8B9Epp&#10;Ljee31np0oAapWEJKUGnA9BVmVYpydMbpUAmYhqKTFP5YxOMd/lfrZasbiMLneanEdglIzziZJl2&#10;2PQMtWGJkbuo/4GymkcPXqUR97YaiBRFkMVk/Eibtx0LsnBBqSGcRYf/B8tf77eRaIFOmFHimMUb&#10;f/j49ceHT/efv99/+0KurrNGfYAaj67dNp5WELYxEz6oaIkyOrxEiCIBkiKHovDxrLA8JMJxc7KY&#10;TeaUcMxMZuP54rrcQDXAZLgQIb2Q3pIcNBRSZLrt0to7h3fp49CC7V9BwkGw8FdBLjaO9A29nk9z&#10;C4beVOgJDG1AfuDaMh54o8WtNiZXQGx3axPJnmV/lC/TRdy/juUmGwbdcK6kBud0konnTpB0DCic&#10;wwdD8whWCkqMxPeVIwRkdWLaXHISWxuHE2TFB41ztPPiWKQv++iFMuPJt9lsf65L9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Ra+9cAAAAKAQAADwAAAAAAAAABACAAAAAiAAAAZHJzL2Rv&#10;d25yZXYueG1sUEsBAhQAFAAAAAgAh07iQIaI1P0CAgAA8wMAAA4AAAAAAAAAAQAgAAAAJgEAAGRy&#10;cy9lMm9Eb2MueG1sUEsFBgAAAAAGAAYAWQEAAJoFAAAAAA==&#10;">
                      <v:fill on="f" focussize="0,0"/>
                      <v:stroke color="#000000" joinstyle="round"/>
                      <v:imagedata o:title=""/>
                      <o:lock v:ext="edit" aspectratio="f"/>
                    </v:shape>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3333750</wp:posOffset>
                      </wp:positionH>
                      <wp:positionV relativeFrom="paragraph">
                        <wp:posOffset>183515</wp:posOffset>
                      </wp:positionV>
                      <wp:extent cx="546735" cy="0"/>
                      <wp:effectExtent l="0" t="38100" r="1905" b="38100"/>
                      <wp:wrapNone/>
                      <wp:docPr id="9" name="自选图形 63"/>
                      <wp:cNvGraphicFramePr/>
                      <a:graphic xmlns:a="http://schemas.openxmlformats.org/drawingml/2006/main">
                        <a:graphicData uri="http://schemas.microsoft.com/office/word/2010/wordprocessingShape">
                          <wps:wsp>
                            <wps:cNvCnPr/>
                            <wps:spPr>
                              <a:xfrm>
                                <a:off x="0" y="0"/>
                                <a:ext cx="5467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margin-left:262.5pt;margin-top:14.45pt;height:0pt;width:43.05pt;z-index:251667456;mso-width-relative:page;mso-height-relative:page;" filled="f" stroked="t" coordsize="21600,21600" o:gfxdata="UEsDBAoAAAAAAIdO4kAAAAAAAAAAAAAAAAAEAAAAZHJzL1BLAwQUAAAACACHTuJAKNzTjdkAAAAJ&#10;AQAADwAAAGRycy9kb3ducmV2LnhtbE2PzU7DMBCE75X6DtYicWsdR2rUhjiVaIXIBSRahDi68RJb&#10;xOsodv94eow4wHF2RrPfVOuL69kJx2A9SRDzDBhS67WlTsLr/mG2BBaiIq16TyjhigHW9XRSqVL7&#10;M73gaRc7lkoolEqCiXEoOQ+tQafC3A9Iyfvwo1MxybHjelTnVO56nmdZwZ2ylD4YNeDGYPu5OzoJ&#10;cft+NcVbe7+yz/vHp8J+NU2zlfL2RmR3wCJe4l8YfvATOtSJ6eCPpAPrJSzyRdoSJeTLFbAUKIQQ&#10;wA6/B15X/P+C+htQSwMEFAAAAAgAh07iQLfdEaX7AQAA5wMAAA4AAABkcnMvZTJvRG9jLnhtbK1T&#10;zY7TMBC+I/EOlu80bZcWiJruoWW5IKgEPMDUcRJL/pPH27Q3bohn4MaRd2DfZiV4C8ZOt4VFSHsg&#10;B2fsmflmvs/jxeXeaLaTAZWzFZ+MxpxJK1ytbFvxD++vnjznDCPYGrSzsuIHifxy+fjRovelnLrO&#10;6VoGRiAWy95XvIvRl0WBopMGcOS8tORsXDAQaRvaog7QE7rRxXQ8nhe9C7UPTkhEOl0PTn5EDA8B&#10;dE2jhFw7cW2kjQNqkBoiUcJOeeTL3G3TSBHfNg3KyHTFiWnMKxUhe5vWYrmAsg3gOyWOLcBDWrjH&#10;yYCyVPQEtYYI7Dqov6CMEsGha+JIOFMMRLIixGIyvqfNuw68zFxIavQn0fH/wYo3u01gqq74C84s&#10;GLrwH5++/fz4+fbLze33r2x+kSTqPZYUubKbcNyh34TEd98Ek/7EhO2zrIeTrHIfmaDD2dP5s4sZ&#10;Z+LOVZzzfMD4SjrDklFxjAFU28WVs5buzoVJVhV2rzFSZUq8S0hFtWU9NT6bJnCgWWxoBsg0nvig&#10;bXMuOq3qK6V1ysDQblc6sB2kechf4ke4f4SlImvAbojLrmFSOgn1S1uzePCklKUHwlMLRtacaUnv&#10;KVkECGUEpc+RMSiwrf5HNJXXlrpIMg/CJmvr6kPWO5/T/ec+j7OaBuz3fc4+v8/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jc043ZAAAACQEAAA8AAAAAAAAAAQAgAAAAIgAAAGRycy9kb3ducmV2&#10;LnhtbFBLAQIUABQAAAAIAIdO4kC33RGl+wEAAOcDAAAOAAAAAAAAAAEAIAAAACgBAABkcnMvZTJv&#10;RG9jLnhtbFBLBQYAAAAABgAGAFkBAACVBQAAAAA=&#10;">
                      <v:fill on="f" focussize="0,0"/>
                      <v:stroke color="#000000" joinstyle="round" endarrow="block"/>
                      <v:imagedata o:title=""/>
                      <o:lock v:ext="edit" aspectratio="f"/>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2011045</wp:posOffset>
                      </wp:positionH>
                      <wp:positionV relativeFrom="paragraph">
                        <wp:posOffset>196850</wp:posOffset>
                      </wp:positionV>
                      <wp:extent cx="760730" cy="4445"/>
                      <wp:effectExtent l="0" t="34290" r="1270" b="37465"/>
                      <wp:wrapNone/>
                      <wp:docPr id="8" name="自选图形 62"/>
                      <wp:cNvGraphicFramePr/>
                      <a:graphic xmlns:a="http://schemas.openxmlformats.org/drawingml/2006/main">
                        <a:graphicData uri="http://schemas.microsoft.com/office/word/2010/wordprocessingShape">
                          <wps:wsp>
                            <wps:cNvCnPr>
                              <a:endCxn id="17" idx="1"/>
                            </wps:cNvCnPr>
                            <wps:spPr>
                              <a:xfrm>
                                <a:off x="0" y="0"/>
                                <a:ext cx="760730" cy="44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margin-left:158.35pt;margin-top:15.5pt;height:0.35pt;width:59.9pt;z-index:251666432;mso-width-relative:page;mso-height-relative:page;" filled="f" stroked="t" coordsize="21600,21600" o:gfxdata="UEsDBAoAAAAAAIdO4kAAAAAAAAAAAAAAAAAEAAAAZHJzL1BLAwQUAAAACACHTuJAsyxuVNkAAAAJ&#10;AQAADwAAAGRycy9kb3ducmV2LnhtbE2PzU7DMBCE70i8g7VI3KgTCm4JcSpBhcilSLQV4ujGS2wR&#10;r6PY/ePpcU5w290ZzX5TLk6uYwccgvUkIZ9kwJAary21Erabl5s5sBAVadV5QglnDLCoLi9KVWh/&#10;pHc8rGPLUgiFQkkwMfYF56Ex6FSY+B4paV9+cCqmdWi5HtQxhbuO32aZ4E5ZSh+M6vHZYPO93jsJ&#10;cfl5NuKjeXqwb5vXlbA/dV0vpby+yrNHYBFP8c8MI35Chyox7fyedGCdhGkuZsk6DqlTMtxNxT2w&#10;3XiYAa9K/r9B9QtQSwMEFAAAAAgAh07iQK6N4QIRAgAAEgQAAA4AAABkcnMvZTJvRG9jLnhtbK1T&#10;S44TMRDdI3EHy3vSSchnaKUzi4RhgyAScICK7e625J9sTzrZsUOcgR1L7sDcZiS4xZTdSYYZhDQL&#10;etFtd716rveqvLjca0V2wgdpTUVHgyElwjDLpWkq+unj1YsLSkIEw0FZIyp6EIFeLp8/W3SuFGPb&#10;WsWFJ0hiQtm5irYxurIoAmuFhjCwThgM1tZriLj1TcE9dMiuVTEeDmdFZz133jIRAv5d90F6ZPRP&#10;IbR1LZlYW3athYk9qxcKIkoKrXSBLnO1dS1YfF/XQUSiKopKY37jIbjepnexXEDZeHCtZMcS4Ckl&#10;PNKkQRo89Ey1hgjk2su/qLRk3gZbxwGzuuiFZEdQxWj4yJsPLTiRtaDVwZ1ND/+Plr3bbTyRvKLY&#10;dgMaG/7ry4/fn7/efru5/fmdzMbJos6FEpErs/FJpDB8tTc5azSn+N3jICVc8QCYNsH1Kfva65SK&#10;igmi0f7D2X6xj4Thz/lsOH+JEYahyWQyzYxQnlKdD/GNsJqkRUVD9CCbNq6sMdhm60e5AbB7G2Iq&#10;BcpTQjpXGdJV9NV0PEV+wLGtcVxwqR1KD6bJucEqya+kUikj+Ga7Up7sII1Ofo4FPYClQ9YQ2h6X&#10;QwkGZSuAvzacxINDUw3eJZpK0IJTogRevbTKyAhS3SOjl2Aa9Q80ylLmaHTvbXJ5a/lh408NwFHJ&#10;+o9jnWbxz33Ovr/Ky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LG5U2QAAAAkBAAAPAAAAAAAA&#10;AAEAIAAAACIAAABkcnMvZG93bnJldi54bWxQSwECFAAUAAAACACHTuJAro3hAhECAAASBAAADgAA&#10;AAAAAAABACAAAAAoAQAAZHJzL2Uyb0RvYy54bWxQSwUGAAAAAAYABgBZAQAAqwUAAAAA&#10;">
                      <v:fill on="f" focussize="0,0"/>
                      <v:stroke color="#000000" joinstyle="round" endarrow="block"/>
                      <v:imagedata o:title=""/>
                      <o:lock v:ext="edit" aspectratio="f"/>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699135</wp:posOffset>
                      </wp:positionH>
                      <wp:positionV relativeFrom="paragraph">
                        <wp:posOffset>184150</wp:posOffset>
                      </wp:positionV>
                      <wp:extent cx="457200" cy="0"/>
                      <wp:effectExtent l="0" t="38100" r="0" b="38100"/>
                      <wp:wrapNone/>
                      <wp:docPr id="7" name="自选图形 61"/>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55.05pt;margin-top:14.5pt;height:0pt;width:36pt;z-index:251665408;mso-width-relative:page;mso-height-relative:page;" filled="f" stroked="t" coordsize="21600,21600" o:gfxdata="UEsDBAoAAAAAAIdO4kAAAAAAAAAAAAAAAAAEAAAAZHJzL1BLAwQUAAAACACHTuJAM4ZKvdYAAAAJ&#10;AQAADwAAAGRycy9kb3ducmV2LnhtbE2PzU7DMBCE70i8g7VI3KiTHKI2xKkEFSIXkGgR4ujGS2wR&#10;r6PY/ePp2YoDPc7sp9mZenn0g9jjFF0gBfksA4HUBeOoV/C+ebqbg4hJk9FDIFRwwgjL5vqq1pUJ&#10;B3rD/Tr1gkMoVlqBTWmspIydRa/jLIxIfPsKk9eJ5dRLM+kDh/tBFllWSq8d8QerR3y02H2vd15B&#10;Wn2ebPnRPSzc6+b5pXQ/bduulLq9ybN7EAmP6R+Gc32uDg132oYdmSgG1nmWM6qgWPCmMzAv2Nj+&#10;GbKp5eWC5hdQSwMEFAAAAAgAh07iQEp0oon7AQAA5wMAAA4AAABkcnMvZTJvRG9jLnhtbK1TS44T&#10;MRDdI3EHy3vSSURmoJXOLBKGDYJIwAEqtrvbkn9yedLJjh3iDOxYcge4zUhwC8pOJoFBSLOgF+6y&#10;XfWq3qvy/GpnDduqiNq7hk9GY86UE15q1zX8/bvrJ884wwROgvFONXyvkF8tHj+aD6FWU997I1Vk&#10;BOKwHkLD+5RCXVUoemUBRz4oR5etjxYSbWNXyQgDoVtTTcfji2rwUYbohUKk09Xhkh8R40MAfdtq&#10;oVZe3Fjl0gE1KgOJKGGvA/JFqbZtlUhv2hZVYqbhxDSVlZKQvclrtZhD3UUIvRbHEuAhJdzjZEE7&#10;SnqCWkECdhP1X1BWi+jRt2kkvK0ORIoixGIyvqfN2x6CKlxIagwn0fH/wYrX23VkWjb8kjMHlhr+&#10;4+PXnx8+3X7+fvvtC7uYZImGgDV5Lt06HncY1jHz3bXR5j8xYbsi6/4kq9olJujw6eySGs+ZuLuq&#10;znEhYnqpvGXZaDimCLrr09I7R73zcVJUhe0rTJSZAu8CclLj2NDw57PpjMCBZrGlGSDTBuKDriux&#10;6I2W19qYHIGx2yxNZFvI81C+zI9w/3DLSVaA/cGvXB0mpVcgXzjJ0j6QUo4eCM8lWCU5M4reU7YI&#10;EOoE2pw9U9TgOvMPb0pvHFWRZT4Im62Nl/uidzmn/pc6j7OaB+z3fYk+v8/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OGSr3WAAAACQEAAA8AAAAAAAAAAQAgAAAAIgAAAGRycy9kb3ducmV2Lnht&#10;bFBLAQIUABQAAAAIAIdO4kBKdKKJ+wEAAOcDAAAOAAAAAAAAAAEAIAAAACUBAABkcnMvZTJvRG9j&#10;LnhtbFBLBQYAAAAABgAGAFkBAACSBQAAAAA=&#10;">
                      <v:fill on="f" focussize="0,0"/>
                      <v:stroke color="#000000" joinstyle="round" endarrow="block"/>
                      <v:imagedata o:title=""/>
                      <o:lock v:ext="edit" aspectratio="f"/>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1156335</wp:posOffset>
                      </wp:positionH>
                      <wp:positionV relativeFrom="paragraph">
                        <wp:posOffset>46355</wp:posOffset>
                      </wp:positionV>
                      <wp:extent cx="845185" cy="293370"/>
                      <wp:effectExtent l="4445" t="4445" r="19050" b="6985"/>
                      <wp:wrapNone/>
                      <wp:docPr id="6" name="矩形 58"/>
                      <wp:cNvGraphicFramePr/>
                      <a:graphic xmlns:a="http://schemas.openxmlformats.org/drawingml/2006/main">
                        <a:graphicData uri="http://schemas.microsoft.com/office/word/2010/wordprocessingShape">
                          <wps:wsp>
                            <wps:cNvSpPr/>
                            <wps:spPr>
                              <a:xfrm>
                                <a:off x="0" y="0"/>
                                <a:ext cx="84518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309F8">
                                  <w:pPr>
                                    <w:ind w:firstLine="210" w:firstLineChars="100"/>
                                  </w:pPr>
                                  <w:r>
                                    <w:rPr>
                                      <w:rFonts w:hint="eastAsia"/>
                                    </w:rPr>
                                    <w:t>员工生活</w:t>
                                  </w:r>
                                </w:p>
                              </w:txbxContent>
                            </wps:txbx>
                            <wps:bodyPr vert="horz" wrap="square" lIns="0" rIns="0" anchor="t" anchorCtr="0" upright="1"/>
                          </wps:wsp>
                        </a:graphicData>
                      </a:graphic>
                    </wp:anchor>
                  </w:drawing>
                </mc:Choice>
                <mc:Fallback>
                  <w:pict>
                    <v:rect id="矩形 58" o:spid="_x0000_s1026" o:spt="1" style="position:absolute;left:0pt;margin-left:91.05pt;margin-top:3.65pt;height:23.1pt;width:66.55pt;z-index:251664384;mso-width-relative:page;mso-height-relative:page;" fillcolor="#FFFFFF" filled="t" stroked="t" coordsize="21600,21600" o:gfxdata="UEsDBAoAAAAAAIdO4kAAAAAAAAAAAAAAAAAEAAAAZHJzL1BLAwQUAAAACACHTuJAUMA949YAAAAI&#10;AQAADwAAAGRycy9kb3ducmV2LnhtbE2PwU7DMBBE70j8g7VI3KjjRIEoxOkBqUIq5UDaD3DjJY6I&#10;15HtpOXvMSc4jmY086bZXu3EVvRhdCRBbDJgSL3TIw0STsfdQwUsREVaTY5QwjcG2La3N42qtbvQ&#10;B65dHFgqoVArCSbGueY89AatChs3IyXv03mrYpJ+4NqrSyq3E8+z7JFbNVJaMGrGF4P9V7dYCf1q&#10;q1f/Tm+7/byc3N4cdCcOUt7fiewZWMRr/AvDL35ChzYxnd1COrAp6SoXKSrhqQCW/EKUObCzhLIo&#10;gbcN/3+g/QFQSwMEFAAAAAgAh07iQB3EAWAsAgAAbgQAAA4AAABkcnMvZTJvRG9jLnhtbK1UzY7T&#10;MBC+I/EOlu9s2i5dulHTPWwpQkKw0sIDTB0nseQ/xm7T8jJI3HgIHmfFazB2ut0fOPRADs44Hn8z&#10;3zczmV/tjGZbiUE5W/Hx2YgzaYWrlW0r/uXz6tWMsxDB1qCdlRXfy8CvFi9fzHtfyonrnK4lMgKx&#10;oex9xbsYfVkUQXTSQDhzXlo6bBwaiLTFtqgRekI3upiMRhdF77D26IQMgb4uh0N+QMRTAF3TKCGX&#10;TmyMtHFARakhEqXQKR/4ImfbNFLET00TZGS64sQ05pWCkL1Oa7GYQ9ki+E6JQwpwSgrPOBlQloIe&#10;oZYQgW1Q/QVllEAXXBPPhDPFQCQrQizGo2fa3HbgZeZCUgd/FD38P1jxcXuDTNUVv+DMgqGC//7+&#10;8+7XDzadJXF6H0ryufU3eNgFMhPTXYMmvYkD22VB90dB5S4yQR9nr6fj2ZQzQUeTy/PzN1nw4uGy&#10;xxDfSWdYMiqOVK8sI2w/hEgByfXeJcUKTqt6pbTOG2zX1xrZFqi2q/ykjOnKEzdtWV/xy+kk5QHU&#10;sA01CpnGE+lg2xzvyY3wGHiUn38Bp8SWELohgYyQ3KA0KsqkFpSdhPqtrVncexLW0jzxlIyRNWda&#10;0vglK3tGUPoUT2KnLZFMdRkqkay4W+8IJplrV++pojTgpGfn8BtFpPYmql83gBRfv7fUP9T/eG+A&#10;FeRYcVJlMK/jMCEbj6rtCGec+Sd4asMs8WFkUp8/3ufMHn4T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wD3j1gAAAAgBAAAPAAAAAAAAAAEAIAAAACIAAABkcnMvZG93bnJldi54bWxQSwECFAAU&#10;AAAACACHTuJAHcQBYCwCAABuBAAADgAAAAAAAAABACAAAAAlAQAAZHJzL2Uyb0RvYy54bWxQSwUG&#10;AAAAAAYABgBZAQAAwwUAAAAA&#10;">
                      <v:fill on="t" focussize="0,0"/>
                      <v:stroke color="#000000" joinstyle="miter"/>
                      <v:imagedata o:title=""/>
                      <o:lock v:ext="edit" aspectratio="f"/>
                      <v:textbox inset="0mm,1.27mm,0mm,1.27mm">
                        <w:txbxContent>
                          <w:p w14:paraId="696309F8">
                            <w:pPr>
                              <w:ind w:firstLine="210" w:firstLineChars="100"/>
                            </w:pPr>
                            <w:r>
                              <w:rPr>
                                <w:rFonts w:hint="eastAsia"/>
                              </w:rPr>
                              <w:t>员工生活</w:t>
                            </w:r>
                          </w:p>
                        </w:txbxContent>
                      </v:textbox>
                    </v:rect>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2218055</wp:posOffset>
                      </wp:positionH>
                      <wp:positionV relativeFrom="paragraph">
                        <wp:posOffset>71755</wp:posOffset>
                      </wp:positionV>
                      <wp:extent cx="176530" cy="205105"/>
                      <wp:effectExtent l="0" t="0" r="0" b="0"/>
                      <wp:wrapNone/>
                      <wp:docPr id="3" name="矩形 54"/>
                      <wp:cNvGraphicFramePr/>
                      <a:graphic xmlns:a="http://schemas.openxmlformats.org/drawingml/2006/main">
                        <a:graphicData uri="http://schemas.microsoft.com/office/word/2010/wordprocessingShape">
                          <wps:wsp>
                            <wps:cNvSpPr/>
                            <wps:spPr>
                              <a:xfrm>
                                <a:off x="0" y="0"/>
                                <a:ext cx="176530" cy="205105"/>
                              </a:xfrm>
                              <a:prstGeom prst="rect">
                                <a:avLst/>
                              </a:prstGeom>
                              <a:solidFill>
                                <a:srgbClr val="FFFFFF">
                                  <a:alpha val="0"/>
                                </a:srgbClr>
                              </a:solidFill>
                              <a:ln>
                                <a:noFill/>
                              </a:ln>
                            </wps:spPr>
                            <wps:txbx>
                              <w:txbxContent>
                                <w:p w14:paraId="779487D4">
                                  <w:pPr>
                                    <w:rPr>
                                      <w:rFonts w:hint="default" w:eastAsia="宋体"/>
                                      <w:lang w:val="en-US" w:eastAsia="zh-CN"/>
                                    </w:rPr>
                                  </w:pPr>
                                  <w:r>
                                    <w:rPr>
                                      <w:rFonts w:hint="eastAsia"/>
                                      <w:lang w:val="en-US" w:eastAsia="zh-CN"/>
                                    </w:rPr>
                                    <w:t>6</w:t>
                                  </w:r>
                                </w:p>
                              </w:txbxContent>
                            </wps:txbx>
                            <wps:bodyPr vert="horz" wrap="square" lIns="0" tIns="0" rIns="0" bIns="0" anchor="t" anchorCtr="0" upright="1"/>
                          </wps:wsp>
                        </a:graphicData>
                      </a:graphic>
                    </wp:anchor>
                  </w:drawing>
                </mc:Choice>
                <mc:Fallback>
                  <w:pict>
                    <v:rect id="矩形 54" o:spid="_x0000_s1026" o:spt="1" style="position:absolute;left:0pt;margin-left:174.65pt;margin-top:5.65pt;height:16.15pt;width:13.9pt;z-index:251661312;mso-width-relative:page;mso-height-relative:page;" fillcolor="#FFFFFF" filled="t" stroked="f" coordsize="21600,21600" o:gfxdata="UEsDBAoAAAAAAIdO4kAAAAAAAAAAAAAAAAAEAAAAZHJzL1BLAwQUAAAACACHTuJAQMlczdgAAAAJ&#10;AQAADwAAAGRycy9kb3ducmV2LnhtbE2PwU7DMAyG70i8Q2QkbiwtrRZWmu4waRKICYnC7lkT2orE&#10;qZJs3d4ec2Iny/o//f5cr8/OspMJcfQoIV9kwAx2Xo/YS/j63D48AYtJoVbWo5FwMRHWze1NrSrt&#10;Z/wwpzb1jEowVkrCkNJUcR67wTgVF34ySNm3D04lWkPPdVAzlTvLH7NsyZ0akS4MajKbwXQ/7dFJ&#10;EF0b9vNuW4r25X2XLIrXzeVNyvu7PHsGlsw5/cPwp0/q0JDTwR9RR2YlFOWqIJSCnCYBhRA5sIOE&#10;slgCb2p+/UHzC1BLAwQUAAAACACHTuJAdSNOTO4BAADeAwAADgAAAGRycy9lMm9Eb2MueG1srVNL&#10;jhMxEN0jcQfLe9KdDBlQlM4sJgpCQjDSwAEctzttyT+qnHSHyyCx4xAcB3ENynaSgWEzC3rhrrLL&#10;r+q9Ki9vRmvYQQFq7xo+ndScKSd9q92u4Z8+bl685gyjcK0w3qmGHxXym9XzZ8shLNTM9960ChiB&#10;OFwMoeF9jGFRVSh7ZQVOfFCODjsPVkRyYVe1IAZCt6aa1fV1NXhoA3ipEGl3XQ75CRGeAui7Tku1&#10;9nJvlYsFFZQRkShhrwPyVa6265SMH7oOVWSm4cQ05pWSkL1Na7VaisUOROi1PJUgnlLCI05WaEdJ&#10;L1BrEQXbg/4HymoJHn0XJ9LbqhDJihCLaf1Im/teBJW5kNQYLqLj/4OV7w93wHTb8CvOnLDU8F9f&#10;v//88Y3NXyZxhoALirkPd3DykMzEdOzApj9xYGMW9HgRVI2RSdqcvrqeX5HUko5m9XxazxNm9XA5&#10;AMY3yluWjIYD9SvLKA7vMJbQc0jKhd7odqONyQ7strcG2EFQbzf5K3dN6EXZzf2ldFhCc+q/MIxL&#10;SM4nzJIu7VSJdeGZrDhuxxP5rW+PpBc9H6q29/CFs4GGp+H4eS9AcWbeOupOmrSzAWdjezaEk3S1&#10;4ZGzYt7GMpH7AHrXE/I0y5RyU9tz1acRTXP1p59rfXiW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yVzN2AAAAAkBAAAPAAAAAAAAAAEAIAAAACIAAABkcnMvZG93bnJldi54bWxQSwECFAAUAAAA&#10;CACHTuJAdSNOTO4BAADeAwAADgAAAAAAAAABACAAAAAnAQAAZHJzL2Uyb0RvYy54bWxQSwUGAAAA&#10;AAYABgBZAQAAhwUAAAAA&#10;">
                      <v:fill on="t" opacity="0f" focussize="0,0"/>
                      <v:stroke on="f"/>
                      <v:imagedata o:title=""/>
                      <o:lock v:ext="edit" aspectratio="f"/>
                      <v:textbox inset="0mm,0mm,0mm,0mm">
                        <w:txbxContent>
                          <w:p w14:paraId="779487D4">
                            <w:pPr>
                              <w:rPr>
                                <w:rFonts w:hint="default" w:eastAsia="宋体"/>
                                <w:lang w:val="en-US" w:eastAsia="zh-CN"/>
                              </w:rPr>
                            </w:pPr>
                            <w:r>
                              <w:rPr>
                                <w:rFonts w:hint="eastAsia"/>
                                <w:lang w:val="en-US" w:eastAsia="zh-CN"/>
                              </w:rPr>
                              <w:t>6</w:t>
                            </w:r>
                          </w:p>
                        </w:txbxContent>
                      </v:textbox>
                    </v:rect>
                  </w:pict>
                </mc:Fallback>
              </mc:AlternateContent>
            </w:r>
          </w:p>
          <w:p w14:paraId="0361681A">
            <w:pPr>
              <w:pStyle w:val="84"/>
              <w:rPr>
                <w:rFonts w:hint="eastAsia"/>
                <w:color w:val="auto"/>
                <w:lang w:val="en-US" w:eastAsia="zh-CN"/>
              </w:rPr>
            </w:pP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1809750</wp:posOffset>
                      </wp:positionH>
                      <wp:positionV relativeFrom="paragraph">
                        <wp:posOffset>167640</wp:posOffset>
                      </wp:positionV>
                      <wp:extent cx="477520" cy="208280"/>
                      <wp:effectExtent l="0" t="0" r="0" b="0"/>
                      <wp:wrapNone/>
                      <wp:docPr id="12" name="矩形 66"/>
                      <wp:cNvGraphicFramePr/>
                      <a:graphic xmlns:a="http://schemas.openxmlformats.org/drawingml/2006/main">
                        <a:graphicData uri="http://schemas.microsoft.com/office/word/2010/wordprocessingShape">
                          <wps:wsp>
                            <wps:cNvSpPr/>
                            <wps:spPr>
                              <a:xfrm>
                                <a:off x="0" y="0"/>
                                <a:ext cx="477520" cy="208280"/>
                              </a:xfrm>
                              <a:prstGeom prst="rect">
                                <a:avLst/>
                              </a:prstGeom>
                              <a:solidFill>
                                <a:srgbClr val="FFFFFF">
                                  <a:alpha val="0"/>
                                </a:srgbClr>
                              </a:solidFill>
                              <a:ln>
                                <a:noFill/>
                              </a:ln>
                            </wps:spPr>
                            <wps:txbx>
                              <w:txbxContent>
                                <w:p w14:paraId="59165B7E">
                                  <w:pPr>
                                    <w:rPr>
                                      <w:rFonts w:hint="default" w:eastAsia="宋体"/>
                                      <w:lang w:val="en-US" w:eastAsia="zh-CN"/>
                                    </w:rPr>
                                  </w:pPr>
                                  <w:r>
                                    <w:rPr>
                                      <w:rFonts w:hint="eastAsia"/>
                                      <w:lang w:val="en-US" w:eastAsia="zh-CN"/>
                                    </w:rPr>
                                    <w:t>36</w:t>
                                  </w:r>
                                </w:p>
                              </w:txbxContent>
                            </wps:txbx>
                            <wps:bodyPr vert="horz" wrap="square" lIns="0" tIns="0" rIns="0" bIns="0" anchor="t" anchorCtr="0" upright="1"/>
                          </wps:wsp>
                        </a:graphicData>
                      </a:graphic>
                    </wp:anchor>
                  </w:drawing>
                </mc:Choice>
                <mc:Fallback>
                  <w:pict>
                    <v:rect id="矩形 66" o:spid="_x0000_s1026" o:spt="1" style="position:absolute;left:0pt;margin-left:142.5pt;margin-top:13.2pt;height:16.4pt;width:37.6pt;z-index:251670528;mso-width-relative:page;mso-height-relative:page;" fillcolor="#FFFFFF" filled="t" stroked="f" coordsize="21600,21600" o:gfxdata="UEsDBAoAAAAAAIdO4kAAAAAAAAAAAAAAAAAEAAAAZHJzL1BLAwQUAAAACACHTuJA56vemdkAAAAJ&#10;AQAADwAAAGRycy9kb3ducmV2LnhtbE2PwU7DMBBE70j8g7VI3Fq7oU1KiNNDpUogKiQC3N3YJBH2&#10;OrLdpv17llO5zWpGs2+qzdlZdjIhDh4lLOYCmMHW6wE7CZ8fu9kaWEwKtbIejYSLibCpb28qVWo/&#10;4bs5NaljVIKxVBL6lMaS89j2xqk496NB8r59cCrRGTqug5qo3FmeCZFzpwakD70azbY37U9zdBKK&#10;tglf0363LJrnt32yWLxsL69S3t8txBOwZM7pGoY/fEKHmpgO/og6MishW69oSyKRL4FR4CEXGbCD&#10;hNVjBryu+P8F9S9QSwMEFAAAAAgAh07iQOxQv+PvAQAA3wMAAA4AAABkcnMvZTJvRG9jLnhtbK1T&#10;zY7TMBC+I/EOlu80bQTdKmq6h62KkBCstOwDuI7TWPIfM26T8jJI3HgIHgfxGoydtgu7lz1sDs6M&#10;Pf5mvm/Gy+vBGnZQgNq7ms8mU86Uk77Rblfz+y+bNwvOMArXCOOdqvlRIb9evX617EOlSt950yhg&#10;BOKw6kPNuxhDVRQoO2UFTnxQjg5bD1ZEcmFXNCB6QremKKfTedF7aAJ4qRBpdz0e8hMiPAfQt62W&#10;au3l3ioXR1RQRkSihJ0OyFe52rZVMn5uW1SRmZoT05hXSkL2Nq3FaimqHYjQaXkqQTynhEecrNCO&#10;kl6g1iIKtgf9BMpqCR59GyfS22IkkhUhFrPpI23uOhFU5kJSY7iIji8HKz8dboHphiah5MwJSx3/&#10;8/3n718/2Hye1OkDVhR0F27h5CGZierQgk1/IsGGrOjxoqgaIpO0+fbq6l1JWks6KqeLcpEVLx4u&#10;B8D4XnnLklFzoIZlHcXhI0ZKSKHnkJQLvdHNRhuTHdhtbwywg6DmbvI33jWhE+PuOR2OoRnvPwzj&#10;EpLzCXNMl3aKxHrkmaw4bIcT+a1vjiQYvR+qtvPwjbOepqfm+HUvQHFmPjhqTxq1swFnY3s2hJN0&#10;teaRs9G8ieNI7gPoXUfIsyR9roL6nqs+zWgarH/9HPXwLl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er3pnZAAAACQEAAA8AAAAAAAAAAQAgAAAAIgAAAGRycy9kb3ducmV2LnhtbFBLAQIUABQA&#10;AAAIAIdO4kDsUL/j7wEAAN8DAAAOAAAAAAAAAAEAIAAAACgBAABkcnMvZTJvRG9jLnhtbFBLBQYA&#10;AAAABgAGAFkBAACJBQAAAAA=&#10;">
                      <v:fill on="t" opacity="0f" focussize="0,0"/>
                      <v:stroke on="f"/>
                      <v:imagedata o:title=""/>
                      <o:lock v:ext="edit" aspectratio="f"/>
                      <v:textbox inset="0mm,0mm,0mm,0mm">
                        <w:txbxContent>
                          <w:p w14:paraId="59165B7E">
                            <w:pPr>
                              <w:rPr>
                                <w:rFonts w:hint="default" w:eastAsia="宋体"/>
                                <w:lang w:val="en-US" w:eastAsia="zh-CN"/>
                              </w:rPr>
                            </w:pPr>
                            <w:r>
                              <w:rPr>
                                <w:rFonts w:hint="eastAsia"/>
                                <w:lang w:val="en-US" w:eastAsia="zh-CN"/>
                              </w:rPr>
                              <w:t>36</w:t>
                            </w:r>
                          </w:p>
                        </w:txbxContent>
                      </v:textbox>
                    </v:rect>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58420</wp:posOffset>
                      </wp:positionV>
                      <wp:extent cx="755650" cy="293370"/>
                      <wp:effectExtent l="0" t="0" r="0" b="0"/>
                      <wp:wrapNone/>
                      <wp:docPr id="5" name="矩形 57"/>
                      <wp:cNvGraphicFramePr/>
                      <a:graphic xmlns:a="http://schemas.openxmlformats.org/drawingml/2006/main">
                        <a:graphicData uri="http://schemas.microsoft.com/office/word/2010/wordprocessingShape">
                          <wps:wsp>
                            <wps:cNvSpPr/>
                            <wps:spPr>
                              <a:xfrm>
                                <a:off x="0" y="0"/>
                                <a:ext cx="755650" cy="293370"/>
                              </a:xfrm>
                              <a:prstGeom prst="rect">
                                <a:avLst/>
                              </a:prstGeom>
                              <a:solidFill>
                                <a:srgbClr val="FFFFFF">
                                  <a:alpha val="0"/>
                                </a:srgbClr>
                              </a:solidFill>
                              <a:ln>
                                <a:noFill/>
                              </a:ln>
                            </wps:spPr>
                            <wps:txbx>
                              <w:txbxContent>
                                <w:p w14:paraId="479F3F4C">
                                  <w:r>
                                    <w:rPr>
                                      <w:rFonts w:hint="eastAsia"/>
                                    </w:rPr>
                                    <w:t>新鲜水</w:t>
                                  </w:r>
                                  <w:r>
                                    <w:rPr>
                                      <w:rFonts w:hint="eastAsia"/>
                                      <w:lang w:val="en-US" w:eastAsia="zh-CN"/>
                                    </w:rPr>
                                    <w:t>62.4</w:t>
                                  </w:r>
                                </w:p>
                              </w:txbxContent>
                            </wps:txbx>
                            <wps:bodyPr vert="horz" wrap="square" lIns="0" tIns="0" rIns="0" bIns="0" anchor="t" anchorCtr="0" upright="1"/>
                          </wps:wsp>
                        </a:graphicData>
                      </a:graphic>
                    </wp:anchor>
                  </w:drawing>
                </mc:Choice>
                <mc:Fallback>
                  <w:pict>
                    <v:rect id="矩形 57" o:spid="_x0000_s1026" o:spt="1" style="position:absolute;left:0pt;margin-left:1.5pt;margin-top:4.6pt;height:23.1pt;width:59.5pt;z-index:251663360;mso-width-relative:page;mso-height-relative:page;" fillcolor="#FFFFFF" filled="t" stroked="f" coordsize="21600,21600" o:gfxdata="UEsDBAoAAAAAAIdO4kAAAAAAAAAAAAAAAAAEAAAAZHJzL1BLAwQUAAAACACHTuJAo43dwtUAAAAG&#10;AQAADwAAAGRycy9kb3ducmV2LnhtbE2PwU7DMBBE70j8g7VI3KjT0BII2fRQqRKIqhIB7m68JBH2&#10;OrLdpv173BMcRzOaeVOtTtaII/kwOEaYzzIQxK3TA3cInx+bu0cQISrWyjgmhDMFWNXXV5UqtZv4&#10;nY5N7EQq4VAqhD7GsZQytD1ZFWZuJE7et/NWxSR9J7VXUyq3RuZZ9iCtGjgt9GqkdU/tT3OwCEXb&#10;+K9pu1kUzctuGw0Xr+vzG+LtzTx7BhHpFP/CcMFP6FAnpr07sA7CINynJxHhKQdxcfM86T3CcrkA&#10;WVfyP379C1BLAwQUAAAACACHTuJAGYA33O4BAADeAwAADgAAAGRycy9lMm9Eb2MueG1srVPNjtMw&#10;EL4j8Q6W7zRtV91C1XQPWxUhIVhp4QFcx0ks+Y8Zt0l5GSRuPASPg3iNHTtNF5bLHsjBmbHH38z3&#10;zXh901vDjgpQe1fy2WTKmXLSV9o1Jf/8affqNWcYhauE8U6V/KSQ32xevlh3YaXmvvWmUsAIxOGq&#10;CyVvYwyrokDZKitw4oNydFh7sCKSC01RgegI3ZpiPp1eF52HKoCXCpF2t8MhPyPCcwB9XWuptl4e&#10;rHJxQAVlRCRK2OqAfJOrrWsl48e6RhWZKTkxjXmlJGTv01ps1mLVgAitlucSxHNKeMLJCu0o6QVq&#10;K6JgB9D/QFktwaOv40R6WwxEsiLEYjZ9os19K4LKXEhqDBfR8f/Byg/HO2C6KvmCMycsNfz3tx+/&#10;fn5ni2USpwu4opj7cAdnD8lMTPsabPoTB9ZnQU8XQVUfmaTN5WJxvSCpJR3N31xdLbPgxePlABjf&#10;Km9ZMkoO1K8sozi+x0gJKXQMSbnQG13ttDHZgWZ/a4AdBfV2l7/hrgmtGHbHdDiEZry/MIxLSM4n&#10;zCFd2ikS64FnsmK/78/k9746kV70fKja1sNXzjoanpLjl4MAxZl556g7adJGA0ZjPxrCSbpa8sjZ&#10;YN7GYSIPAXTTEvIsSZ+roLbnqs8jmubqTz9HPT7L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jd3C1QAAAAYBAAAPAAAAAAAAAAEAIAAAACIAAABkcnMvZG93bnJldi54bWxQSwECFAAUAAAACACH&#10;TuJAGYA33O4BAADeAwAADgAAAAAAAAABACAAAAAkAQAAZHJzL2Uyb0RvYy54bWxQSwUGAAAAAAYA&#10;BgBZAQAAhAUAAAAA&#10;">
                      <v:fill on="t" opacity="0f" focussize="0,0"/>
                      <v:stroke on="f"/>
                      <v:imagedata o:title=""/>
                      <o:lock v:ext="edit" aspectratio="f"/>
                      <v:textbox inset="0mm,0mm,0mm,0mm">
                        <w:txbxContent>
                          <w:p w14:paraId="479F3F4C">
                            <w:r>
                              <w:rPr>
                                <w:rFonts w:hint="eastAsia"/>
                              </w:rPr>
                              <w:t>新鲜水</w:t>
                            </w:r>
                            <w:r>
                              <w:rPr>
                                <w:rFonts w:hint="eastAsia"/>
                                <w:lang w:val="en-US" w:eastAsia="zh-CN"/>
                              </w:rPr>
                              <w:t>62.4</w:t>
                            </w:r>
                          </w:p>
                        </w:txbxContent>
                      </v:textbox>
                    </v:rect>
                  </w:pict>
                </mc:Fallback>
              </mc:AlternateContent>
            </w:r>
          </w:p>
          <w:p w14:paraId="6C13DD5A">
            <w:pPr>
              <w:pStyle w:val="84"/>
              <w:rPr>
                <w:rFonts w:hint="eastAsia"/>
                <w:color w:val="auto"/>
                <w:lang w:val="en-US" w:eastAsia="zh-CN"/>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89535</wp:posOffset>
                      </wp:positionH>
                      <wp:positionV relativeFrom="paragraph">
                        <wp:posOffset>5080</wp:posOffset>
                      </wp:positionV>
                      <wp:extent cx="609600" cy="0"/>
                      <wp:effectExtent l="0" t="4445" r="0" b="5080"/>
                      <wp:wrapNone/>
                      <wp:docPr id="15" name="自选图形 70"/>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0" o:spid="_x0000_s1026" o:spt="32" type="#_x0000_t32" style="position:absolute;left:0pt;flip:x;margin-left:7.05pt;margin-top:0.4pt;height:0pt;width:48pt;z-index:251673600;mso-width-relative:page;mso-height-relative:page;" filled="f" stroked="t" coordsize="21600,21600" o:gfxdata="UEsDBAoAAAAAAIdO4kAAAAAAAAAAAAAAAAAEAAAAZHJzL1BLAwQUAAAACACHTuJAaV85ss4AAAAE&#10;AQAADwAAAGRycy9kb3ducmV2LnhtbE2OwU7DMBBE70j8g7VI3KgdVJUqxOkBCcQBRaLAfRsvSSBe&#10;h9hN2r9nc4Lj04xmXrE7+V5NNMYusIVsZUAR18F13Fh4f3u82YKKCdlhH5gsnCnCrry8KDB3YeZX&#10;mvapUTLCMUcLbUpDrnWsW/IYV2EgluwzjB6T4NhoN+Is477Xt8ZstMeO5aHFgR5aqr/3R2/hh+/O&#10;H2s9bb+qKm2enl8apmq29voqM/egEp3SXxkWfVGHUpwO4cguql54nUnTgvgvaWYEDwvqstD/5ctf&#10;UEsDBBQAAAAIAIdO4kB3lrOV+gEAAO4DAAAOAAAAZHJzL2Uyb0RvYy54bWytU0uOEzEQ3SNxB8t7&#10;0j2RJjCtdGaRMLBAEAk4gONPtyX/5PKkkx07xBnYseQOcJuRhltQdmcyHzZZ0Aur7HK9qvf6eX65&#10;s4ZsZQTtXUvPJjUl0nEvtOta+vnT1YtXlEBiTjDjnWzpXgK9XDx/Nh9CI6e+90bISBDEQTOElvYp&#10;haaqgPfSMpj4IB0mlY+WJdzGrhKRDYhuTTWt61k1+ChC9FwC4OlqTNIDYjwF0CuluVx5fm2lSyNq&#10;lIYlpAS9DkAXZVqlJE8flAKZiGkpMk1lxSYYb/JaLeas6SILveaHEdgpIzzhZJl22PQItWKJkeuo&#10;/4GymkcPXqUJ97YaiRRFkMVZ/USbjz0LsnBBqSEcRYf/B8vfb9eRaIFOOKfEMYt//Pbrzz9fvt18&#10;/33z6wd5WTQaAjR4denWERXLOwjrmAnvVLREGR3eIkSRAEmRXVF4f1RY7hLheDirL2Y1as/vUtWI&#10;kJFChPRGekty0FJIkemuT0vvHP5GH0d0tn0HCWfAwruCXGwcGVp6cT5FFpyhLRXaAUMbkBq4rkwG&#10;3mhxpY3JFRC7zdJEsmXZGuXLbkDcR9dykxWDfrxXUqNpesnEaydI2gfUzOFboXkEKwUlRuLTylGx&#10;V2LanHITWxuHE9zLm6ONF/uiejlHG5QZD5bNPnu4L9X3z3T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lfObLOAAAABAEAAA8AAAAAAAAAAQAgAAAAIgAAAGRycy9kb3ducmV2LnhtbFBLAQIUABQA&#10;AAAIAIdO4kB3lrOV+gEAAO4DAAAOAAAAAAAAAAEAIAAAAB0BAABkcnMvZTJvRG9jLnhtbFBLBQYA&#10;AAAABgAGAFkBAACJBQAAAAA=&#10;">
                      <v:fill on="f" focussize="0,0"/>
                      <v:stroke color="#000000" joinstyle="round"/>
                      <v:imagedata o:title=""/>
                      <o:lock v:ext="edit" aspectratio="f"/>
                    </v:shape>
                  </w:pict>
                </mc:Fallback>
              </mc:AlternateContent>
            </w: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1473200</wp:posOffset>
                      </wp:positionH>
                      <wp:positionV relativeFrom="paragraph">
                        <wp:posOffset>5080</wp:posOffset>
                      </wp:positionV>
                      <wp:extent cx="336550" cy="265430"/>
                      <wp:effectExtent l="0" t="20320" r="13970" b="19050"/>
                      <wp:wrapNone/>
                      <wp:docPr id="11" name="自选图形 65"/>
                      <wp:cNvGraphicFramePr/>
                      <a:graphic xmlns:a="http://schemas.openxmlformats.org/drawingml/2006/main">
                        <a:graphicData uri="http://schemas.microsoft.com/office/word/2010/wordprocessingShape">
                          <wps:wsp>
                            <wps:cNvCnPr/>
                            <wps:spPr>
                              <a:xfrm flipV="1">
                                <a:off x="0" y="0"/>
                                <a:ext cx="336550" cy="265430"/>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65" o:spid="_x0000_s1026" o:spt="38" type="#_x0000_t38" style="position:absolute;left:0pt;flip:y;margin-left:116pt;margin-top:0.4pt;height:20.9pt;width:26.5pt;z-index:251669504;mso-width-relative:page;mso-height-relative:page;" filled="f" stroked="t" coordsize="21600,21600" o:gfxdata="UEsDBAoAAAAAAIdO4kAAAAAAAAAAAAAAAAAEAAAAZHJzL1BLAwQUAAAACACHTuJAC89ui9YAAAAH&#10;AQAADwAAAGRycy9kb3ducmV2LnhtbE2PMU/DMBSEdyT+g/WQWBB1aqBUIU6HSAwdGAhIML7Gr0lE&#10;/BzFbtry63lMMJ7udPddsTn5Qc00xT6wheUiA0XcBNdza+H97fl2DSomZIdDYLJwpgib8vKiwNyF&#10;I7/SXKdWSQnHHC10KY251rHpyGNchJFYvH2YPCaRU6vdhEcp94M2WbbSHnuWhQ5HqjpqvuqDt8D7&#10;j+pmoga331VNj59zb162Z2uvr5bZE6hEp/QXhl98QYdSmHbhwC6qwYK5M/IlWZADYpv1g8idhXuz&#10;Al0W+j9/+QNQSwMEFAAAAAgAh07iQA66eO4dAgAAIQQAAA4AAABkcnMvZTJvRG9jLnhtbK1TS44T&#10;MRDdI3EHy3vS+dARtNKZRcKwQTASn33Fdncb+SfbSSc7dogzsGPJHYbbjAS3oOxuMjAIaRb0olW2&#10;y6/ee1VeXRy1Igfhg7SmprPJlBJhmOXStDV9++by0RNKQgTDQVkjanoSgV6sHz5Y9a4Sc9tZxYUn&#10;CGJC1buadjG6qigC64SGMLFOGDxsrNcQcenbgnvoEV2rYj6dLoveeu68ZSIE3N0Oh3RE9PcBtE0j&#10;mdhattfCxAHVCwURJYVOukDXmW3TCBZfNU0QkaiaotKY/1gE4136F+sVVK0H10k2UoD7ULijSYM0&#10;WPQMtYUIZO/lX1BaMm+DbeKEWV0MQrIjqGI2vePN6w6cyFrQ6uDOpof/B8teHq48kRwnYUaJAY0d&#10;//7x648Pn24+f7u5/kKWZfKod6HC1I258uMquCufBB8br0mjpHuHENkCFEWO2eHT2WFxjITh5mKx&#10;LEv0nuHRfFk+XuQOFANMgnM+xOfCapKCmrK9Pwi+scZgJ61f5AJweBFiNpuPjIG/R/aNVti7AyhS&#10;TvFLvBF5zMboF3a6qgzpa/q0nJdIBnCMGxwfDLVDK4Jpc6FgleSXUql0I/h2t1GeID7Kyt9Y4Y+0&#10;VGQLoRvyOEYpC6pOAH9mOIknhxYbfFo0MdCCU6IEvsQU5cwIUt1mRi/BtOof2ahKGZSZ+jN0JEU7&#10;y0+5UXkfJycbMU55Gs3f1/n27cte/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z26L1gAAAAcB&#10;AAAPAAAAAAAAAAEAIAAAACIAAABkcnMvZG93bnJldi54bWxQSwECFAAUAAAACACHTuJADrp47h0C&#10;AAAhBAAADgAAAAAAAAABACAAAAAlAQAAZHJzL2Uyb0RvYy54bWxQSwUGAAAAAAYABgBZAQAAtAUA&#10;AAAA&#10;" adj="10800">
                      <v:fill on="f" focussize="0,0"/>
                      <v:stroke color="#000000" joinstyle="round" dashstyle="dash" endarrow="block"/>
                      <v:imagedata o:title=""/>
                      <o:lock v:ext="edit" aspectratio="f"/>
                    </v:shape>
                  </w:pict>
                </mc:Fallback>
              </mc:AlternateContent>
            </w:r>
          </w:p>
          <w:p w14:paraId="3549611E">
            <w:pPr>
              <w:pStyle w:val="84"/>
              <w:rPr>
                <w:rFonts w:hint="eastAsia"/>
                <w:color w:val="auto"/>
                <w:lang w:val="en-US" w:eastAsia="zh-CN"/>
              </w:rPr>
            </w:pPr>
            <w:r>
              <w:rPr>
                <w:color w:val="auto"/>
                <w:sz w:val="21"/>
              </w:rPr>
              <mc:AlternateContent>
                <mc:Choice Requires="wps">
                  <w:drawing>
                    <wp:anchor distT="0" distB="0" distL="114300" distR="114300" simplePos="0" relativeHeight="251692032" behindDoc="0" locked="0" layoutInCell="1" allowOverlap="1">
                      <wp:simplePos x="0" y="0"/>
                      <wp:positionH relativeFrom="column">
                        <wp:posOffset>2768600</wp:posOffset>
                      </wp:positionH>
                      <wp:positionV relativeFrom="paragraph">
                        <wp:posOffset>196850</wp:posOffset>
                      </wp:positionV>
                      <wp:extent cx="3175" cy="247650"/>
                      <wp:effectExtent l="4445" t="0" r="7620" b="11430"/>
                      <wp:wrapNone/>
                      <wp:docPr id="33" name="直线 71"/>
                      <wp:cNvGraphicFramePr/>
                      <a:graphic xmlns:a="http://schemas.openxmlformats.org/drawingml/2006/main">
                        <a:graphicData uri="http://schemas.microsoft.com/office/word/2010/wordprocessingShape">
                          <wps:wsp>
                            <wps:cNvSpPr/>
                            <wps:spPr>
                              <a:xfrm>
                                <a:off x="0" y="0"/>
                                <a:ext cx="3175" cy="2476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1" o:spid="_x0000_s1026" o:spt="20" style="position:absolute;left:0pt;margin-left:218pt;margin-top:15.5pt;height:19.5pt;width:0.25pt;z-index:251692032;mso-width-relative:page;mso-height-relative:page;" filled="f" stroked="t" coordsize="21600,21600" o:gfxdata="UEsDBAoAAAAAAIdO4kAAAAAAAAAAAAAAAAAEAAAAZHJzL1BLAwQUAAAACACHTuJAH+RzMdcAAAAJ&#10;AQAADwAAAGRycy9kb3ducmV2LnhtbE2PT0/DMAzF70h8h8hIXCaWdIWBStMdgN64MEBcvca0FY3T&#10;Ndkf+PSY0zhZ9nt6/r1ydfSD2tMU+8AWsrkBRdwE13Nr4e21vroDFROywyEwWfimCKvq/KzEwoUD&#10;v9B+nVolIRwLtNClNBZax6Yjj3EeRmLRPsPkMck6tdpNeJBwP+iFMUvtsWf50OFIDx01X+udtxDr&#10;d9rWP7NmZj7yNtBi+/j8hNZeXmTmHlSiYzqZ4Q9f0KESpk3YsYtqsHCdL6VLspBnMsUghxtQGwu3&#10;xoCuSv2/QfULUEsDBBQAAAAIAIdO4kDQkZm06wEAAN8DAAAOAAAAZHJzL2Uyb0RvYy54bWytU0uO&#10;EzEQ3SNxB8t70vmQCbTSmQVh2CAYaeAAFdvdbck/uZx0chauwYoNx5lrUHaHDAybLOiFu+wqv6r3&#10;qry+PVrDDiqi9q7hs8mUM+WEl9p1Df/65e7VG84wgZNgvFMNPynkt5uXL9ZDqNXc995IFRmBOKyH&#10;0PA+pVBXFYpeWcCJD8qRs/XRQqJt7CoZYSB0a6r5dHpTDT7KEL1QiHS6HZ38jBivAfRtq4XaerG3&#10;yqURNSoDiShhrwPyTam2bZVIn9sWVWKm4cQ0lZWSkL3La7VZQ91FCL0W5xLgmhKecbKgHSW9QG0h&#10;AdtH/Q+U1SJ69G2aCG+rkUhRhFjMps+0eeghqMKFpMZwER3/H6z4dLiPTMuGLxacObDU8cdv3x9/&#10;/GSrWVZnCFhT0EO4j+cdkpmpHtto859IsGNR9HRRVB0TE3S4mK2WnAlyzF+vbpZF7+rpaoiYPihv&#10;WTYabrTLdKGGw0dMlI5Cf4fkY+PY0PC3y3nGBJq9lnpOpg1UP7qu3EVvtLzTxuQbGLvdOxPZAXL/&#10;y5dJEe5fYTnJFrAf44prnIxegXzvJEunQMI4ehA8l2CV5Mwoej/ZIkCoE2hzTSSlNo4qyLqOSmZr&#10;5+WJ+rAPUXc9KVGkLzHU91LveUbzYP25L0hP73L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k&#10;czHXAAAACQEAAA8AAAAAAAAAAQAgAAAAIgAAAGRycy9kb3ducmV2LnhtbFBLAQIUABQAAAAIAIdO&#10;4kDQkZm06wEAAN8DAAAOAAAAAAAAAAEAIAAAACYBAABkcnMvZTJvRG9jLnhtbFBLBQYAAAAABgAG&#10;AFkBAACDBQ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91008" behindDoc="0" locked="0" layoutInCell="1" allowOverlap="1">
                      <wp:simplePos x="0" y="0"/>
                      <wp:positionH relativeFrom="column">
                        <wp:posOffset>2143125</wp:posOffset>
                      </wp:positionH>
                      <wp:positionV relativeFrom="paragraph">
                        <wp:posOffset>207010</wp:posOffset>
                      </wp:positionV>
                      <wp:extent cx="628650" cy="635"/>
                      <wp:effectExtent l="0" t="0" r="0" b="0"/>
                      <wp:wrapNone/>
                      <wp:docPr id="32" name="直线 70"/>
                      <wp:cNvGraphicFramePr/>
                      <a:graphic xmlns:a="http://schemas.openxmlformats.org/drawingml/2006/main">
                        <a:graphicData uri="http://schemas.microsoft.com/office/word/2010/wordprocessingShape">
                          <wps:wsp>
                            <wps:cNvSpPr/>
                            <wps:spPr>
                              <a:xfrm>
                                <a:off x="0" y="0"/>
                                <a:ext cx="628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0" o:spid="_x0000_s1026" o:spt="20" style="position:absolute;left:0pt;margin-left:168.75pt;margin-top:16.3pt;height:0.05pt;width:49.5pt;z-index:251691008;mso-width-relative:page;mso-height-relative:page;" filled="f" stroked="t" coordsize="21600,21600" o:gfxdata="UEsDBAoAAAAAAIdO4kAAAAAAAAAAAAAAAAAEAAAAZHJzL1BLAwQUAAAACACHTuJAIxLb1NcAAAAJ&#10;AQAADwAAAGRycy9kb3ducmV2LnhtbE2PzU7DQAyE70i8w8pIXCq6aQIpCtn0AOTGhQLi6mZNEpH1&#10;ptntDzw97qnc7JnR+HO5OrpB7WkKvWcDi3kCirjxtufWwPtbfXMPKkRki4NnMvBDAVbV5UWJhfUH&#10;fqX9OrZKSjgUaKCLcSy0Dk1HDsPcj8TiffnJYZR1arWd8CDlbtBpkuTaYc9yocORHjtqvtc7ZyDU&#10;H7Stf2fNLPnMWk/p9unlGY25vlokD6AiHeM5DCd8QYdKmDZ+xzaowUCWLe8kKkOag5LAbZaLsDkJ&#10;S9BVqf9/UP0BUEsDBBQAAAAIAIdO4kDNGZAN6AEAAN4DAAAOAAAAZHJzL2Uyb0RvYy54bWytU0uO&#10;EzEQ3SNxB8t70klGCUMrnVkQhg2CkWY4QMV2d1vyTy4nnZyFa7Biw3HmGpTdIYFhkwW9cJdd5ed6&#10;r6pWdwdr2F5F1N41fDaZcqac8FK7ruFfn+7f3HKGCZwE451q+FEhv1u/frUaQq3mvvdGqsgIxGE9&#10;hIb3KYW6qlD0ygJOfFCOnK2PFhJtY1fJCAOhW1PNp9NlNfgoQ/RCIdLpZnTyE2K8BtC3rRZq48XO&#10;KpdG1KgMJKKEvQ7I1yXbtlUifWlbVImZhhPTVFZ6hOxtXqv1CuouQui1OKUA16TwgpMF7ejRM9QG&#10;ErBd1P9AWS2iR9+mifC2GokURYjFbPpCm8cegipcSGoMZ9Hx/8GKz/uHyLRs+M2cMweWKv787fvz&#10;j5/sbVFnCFhT0GN4iKRV3iGZmeqhjTb/iQQ7FEWPZ0XVITFBh8v57XJBWgtyLW8WWe7qcjNETB+V&#10;tywbDTfaZbZQw/4TpjH0d0g+No4NDX+3mC8IEKj1Wio5mTZQ+ui6che90fJeG5NvYOy2701ke8jl&#10;L98phb/C8iMbwH6MK66xMXoF8oOTLB0D6eJoHnhOwSrJmVE0PtkqLZRAm2siib1xJMJFyGxtvTxS&#10;GXYh6q4nJWYly+yhshfJTi2a++rPfUG6jOX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MS29TX&#10;AAAACQEAAA8AAAAAAAAAAQAgAAAAIgAAAGRycy9kb3ducmV2LnhtbFBLAQIUABQAAAAIAIdO4kDN&#10;GZAN6AEAAN4DAAAOAAAAAAAAAAEAIAAAACYBAABkcnMvZTJvRG9jLnhtbFBLBQYAAAAABgAGAFkB&#10;AACABQ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699135</wp:posOffset>
                      </wp:positionH>
                      <wp:positionV relativeFrom="paragraph">
                        <wp:posOffset>183515</wp:posOffset>
                      </wp:positionV>
                      <wp:extent cx="480695" cy="0"/>
                      <wp:effectExtent l="0" t="38100" r="6985" b="38100"/>
                      <wp:wrapNone/>
                      <wp:docPr id="20" name="自选图形 71"/>
                      <wp:cNvGraphicFramePr/>
                      <a:graphic xmlns:a="http://schemas.openxmlformats.org/drawingml/2006/main">
                        <a:graphicData uri="http://schemas.microsoft.com/office/word/2010/wordprocessingShape">
                          <wps:wsp>
                            <wps:cNvCnPr/>
                            <wps:spPr>
                              <a:xfrm>
                                <a:off x="0" y="0"/>
                                <a:ext cx="4806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margin-left:55.05pt;margin-top:14.45pt;height:0pt;width:37.85pt;z-index:251678720;mso-width-relative:page;mso-height-relative:page;" filled="f" stroked="t" coordsize="21600,21600" o:gfxdata="UEsDBAoAAAAAAIdO4kAAAAAAAAAAAAAAAAAEAAAAZHJzL1BLAwQUAAAACACHTuJAlGxJy9cAAAAJ&#10;AQAADwAAAGRycy9kb3ducmV2LnhtbE2PT0vEMBDF74LfIYzgzU26YOnWpgu6iL0ouCviMduMbbCZ&#10;lCb7z0/vLB70+N78ePNetTz6Qexxii6QhmymQCC1wTrqNLxtHm8KEDEZsmYIhBpOGGFZX15UprTh&#10;QK+4X6dOcAjF0mjoUxpLKWPbozdxFkYkvn2GyZvEcuqkncyBw/0g50rl0htH/KE3Iz702H6td15D&#10;Wn2c+vy9vV+4l83Tc+6+m6ZZaX19lak7EAmP6Q+Gc32uDjV32oYd2SgG1pnKGNUwLxYgzkBxy1u2&#10;v4asK/l/Qf0DUEsDBBQAAAAIAIdO4kAhzcK0/QEAAOgDAAAOAAAAZHJzL2Uyb0RvYy54bWytU82O&#10;0zAQviPxDpbvNGnFLrtR0z20LBcElYAHmDpOYsl/8nib9sYN8QzcOPIO8DYrLW/B2Om2sAhpD+Tg&#10;jD0z38z3eTy/2hnNtjKgcrbm00nJmbTCNcp2Nf/w/vrZBWcYwTagnZU130vkV4unT+aDr+TM9U43&#10;MjACsVgNvuZ9jL4qChS9NIAT56UlZ+uCgUjb0BVNgIHQjS5mZXleDC40PjghEel0NTr5ATE8BtC1&#10;rRJy5cSNkTaOqEFqiEQJe+WRL3K3bStFfNu2KCPTNSemMa9UhOxNWovFHKougO+VOLQAj2nhAScD&#10;ylLRI9QKIrCboP6CMkoEh66NE+FMMRLJihCLaflAm3c9eJm5kNToj6Lj/4MVb7brwFRT8xlJYsHQ&#10;jd99+vbz4+fbLz9uv39lL6ZJo8FjRaFLuw6HHfp1SIR3bTDpT1TYLuu6P+oqd5EJOnx+UZ5fnnEm&#10;7l3FKc8HjK+kMywZNccYQHV9XDpr6fJcmGZZYfsaI1WmxPuEVFRbNtT88myWwIGGsaUhINN4IoS2&#10;y7notGquldYpA0O3WerAtpAGIn+JH+H+EZaKrAD7MS67xlHpJTQvbcPi3pNSll4ITy0Y2XCmJT2o&#10;ZBEgVBGUPkXGoMB2+h/RVF5b6iLJPAqbrI1r9lnvfE4DkPs8DGuasN/3Ofv0QB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RsScvXAAAACQEAAA8AAAAAAAAAAQAgAAAAIgAAAGRycy9kb3ducmV2&#10;LnhtbFBLAQIUABQAAAAIAIdO4kAhzcK0/QEAAOgDAAAOAAAAAAAAAAEAIAAAACYBAABkcnMvZTJv&#10;RG9jLnhtbFBLBQYAAAAABgAGAFkBAACVBQAAAAA=&#10;">
                      <v:fill on="f" focussize="0,0"/>
                      <v:stroke color="#000000" joinstyle="round" endarrow="block"/>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748665</wp:posOffset>
                      </wp:positionH>
                      <wp:positionV relativeFrom="paragraph">
                        <wp:posOffset>29210</wp:posOffset>
                      </wp:positionV>
                      <wp:extent cx="431165" cy="208280"/>
                      <wp:effectExtent l="0" t="0" r="0" b="0"/>
                      <wp:wrapNone/>
                      <wp:docPr id="13" name="矩形 68"/>
                      <wp:cNvGraphicFramePr/>
                      <a:graphic xmlns:a="http://schemas.openxmlformats.org/drawingml/2006/main">
                        <a:graphicData uri="http://schemas.microsoft.com/office/word/2010/wordprocessingShape">
                          <wps:wsp>
                            <wps:cNvSpPr/>
                            <wps:spPr>
                              <a:xfrm>
                                <a:off x="0" y="0"/>
                                <a:ext cx="431165" cy="208280"/>
                              </a:xfrm>
                              <a:prstGeom prst="rect">
                                <a:avLst/>
                              </a:prstGeom>
                              <a:solidFill>
                                <a:srgbClr val="FFFFFF">
                                  <a:alpha val="0"/>
                                </a:srgbClr>
                              </a:solidFill>
                              <a:ln>
                                <a:noFill/>
                              </a:ln>
                            </wps:spPr>
                            <wps:txbx>
                              <w:txbxContent>
                                <w:p w14:paraId="1C98EF1A">
                                  <w:pPr>
                                    <w:rPr>
                                      <w:rFonts w:hint="default" w:eastAsia="宋体"/>
                                      <w:lang w:val="en-US" w:eastAsia="zh-CN"/>
                                    </w:rPr>
                                  </w:pPr>
                                  <w:r>
                                    <w:rPr>
                                      <w:rFonts w:hint="eastAsia"/>
                                      <w:lang w:val="en-US" w:eastAsia="zh-CN"/>
                                    </w:rPr>
                                    <w:t>36</w:t>
                                  </w:r>
                                </w:p>
                              </w:txbxContent>
                            </wps:txbx>
                            <wps:bodyPr vert="horz" wrap="square" lIns="0" tIns="0" rIns="0" bIns="0" anchor="t" anchorCtr="0" upright="1"/>
                          </wps:wsp>
                        </a:graphicData>
                      </a:graphic>
                    </wp:anchor>
                  </w:drawing>
                </mc:Choice>
                <mc:Fallback>
                  <w:pict>
                    <v:rect id="矩形 68" o:spid="_x0000_s1026" o:spt="1" style="position:absolute;left:0pt;margin-left:58.95pt;margin-top:2.3pt;height:16.4pt;width:33.95pt;z-index:251671552;mso-width-relative:page;mso-height-relative:page;" fillcolor="#FFFFFF" filled="t" stroked="f" coordsize="21600,21600" o:gfxdata="UEsDBAoAAAAAAIdO4kAAAAAAAAAAAAAAAAAEAAAAZHJzL1BLAwQUAAAACACHTuJAv2//09cAAAAI&#10;AQAADwAAAGRycy9kb3ducmV2LnhtbE2PwU7DMBBE70j8g7VI3KgTCHUb4vRQqRKIqhIB7m7sJhH2&#10;OrLdpv17tic4jmY086ZanZ1lJxPi4FFCPsuAGWy9HrCT8PW5eVgAi0mhVtajkXAxEVb17U2lSu0n&#10;/DCnJnWMSjCWSkKf0lhyHtveOBVnfjRI3sEHpxLJ0HEd1ETlzvLHLJtzpwakhV6NZt2b9qc5Ogmi&#10;bcL3tN0UonndbZNF8ba+vEt5f5dnL8CSOae/MFzxCR1qYtr7I+rILOlcLCkqoZgDu/qLZ7qyl/Ak&#10;CuB1xf8fqH8BUEsDBBQAAAAIAIdO4kARNl6x7wEAAN8DAAAOAAAAZHJzL2Uyb0RvYy54bWytU82O&#10;0zAQviPxDpbvNG0XqqpquoetipAQrLTsA7iOk1jyHzNuk/IySNx4CB4H8RqMnaYLu5c9bA7OjD3+&#10;Zr5vxuvr3hp2VIDau5LPJlPOlJO+0q4p+f2X3ZslZxiFq4TxTpX8pJBfb16/Wndhpea+9aZSwAjE&#10;4aoLJW9jDKuiQNkqK3Dig3J0WHuwIpILTVGB6AjdmmI+nS6KzkMVwEuFSLvb4ZCfEeE5gL6utVRb&#10;Lw9WuTiggjIiEiVsdUC+ydXWtZLxc12jisyUnJjGvFISsvdpLTZrsWpAhFbLcwniOSU84mSFdpT0&#10;ArUVUbAD6CdQVkvw6Os4kd4WA5GsCLGYTR9pc9eKoDIXkhrDRXR8OVj56XgLTFc0CVecOWGp43++&#10;//z96wdbLJM6XcAVBd2FWzh7SGai2tdg059IsD4rerooqvrIJG2+vZrNFu84k3Q0ny7ny6x48XA5&#10;AMb3yluWjJIDNSzrKI4fMVJCCh1DUi70Rlc7bUx2oNnfGGBHQc3d5W+4a0Irht0xHQ6hGe8/DOMS&#10;kvMJc0iXdorEeuCZrNjv+zP5va9OJBi9H6q29fCNs46mp+T49SBAcWY+OGpPGrXRgNHYj4Zwkq6W&#10;PHI2mDdxGMlDAN20hDxL0ucqqO+56vOMpsH6189RD+9y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T1wAAAAgBAAAPAAAAAAAAAAEAIAAAACIAAABkcnMvZG93bnJldi54bWxQSwECFAAUAAAA&#10;CACHTuJAETZese8BAADfAwAADgAAAAAAAAABACAAAAAmAQAAZHJzL2Uyb0RvYy54bWxQSwUGAAAA&#10;AAYABgBZAQAAhwUAAAAA&#10;">
                      <v:fill on="t" opacity="0f" focussize="0,0"/>
                      <v:stroke on="f"/>
                      <v:imagedata o:title=""/>
                      <o:lock v:ext="edit" aspectratio="f"/>
                      <v:textbox inset="0mm,0mm,0mm,0mm">
                        <w:txbxContent>
                          <w:p w14:paraId="1C98EF1A">
                            <w:pPr>
                              <w:rPr>
                                <w:rFonts w:hint="default" w:eastAsia="宋体"/>
                                <w:lang w:val="en-US" w:eastAsia="zh-CN"/>
                              </w:rPr>
                            </w:pPr>
                            <w:r>
                              <w:rPr>
                                <w:rFonts w:hint="eastAsia"/>
                                <w:lang w:val="en-US" w:eastAsia="zh-CN"/>
                              </w:rPr>
                              <w:t>36</w:t>
                            </w:r>
                          </w:p>
                        </w:txbxContent>
                      </v:textbox>
                    </v:rect>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1177925</wp:posOffset>
                      </wp:positionH>
                      <wp:positionV relativeFrom="paragraph">
                        <wp:posOffset>40640</wp:posOffset>
                      </wp:positionV>
                      <wp:extent cx="963295" cy="293370"/>
                      <wp:effectExtent l="4445" t="5080" r="7620" b="6350"/>
                      <wp:wrapNone/>
                      <wp:docPr id="10" name="矩形 64"/>
                      <wp:cNvGraphicFramePr/>
                      <a:graphic xmlns:a="http://schemas.openxmlformats.org/drawingml/2006/main">
                        <a:graphicData uri="http://schemas.microsoft.com/office/word/2010/wordprocessingShape">
                          <wps:wsp>
                            <wps:cNvSpPr/>
                            <wps:spPr>
                              <a:xfrm>
                                <a:off x="0" y="0"/>
                                <a:ext cx="96329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552C07">
                                  <w:pPr>
                                    <w:jc w:val="center"/>
                                  </w:pPr>
                                  <w:r>
                                    <w:rPr>
                                      <w:rFonts w:hint="eastAsia"/>
                                      <w:lang w:val="en-US" w:eastAsia="zh-CN"/>
                                    </w:rPr>
                                    <w:t>循环冷却系统</w:t>
                                  </w:r>
                                </w:p>
                              </w:txbxContent>
                            </wps:txbx>
                            <wps:bodyPr vert="horz" wrap="square" lIns="0" rIns="0" anchor="t" anchorCtr="0" upright="1"/>
                          </wps:wsp>
                        </a:graphicData>
                      </a:graphic>
                    </wp:anchor>
                  </w:drawing>
                </mc:Choice>
                <mc:Fallback>
                  <w:pict>
                    <v:rect id="矩形 64" o:spid="_x0000_s1026" o:spt="1" style="position:absolute;left:0pt;margin-left:92.75pt;margin-top:3.2pt;height:23.1pt;width:75.85pt;z-index:251668480;mso-width-relative:page;mso-height-relative:page;" fillcolor="#FFFFFF" filled="t" stroked="t" coordsize="21600,21600" o:gfxdata="UEsDBAoAAAAAAIdO4kAAAAAAAAAAAAAAAAAEAAAAZHJzL1BLAwQUAAAACACHTuJAOHXOLdcAAAAI&#10;AQAADwAAAGRycy9kb3ducmV2LnhtbE2PwU7DMBBE70j8g7VI3KiTlIQojdMDUoVUyqGhH+DG2zgi&#10;Xke2k5a/x5zgOJrRzJt6ezMjW9D5wZKAdJUAQ+qsGqgXcPrcPZXAfJCk5GgJBXyjh21zf1fLStkr&#10;HXFpQ89iCflKCtAhTBXnvtNopF/ZCSl6F+uMDFG6nisnr7HcjDxLkoIbOVBc0HLCV43dVzsbAd1i&#10;yjf3Qe+7/TSf7F4fVJsehHh8SJMNsIC38BeGX/yIDk1kOtuZlGdj1GWex6iA4hlY9NfrlwzYWUCe&#10;FcCbmv8/0PwAUEsDBBQAAAAIAIdO4kARzGyuKwIAAG8EAAAOAAAAZHJzL2Uyb0RvYy54bWytVMuO&#10;0zAU3SPxD5b3NH0wA42azmJKERKCkQY+wHWcxJJf2G7T8jNI7PgIPgfxGxw7nc4DFl2QRXodX597&#10;zrnXXVzttSI74YO0pqKT0ZgSYbitpWkr+vnT+sVrSkJkpmbKGlHRgwj0avn82aJ3pZjazqpaeAIQ&#10;E8reVbSL0ZVFEXgnNAsj64TBZmO9ZhFL3xa1Zz3QtSqm4/Fl0VtfO2+5CAFfV8MmPSL6cwBt00gu&#10;VpZvtTBxQPVCsQhJoZMu0GVm2zSCx49NE0QkqqJQGvMbRRBv0rtYLljZeuY6yY8U2DkUnmjSTBoU&#10;PUGtWGRk6+VfUFpyb4Nt4ohbXQxCsiNQMRk/8ea2Y05kLbA6uJPp4f/B8g+7G09kjUmAJYZpdPz3&#10;tx+/fn4nly+TO70LJZJu3Y0/rgLCJHXfeJ1+IYLss6OHk6NiHwnHx/nlbDq/oIRjazqfzV5lx4v7&#10;w86H+FZYTVJQUY+GZR/Z7n2IKIjUu5RUK1gl67VUKi98u7lWnuwYmrvOT2KMI4/SlCE9mFxMEw+G&#10;iW0wKQi1g+pg2lzv0YnwEHicn38BJ2IrFrqBQEZIaazUMorkFis7weo3pibx4GCswYWiiYwWNSVK&#10;4P6lKGdGJtU5mVCnDESmvgydSFHcb/aASeHG1ge0FDccfnbWf0VFzDekftkyj/rqncEAodv+LmCG&#10;I7GicGUIr+NwRbbOy7YDziTrT/CYw2zx8c6kQX+4zszu/ye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dc4t1wAAAAgBAAAPAAAAAAAAAAEAIAAAACIAAABkcnMvZG93bnJldi54bWxQSwECFAAU&#10;AAAACACHTuJAEcxsrisCAABvBAAADgAAAAAAAAABACAAAAAmAQAAZHJzL2Uyb0RvYy54bWxQSwUG&#10;AAAAAAYABgBZAQAAwwUAAAAA&#10;">
                      <v:fill on="t" focussize="0,0"/>
                      <v:stroke color="#000000" joinstyle="miter"/>
                      <v:imagedata o:title=""/>
                      <o:lock v:ext="edit" aspectratio="f"/>
                      <v:textbox inset="0mm,1.27mm,0mm,1.27mm">
                        <w:txbxContent>
                          <w:p w14:paraId="48552C07">
                            <w:pPr>
                              <w:jc w:val="center"/>
                            </w:pPr>
                            <w:r>
                              <w:rPr>
                                <w:rFonts w:hint="eastAsia"/>
                                <w:lang w:val="en-US" w:eastAsia="zh-CN"/>
                              </w:rPr>
                              <w:t>循环冷却系统</w:t>
                            </w:r>
                          </w:p>
                        </w:txbxContent>
                      </v:textbox>
                    </v:rect>
                  </w:pict>
                </mc:Fallback>
              </mc:AlternateContent>
            </w:r>
          </w:p>
          <w:p w14:paraId="18D3686D">
            <w:pPr>
              <w:pStyle w:val="84"/>
              <w:ind w:firstLine="0" w:firstLineChars="0"/>
              <w:jc w:val="center"/>
              <w:rPr>
                <w:rFonts w:hint="eastAsia"/>
                <w:color w:val="auto"/>
                <w:lang w:val="en-US" w:eastAsia="zh-CN"/>
              </w:rPr>
            </w:pPr>
            <w:r>
              <w:rPr>
                <w:color w:val="auto"/>
                <w:sz w:val="21"/>
              </w:rPr>
              <mc:AlternateContent>
                <mc:Choice Requires="wps">
                  <w:drawing>
                    <wp:anchor distT="0" distB="0" distL="114300" distR="114300" simplePos="0" relativeHeight="251695104" behindDoc="0" locked="0" layoutInCell="1" allowOverlap="1">
                      <wp:simplePos x="0" y="0"/>
                      <wp:positionH relativeFrom="column">
                        <wp:posOffset>2324100</wp:posOffset>
                      </wp:positionH>
                      <wp:positionV relativeFrom="paragraph">
                        <wp:posOffset>49530</wp:posOffset>
                      </wp:positionV>
                      <wp:extent cx="477520" cy="208280"/>
                      <wp:effectExtent l="0" t="0" r="0" b="0"/>
                      <wp:wrapNone/>
                      <wp:docPr id="36" name="矩形 66"/>
                      <wp:cNvGraphicFramePr/>
                      <a:graphic xmlns:a="http://schemas.openxmlformats.org/drawingml/2006/main">
                        <a:graphicData uri="http://schemas.microsoft.com/office/word/2010/wordprocessingShape">
                          <wps:wsp>
                            <wps:cNvSpPr/>
                            <wps:spPr>
                              <a:xfrm>
                                <a:off x="0" y="0"/>
                                <a:ext cx="477520" cy="208280"/>
                              </a:xfrm>
                              <a:prstGeom prst="rect">
                                <a:avLst/>
                              </a:prstGeom>
                              <a:solidFill>
                                <a:srgbClr val="FFFFFF">
                                  <a:alpha val="0"/>
                                </a:srgbClr>
                              </a:solidFill>
                              <a:ln>
                                <a:noFill/>
                              </a:ln>
                            </wps:spPr>
                            <wps:txbx>
                              <w:txbxContent>
                                <w:p w14:paraId="62290B7B">
                                  <w:pPr>
                                    <w:rPr>
                                      <w:rFonts w:hint="default" w:eastAsia="宋体"/>
                                      <w:lang w:val="en-US" w:eastAsia="zh-CN"/>
                                    </w:rPr>
                                  </w:pPr>
                                  <w:r>
                                    <w:rPr>
                                      <w:rFonts w:hint="eastAsia"/>
                                      <w:lang w:val="en-US" w:eastAsia="zh-CN"/>
                                    </w:rPr>
                                    <w:t>3840</w:t>
                                  </w:r>
                                </w:p>
                              </w:txbxContent>
                            </wps:txbx>
                            <wps:bodyPr wrap="square" lIns="0" tIns="0" rIns="0" bIns="0" upright="1"/>
                          </wps:wsp>
                        </a:graphicData>
                      </a:graphic>
                    </wp:anchor>
                  </w:drawing>
                </mc:Choice>
                <mc:Fallback>
                  <w:pict>
                    <v:rect id="矩形 66" o:spid="_x0000_s1026" o:spt="1" style="position:absolute;left:0pt;margin-left:183pt;margin-top:3.9pt;height:16.4pt;width:37.6pt;z-index:251695104;mso-width-relative:page;mso-height-relative:page;" fillcolor="#FFFFFF" filled="t" stroked="f" coordsize="21600,21600" o:gfxdata="UEsDBAoAAAAAAIdO4kAAAAAAAAAAAAAAAAAEAAAAZHJzL1BLAwQUAAAACACHTuJA0n1R+tYAAAAI&#10;AQAADwAAAGRycy9kb3ducmV2LnhtbE2PwU7DMAyG70i8Q2QkbiztqFpUmu4waRKICYkC96wxbUXi&#10;VEm2bm+POcHN1m99/v5mc3ZWnDDEyZOCfJWBQOq9mWhQ8PG+u3sAEZMmo60nVHDBCJv2+qrRtfEL&#10;veGpS4NgCMVaKxhTmmspYz+i03HlZyTOvnxwOvEaBmmCXhjurFxnWSmdnog/jHrG7Yj9d3d0Cqq+&#10;C5/LfldU3dPrPlmqnreXF6Vub/LsEUTCc/o7hl99VoeWnQ7+SCYKq+C+LLlLYhg34Lwo8jWIAw9Z&#10;CbJt5P8C7Q9QSwMEFAAAAAgAh07iQKrtGpHZAQAAugMAAA4AAABkcnMvZTJvRG9jLnhtbK1TzY7T&#10;MBC+I/EOlu80aYFuVTXdA1UREoKVFh7AdZzGkv+YcZv0aZC48RA8DuI1GDtJF5bLHsghmRmPv5nv&#10;m8nmtreGnRWg9q7i81nJmXLS19odK/750/7FijOMwtXCeKcqflHIb7fPn226sFYL33pTK2AE4nDd&#10;hYq3MYZ1UaBslRU480E5Omw8WBHJhWNRg+gI3ZpiUZbLovNQB/BSIVJ0NxzyERGeAuibRku18/Jk&#10;lYsDKigjIlHCVgfk29xt0ygZPzYNqshMxYlpzG8qQvYhvYvtRqyPIEKr5diCeEoLjzhZoR0VvULt&#10;RBTsBPofKKslePRNnElvi4FIVoRYzMtH2ty3IqjMhaTGcBUd/x+s/HC+A6brir9ccuaEpYn/+vr9&#10;549vbLlM6nQB15R0H+5g9JDMRLVvwKYvkWB9VvRyVVT1kUkKvrq5eb0grSUdLcrVYpUVLx4uB8D4&#10;VnnLklFxoIFlHcX5PUYqSKlTSqqF3uh6r43JDhwPbwyws6Dh7vMz3DWhFUN0KodDasb7C8O4hOR8&#10;whzKpUiRWA88kxX7Qz+SP/j6QoJ1tDEVxy8nAYoz887RSNJ6TQZMxmEyTgH0sSWK86RqLkAjzQ2N&#10;65d25k8/Zz38ct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n1R+tYAAAAIAQAADwAAAAAAAAAB&#10;ACAAAAAiAAAAZHJzL2Rvd25yZXYueG1sUEsBAhQAFAAAAAgAh07iQKrtGpHZAQAAugMAAA4AAAAA&#10;AAAAAQAgAAAAJQEAAGRycy9lMm9Eb2MueG1sUEsFBgAAAAAGAAYAWQEAAHAFAAAAAA==&#10;">
                      <v:fill on="t" opacity="0f" focussize="0,0"/>
                      <v:stroke on="f"/>
                      <v:imagedata o:title=""/>
                      <o:lock v:ext="edit" aspectratio="f"/>
                      <v:textbox inset="0mm,0mm,0mm,0mm">
                        <w:txbxContent>
                          <w:p w14:paraId="62290B7B">
                            <w:pPr>
                              <w:rPr>
                                <w:rFonts w:hint="default" w:eastAsia="宋体"/>
                                <w:lang w:val="en-US" w:eastAsia="zh-CN"/>
                              </w:rPr>
                            </w:pPr>
                            <w:r>
                              <w:rPr>
                                <w:rFonts w:hint="eastAsia"/>
                                <w:lang w:val="en-US" w:eastAsia="zh-CN"/>
                              </w:rPr>
                              <w:t>3840</w:t>
                            </w:r>
                          </w:p>
                        </w:txbxContent>
                      </v:textbox>
                    </v:rect>
                  </w:pict>
                </mc:Fallback>
              </mc:AlternateContent>
            </w:r>
            <w:r>
              <w:rPr>
                <w:color w:val="auto"/>
                <w:sz w:val="21"/>
              </w:rPr>
              <mc:AlternateContent>
                <mc:Choice Requires="wps">
                  <w:drawing>
                    <wp:anchor distT="0" distB="0" distL="114300" distR="114300" simplePos="0" relativeHeight="251694080" behindDoc="0" locked="0" layoutInCell="1" allowOverlap="1">
                      <wp:simplePos x="0" y="0"/>
                      <wp:positionH relativeFrom="column">
                        <wp:posOffset>2076450</wp:posOffset>
                      </wp:positionH>
                      <wp:positionV relativeFrom="paragraph">
                        <wp:posOffset>97155</wp:posOffset>
                      </wp:positionV>
                      <wp:extent cx="635" cy="114300"/>
                      <wp:effectExtent l="48895" t="0" r="57150" b="7620"/>
                      <wp:wrapNone/>
                      <wp:docPr id="35" name="直线 73"/>
                      <wp:cNvGraphicFramePr/>
                      <a:graphic xmlns:a="http://schemas.openxmlformats.org/drawingml/2006/main">
                        <a:graphicData uri="http://schemas.microsoft.com/office/word/2010/wordprocessingShape">
                          <wps:wsp>
                            <wps:cNvSpPr/>
                            <wps:spPr>
                              <a:xfrm flipV="1">
                                <a:off x="0" y="0"/>
                                <a:ext cx="635" cy="114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3" o:spid="_x0000_s1026" o:spt="20" style="position:absolute;left:0pt;flip:y;margin-left:163.5pt;margin-top:7.65pt;height:9pt;width:0.05pt;z-index:251694080;mso-width-relative:page;mso-height-relative:page;" filled="f" stroked="t" coordsize="21600,21600" o:gfxdata="UEsDBAoAAAAAAIdO4kAAAAAAAAAAAAAAAAAEAAAAZHJzL1BLAwQUAAAACACHTuJA/WadadcAAAAJ&#10;AQAADwAAAGRycy9kb3ducmV2LnhtbE2PMU/DQAyFdyT+w8lILBW9pBEUhVw6VIKBjbQq6yXnJqE5&#10;X5Rz2/DvMRNstt/T8/eKzewHdcEp9oEMpMsEFFITXE+tgf3u9eEZVGRLzg6B0MA3RtiUtzeFzV24&#10;0gdeKm6VhFDMrYGOecy1jk2H3sZlGJFEO4bJW5Z1arWb7FXC/aBXSfKkve1JPnR2xG2Hzak6ewNv&#10;78z1bj/y4nQ8VF+fi+1crStj7u/S5AUU48x/ZvjFF3QohakOZ3JRDQay1Vq6sAiPGSgxyCEFVcuQ&#10;ZaDLQv9vUP4AUEsDBBQAAAAIAIdO4kCfIoon9wEAAOkDAAAOAAAAZHJzL2Uyb0RvYy54bWytU81u&#10;EzEQviPxDpbvZLMJLbDKpgdCuSCo1MJ94rV3LflPHiebPAuvwYkLj9PXYOwNKRQOPeCDNZ4ZfzPf&#10;5/Hq6mAN28uI2ruW17M5Z9IJ32nXt/zz3fWL15xhAteB8U62/CiRX62fP1uNoZELP3jTycgIxGEz&#10;hpYPKYWmqlAM0gLOfJCOgspHC4mOsa+6CCOhW1Mt5vPLavSxC9ELiUjezRTkJ8T4FECvlBZy48XO&#10;Spcm1CgNJKKEgw7I16VbpaRIn5RCmZhpOTFNZaciZG/zXq1X0PQRwqDFqQV4SguPOFnQjoqeoTaQ&#10;gO2i/gvKahE9epVmwttqIlIUIRb1/JE2twMEWbiQ1BjOouP/gxUf9zeR6a7lywvOHFh68fuv3+6/&#10;/2CvllmdMWBDSbfhJp5OSGamelDRMmV0+EJjVMgTHXYo2h7P2spDYoKclxlfkL+uXy7nRfhqwshY&#10;IWJ6L71l2Wi50S7zhgb2HzBRXUr9lZLdxrGx5W8uFhkTaAgVPT6ZNhARdH25i97o7lobk29g7Ldv&#10;TWR7yINQVmZHuH+k5SIbwGHKK6FpRAYJ3TvXsXQMpJCjn8FzC1Z2nBlJHylbBAhNAm0eMiFGP/47&#10;lWobRy1khSdNs7X13ZFeZBei7geSoi5t5ghNQGn4NK15xH4/F6SHH7r+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1mnWnXAAAACQEAAA8AAAAAAAAAAQAgAAAAIgAAAGRycy9kb3ducmV2LnhtbFBL&#10;AQIUABQAAAAIAIdO4kCfIoon9wEAAOkDAAAOAAAAAAAAAAEAIAAAACYBAABkcnMvZTJvRG9jLnht&#10;bFBLBQYAAAAABgAGAFkBAACPBQ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93056" behindDoc="0" locked="0" layoutInCell="1" allowOverlap="1">
                      <wp:simplePos x="0" y="0"/>
                      <wp:positionH relativeFrom="column">
                        <wp:posOffset>2070100</wp:posOffset>
                      </wp:positionH>
                      <wp:positionV relativeFrom="paragraph">
                        <wp:posOffset>214630</wp:posOffset>
                      </wp:positionV>
                      <wp:extent cx="704850" cy="1270"/>
                      <wp:effectExtent l="0" t="0" r="0" b="0"/>
                      <wp:wrapNone/>
                      <wp:docPr id="34" name="直线 72"/>
                      <wp:cNvGraphicFramePr/>
                      <a:graphic xmlns:a="http://schemas.openxmlformats.org/drawingml/2006/main">
                        <a:graphicData uri="http://schemas.microsoft.com/office/word/2010/wordprocessingShape">
                          <wps:wsp>
                            <wps:cNvSpPr/>
                            <wps:spPr>
                              <a:xfrm flipH="1">
                                <a:off x="0" y="0"/>
                                <a:ext cx="70485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 o:spid="_x0000_s1026" o:spt="20" style="position:absolute;left:0pt;flip:x;margin-left:163pt;margin-top:16.9pt;height:0.1pt;width:55.5pt;z-index:251693056;mso-width-relative:page;mso-height-relative:page;" filled="f" stroked="t" coordsize="21600,21600" o:gfxdata="UEsDBAoAAAAAAIdO4kAAAAAAAAAAAAAAAAAEAAAAZHJzL1BLAwQUAAAACACHTuJA5gY/r9YAAAAJ&#10;AQAADwAAAGRycy9kb3ducmV2LnhtbE2PQU/DMAyF70j8h8hI3FiydhqsNJ0QAi5ISBtl57QxbUXi&#10;VE3WjX+POcHNfn56/l65PXsnZpziEEjDcqFAILXBDtRpqN+fb+5AxGTIGhcINXxjhG11eVGawoYT&#10;7XDep05wCMXCaOhTGgspY9ujN3ERRiS+fYbJm8Tr1Ek7mROHeyczpdbSm4H4Q29GfOyx/dofvYaH&#10;w+tT/jY3Pji76eoP62v1kml9fbVU9yASntOfGX7xGR0qZmrCkWwUTkOerblL4iHnCmxY5bcsNCys&#10;FMiqlP8bVD9QSwMEFAAAAAgAh07iQAFmo+v1AQAA6QMAAA4AAABkcnMvZTJvRG9jLnhtbK1TS44T&#10;MRDdI3EHy3vSSZiQoZXOLAgDCwQjDRyg4ra7Lfknl5NOzsI1WLHhOHMNyu4QYGaTxfSiVXaVX9V7&#10;fl7dHKxhexlRe9fw2WTKmXTCt9p1Df/29fbVNWeYwLVgvJMNP0rkN+uXL1ZDqOXc9960MjICcVgP&#10;oeF9SqGuKhS9tIATH6SjpPLRQqJl7Ko2wkDo1lTz6fRNNfjYhuiFRKTdzZjkJ8R4CaBXSgu58WJn&#10;pUsjapQGElHCXgfk6zKtUlKkL0qhTMw0nJim8qcmFG/zv1qvoO4ihF6L0whwyQiPOFnQjpqeoTaQ&#10;gO2ifgJltYgevUoT4W01EimKEIvZ9JE29z0EWbiQ1BjOouPzwYrP+7vIdNvw11ecObB04w/ffzz8&#10;/MWW86zOELCmovtwF08rpDBTPahomTI6fCQbFfJEhx2KtseztvKQmKDN5fTqekGqC0rN5suifDWC&#10;ZLAQMX2Q3rIcNNxol4lDDftPmKgxlf4pydvGsaHhbxfzBSECuVDR7VNoAzFB15Wz6I1ub7Ux+QTG&#10;bvvORLaH7ITyZXqE+19ZbrIB7Me6kho90kto37uWpWMgiRw9DZ5HsLLlzEh6STkiQKgTaHNJJbU2&#10;jibICo+a5mjr2yPdyC5E3fWkxKxMmTPkgDLvya3ZYv+uC9LfF7r+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YGP6/WAAAACQEAAA8AAAAAAAAAAQAgAAAAIgAAAGRycy9kb3ducmV2LnhtbFBLAQIU&#10;ABQAAAAIAIdO4kABZqPr9QEAAOkDAAAOAAAAAAAAAAEAIAAAACUBAABkcnMvZTJvRG9jLnhtbFBL&#10;BQYAAAAABgAGAFkBAACMBQ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89984" behindDoc="0" locked="0" layoutInCell="1" allowOverlap="1">
                      <wp:simplePos x="0" y="0"/>
                      <wp:positionH relativeFrom="column">
                        <wp:posOffset>1802130</wp:posOffset>
                      </wp:positionH>
                      <wp:positionV relativeFrom="paragraph">
                        <wp:posOffset>175260</wp:posOffset>
                      </wp:positionV>
                      <wp:extent cx="477520" cy="208280"/>
                      <wp:effectExtent l="0" t="0" r="0" b="0"/>
                      <wp:wrapNone/>
                      <wp:docPr id="31" name="矩形 66"/>
                      <wp:cNvGraphicFramePr/>
                      <a:graphic xmlns:a="http://schemas.openxmlformats.org/drawingml/2006/main">
                        <a:graphicData uri="http://schemas.microsoft.com/office/word/2010/wordprocessingShape">
                          <wps:wsp>
                            <wps:cNvSpPr/>
                            <wps:spPr>
                              <a:xfrm>
                                <a:off x="0" y="0"/>
                                <a:ext cx="477520" cy="208280"/>
                              </a:xfrm>
                              <a:prstGeom prst="rect">
                                <a:avLst/>
                              </a:prstGeom>
                              <a:solidFill>
                                <a:srgbClr val="FFFFFF">
                                  <a:alpha val="0"/>
                                </a:srgbClr>
                              </a:solidFill>
                              <a:ln>
                                <a:noFill/>
                              </a:ln>
                            </wps:spPr>
                            <wps:txbx>
                              <w:txbxContent>
                                <w:p w14:paraId="7D6BE7AC">
                                  <w:pPr>
                                    <w:rPr>
                                      <w:rFonts w:hint="eastAsia" w:eastAsia="宋体"/>
                                      <w:lang w:val="en-US" w:eastAsia="zh-CN"/>
                                    </w:rPr>
                                  </w:pPr>
                                  <w:r>
                                    <w:rPr>
                                      <w:rFonts w:hint="eastAsia"/>
                                    </w:rPr>
                                    <w:t>0.</w:t>
                                  </w:r>
                                  <w:r>
                                    <w:rPr>
                                      <w:rFonts w:hint="eastAsia"/>
                                      <w:lang w:val="en-US" w:eastAsia="zh-CN"/>
                                    </w:rPr>
                                    <w:t>8</w:t>
                                  </w:r>
                                </w:p>
                              </w:txbxContent>
                            </wps:txbx>
                            <wps:bodyPr vert="horz" wrap="square" lIns="0" tIns="0" rIns="0" bIns="0" anchor="t" anchorCtr="0" upright="1"/>
                          </wps:wsp>
                        </a:graphicData>
                      </a:graphic>
                    </wp:anchor>
                  </w:drawing>
                </mc:Choice>
                <mc:Fallback>
                  <w:pict>
                    <v:rect id="矩形 66" o:spid="_x0000_s1026" o:spt="1" style="position:absolute;left:0pt;margin-left:141.9pt;margin-top:13.8pt;height:16.4pt;width:37.6pt;z-index:251689984;mso-width-relative:page;mso-height-relative:page;" fillcolor="#FFFFFF" filled="t" stroked="f" coordsize="21600,21600" o:gfxdata="UEsDBAoAAAAAAIdO4kAAAAAAAAAAAAAAAAAEAAAAZHJzL1BLAwQUAAAACACHTuJA9wdsd9kAAAAJ&#10;AQAADwAAAGRycy9kb3ducmV2LnhtbE2PzU7DMBCE70i8g7VI3KjdH5IS4vRQqRKICokAdzdekgh7&#10;HcVu0749ywlus5rR7Dfl5uydOOEY+0Aa5jMFAqkJtqdWw8f77m4NIiZD1rhAqOGCETbV9VVpChsm&#10;esNTnVrBJRQLo6FLaSikjE2H3sRZGJDY+wqjN4nPsZV2NBOXeycXSmXSm574Q2cG3HbYfNdHryFv&#10;6vFz2u9Wef30uk+O8uft5UXr25u5egSR8Jz+wvCLz+hQMdMhHMlG4TQs1ktGTyzyDAQHlvcPPO6g&#10;IVMrkFUp/y+ofgBQSwMEFAAAAAgAh07iQGNEsq/vAQAA3wMAAA4AAABkcnMvZTJvRG9jLnhtbK1T&#10;zY7TMBC+I/EOlu80bYBuVTXdw1ZFSAhWWngA13EaS/5jxm1SXgaJGw/B4yBeg7HTdNndyx7IwZmx&#10;x9/M9814dd1bw44KUHtX8dlkyply0tfa7Sv+5fP21YIzjMLVwninKn5SyK/XL1+surBUpW+9qRUw&#10;AnG47ELF2xjDsihQtsoKnPigHB02HqyI5MK+qEF0hG5NUU6n86LzUAfwUiHS7mY45GdEeA6gbxot&#10;1cbLg1UuDqigjIhECVsdkK9ztU2jZPzUNKgiMxUnpjGvlITsXVqL9Uos9yBCq+W5BPGcEh5xskI7&#10;SnqB2ogo2AH0EyirJXj0TZxIb4uBSFaEWMymj7S5a0VQmQtJjeEiOv4/WPnxeAtM1xV/PePMCUsd&#10;//P95+9fP9h8ntTpAi4p6C7cwtlDMhPVvgGb/kSC9VnR00VR1UcmafPN1dXbkrSWdFROF+UiK17c&#10;Xw6A8Z3yliWj4kANyzqK4weMlJBCx5CUC73R9VYbkx3Y724MsKOg5m7zN9w1oRXD7pgOh9CM9wDD&#10;uITkfMIc0qWdIrEeeCYr9rv+TH7n6xMJRu+Hqm09fOOso+mpOH49CFCcmfeO2pNGbTRgNHajIZyk&#10;qxWPnA3mTRxG8hBA71tCniXpcxXU91z1eUbTYP3r56j7d7n+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HbHfZAAAACQEAAA8AAAAAAAAAAQAgAAAAIgAAAGRycy9kb3ducmV2LnhtbFBLAQIUABQA&#10;AAAIAIdO4kBjRLKv7wEAAN8DAAAOAAAAAAAAAAEAIAAAACgBAABkcnMvZTJvRG9jLnhtbFBLBQYA&#10;AAAABgAGAFkBAACJBQAAAAA=&#10;">
                      <v:fill on="t" opacity="0f" focussize="0,0"/>
                      <v:stroke on="f"/>
                      <v:imagedata o:title=""/>
                      <o:lock v:ext="edit" aspectratio="f"/>
                      <v:textbox inset="0mm,0mm,0mm,0mm">
                        <w:txbxContent>
                          <w:p w14:paraId="7D6BE7AC">
                            <w:pPr>
                              <w:rPr>
                                <w:rFonts w:hint="eastAsia" w:eastAsia="宋体"/>
                                <w:lang w:val="en-US" w:eastAsia="zh-CN"/>
                              </w:rPr>
                            </w:pPr>
                            <w:r>
                              <w:rPr>
                                <w:rFonts w:hint="eastAsia"/>
                              </w:rPr>
                              <w:t>0.</w:t>
                            </w:r>
                            <w:r>
                              <w:rPr>
                                <w:rFonts w:hint="eastAsia"/>
                                <w:lang w:val="en-US" w:eastAsia="zh-CN"/>
                              </w:rPr>
                              <w:t>8</w:t>
                            </w:r>
                          </w:p>
                        </w:txbxContent>
                      </v:textbox>
                    </v:rect>
                  </w:pict>
                </mc:Fallback>
              </mc:AlternateContent>
            </w:r>
          </w:p>
          <w:p w14:paraId="7EE6B664">
            <w:pPr>
              <w:pStyle w:val="86"/>
              <w:rPr>
                <w:rFonts w:hint="eastAsia"/>
                <w:color w:val="auto"/>
              </w:rPr>
            </w:pPr>
            <w:r>
              <w:rPr>
                <w:color w:val="auto"/>
                <w:sz w:val="21"/>
              </w:rPr>
              <mc:AlternateContent>
                <mc:Choice Requires="wps">
                  <w:drawing>
                    <wp:anchor distT="0" distB="0" distL="114300" distR="114300" simplePos="0" relativeHeight="251686912" behindDoc="0" locked="0" layoutInCell="1" allowOverlap="1">
                      <wp:simplePos x="0" y="0"/>
                      <wp:positionH relativeFrom="column">
                        <wp:posOffset>1435100</wp:posOffset>
                      </wp:positionH>
                      <wp:positionV relativeFrom="paragraph">
                        <wp:posOffset>22860</wp:posOffset>
                      </wp:positionV>
                      <wp:extent cx="336550" cy="265430"/>
                      <wp:effectExtent l="0" t="20320" r="13970" b="19050"/>
                      <wp:wrapNone/>
                      <wp:docPr id="28" name="自选图形 65"/>
                      <wp:cNvGraphicFramePr/>
                      <a:graphic xmlns:a="http://schemas.openxmlformats.org/drawingml/2006/main">
                        <a:graphicData uri="http://schemas.microsoft.com/office/word/2010/wordprocessingShape">
                          <wps:wsp>
                            <wps:cNvCnPr/>
                            <wps:spPr>
                              <a:xfrm flipV="1">
                                <a:off x="0" y="0"/>
                                <a:ext cx="336550" cy="265430"/>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65" o:spid="_x0000_s1026" o:spt="38" type="#_x0000_t38" style="position:absolute;left:0pt;flip:y;margin-left:113pt;margin-top:1.8pt;height:20.9pt;width:26.5pt;z-index:251686912;mso-width-relative:page;mso-height-relative:page;" filled="f" stroked="t" coordsize="21600,21600" o:gfxdata="UEsDBAoAAAAAAIdO4kAAAAAAAAAAAAAAAAAEAAAAZHJzL1BLAwQUAAAACACHTuJALvZ0YdgAAAAI&#10;AQAADwAAAGRycy9kb3ducmV2LnhtbE2PMU/DMBSEdyT+g/WQWBB1akoKIU6HSAwdGAhIMLrxaxIR&#10;P0e2m7b8eh4TjKc73X1Xbk5uFDOGOHjSsFxkIJBabwfqNLy/Pd8+gIjJkDWjJ9Rwxgib6vKiNIX1&#10;R3rFuUmd4BKKhdHQpzQVUsa2R2fiwk9I7O19cCaxDJ20wRy53I1SZVkunRmIF3ozYd1j+9UcnAba&#10;f9Q3AVuz/a4bXH/Og3rZnrW+vlpmTyASntJfGH7xGR0qZtr5A9koRg1K5fwlabjLQbCv1o+sdxpW&#10;9yuQVSn/H6h+AFBLAwQUAAAACACHTuJArw/eXR4CAAAhBAAADgAAAGRycy9lMm9Eb2MueG1srVNL&#10;jhMxEN0jcQfLe9L50BG00plFwrBBMBKffcV2dxv5J9tJJzt2iDOwY8kdhtuMBLeg7G4yMAhpFvSi&#10;VbbLr+q9V15dHLUiB+GDtKams8mUEmGY5dK0NX375vLRE0pCBMNBWSNqehKBXqwfPlj1rhJz21nF&#10;hScIYkLVu5p2MbqqKALrhIYwsU4YPGys1xBx6duCe+gRXatiPp0ui9567rxlIgTc3Q6HdET09wG0&#10;TSOZ2Fq218LEAdULBREphU66QNe526YRLL5qmiAiUTVFpjH/sQjGu/Qv1iuoWg+uk2xsAe7Twh1O&#10;GqTBomeoLUQgey//gtKSeRtsEyfM6mIgkhVBFrPpHW1ed+BE5oJSB3cWPfw/WPbycOWJ5DWdo+8G&#10;NDr+/ePXHx8+3Xz+dnP9hSzLpFHvQoWpG3Plx1VwVz4RPjZek0ZJ9w6HKUuApMgxK3w6KyyOkTDc&#10;XCyWZYnaMzyaL8vHi+xAMcAkOOdDfC6sJimoKdv7g+Abaww6af0iF4DDixCz2HzsGPj7GSWNVujd&#10;ARQpp/ilvhF5zMboF3a6qgzpa/q0nJfYDOAYNzg+GGqHUgTT5kLBKskvpVLpRvDtbqM8QXyklb+x&#10;wh9pqcgWQjfkcYxSFlSdAP7McBJPDiU2+LRo6kALTokS+BJTlDMjSHWbGb0E06p/ZCMrZZBm8mdw&#10;JEU7y0/ZqLyPk5OFGKc8jebv63z79mW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9nRh2AAA&#10;AAgBAAAPAAAAAAAAAAEAIAAAACIAAABkcnMvZG93bnJldi54bWxQSwECFAAUAAAACACHTuJArw/e&#10;XR4CAAAhBAAADgAAAAAAAAABACAAAAAnAQAAZHJzL2Uyb0RvYy54bWxQSwUGAAAAAAYABgBZAQAA&#10;twUAAAAA&#10;" adj="10800">
                      <v:fill on="f" focussize="0,0"/>
                      <v:stroke color="#000000" joinstyle="round" dashstyle="dash" endarrow="block"/>
                      <v:imagedata o:title=""/>
                      <o:lock v:ext="edit" aspectratio="f"/>
                    </v:shape>
                  </w:pict>
                </mc:Fallback>
              </mc:AlternateContent>
            </w:r>
          </w:p>
          <w:p w14:paraId="38690EC8">
            <w:pPr>
              <w:pStyle w:val="86"/>
              <w:rPr>
                <w:rFonts w:hint="eastAsia"/>
                <w:color w:val="auto"/>
              </w:rPr>
            </w:pP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675005</wp:posOffset>
                      </wp:positionH>
                      <wp:positionV relativeFrom="paragraph">
                        <wp:posOffset>203835</wp:posOffset>
                      </wp:positionV>
                      <wp:extent cx="467995" cy="635"/>
                      <wp:effectExtent l="0" t="37465" r="4445" b="38100"/>
                      <wp:wrapNone/>
                      <wp:docPr id="30" name="自选图形 71"/>
                      <wp:cNvGraphicFramePr/>
                      <a:graphic xmlns:a="http://schemas.openxmlformats.org/drawingml/2006/main">
                        <a:graphicData uri="http://schemas.microsoft.com/office/word/2010/wordprocessingShape">
                          <wps:wsp>
                            <wps:cNvCnPr/>
                            <wps:spPr>
                              <a:xfrm>
                                <a:off x="0" y="0"/>
                                <a:ext cx="46799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margin-left:53.15pt;margin-top:16.05pt;height:0.05pt;width:36.85pt;z-index:251688960;mso-width-relative:page;mso-height-relative:page;" filled="f" stroked="t" coordsize="21600,21600" o:gfxdata="UEsDBAoAAAAAAIdO4kAAAAAAAAAAAAAAAAAEAAAAZHJzL1BLAwQUAAAACACHTuJAS9SBw9gAAAAJ&#10;AQAADwAAAGRycy9kb3ducmV2LnhtbE2PzU7DMBCE70i8g7VI3KidVIpKGqcSVIhcQKJFiKMbb2OL&#10;eB3F7h9Pj3Oix5n9NDtTrc6uZ0ccg/UkIZsJYEit15Y6CZ/bl4cFsBAVadV7QgkXDLCqb28qVWp/&#10;og88bmLHUgiFUkkwMQ4l56E16FSY+QEp3fZ+dComOXZcj+qUwl3PcyEK7pSl9MGoAZ8Ntj+bg5MQ&#10;198XU3y1T4/2ffv6VtjfpmnWUt7fZWIJLOI5/sMw1U/VoU6ddv5AOrA+aVHMEyphnmfAJmAh0rjd&#10;ZOTA64pfL6j/AFBLAwQUAAAACACHTuJANajjjf4BAADqAwAADgAAAGRycy9lMm9Eb2MueG1srVPN&#10;jtMwEL4j8Q6W7zRtl3Zp1HQPLcsFwUrAA0wdJ7HkP3m8TXvjhngGbhx5B3ibleAtGDulhUVIeyAH&#10;Z+yZ+Wa+z+Pl1d5otpMBlbMVn4zGnEkrXK1sW/F3b6+fPOMMI9gatLOy4geJ/Gr1+NGy96Wcus7p&#10;WgZGIBbL3le8i9GXRYGikwZw5Ly05GxcMBBpG9qiDtATutHFdDyeF70LtQ9OSEQ63QxOfkQMDwF0&#10;TaOE3Dhxa6SNA2qQGiJRwk555KvcbdNIEV83DcrIdMWJacwrFSF7m9ZitYSyDeA7JY4twENauMfJ&#10;gLJU9AS1gQjsNqi/oIwSwaFr4kg4UwxEsiLEYjK+p82bDrzMXEhq9CfR8f/Bile7m8BUXfELksSC&#10;oRv//uHLj/cf7z59u/v6mV1Okka9x5JC1/YmHHfob0IivG+CSX+iwvZZ18NJV7mPTNDh0/nlYjHj&#10;TJBrfjFLgMU50weML6QzLBkVxxhAtV1cO2vp+lyYZGFh9xLjkPgrIZXVlvUVX8ymCR5oHBsaAzKN&#10;J0po25yLTqv6WmmdMjC027UObAdpJPJ3bOiPsFRkA9gNcdmVwqDsJNTPbc3iwZNWlt4ITy0YWXOm&#10;JT2pZOXICEqfI2NQYFv9j2jSQ1uSJQk9SJusrasPWfF8TiOQhTuOa5qx3/c5+/xE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SBw9gAAAAJAQAADwAAAAAAAAABACAAAAAiAAAAZHJzL2Rvd25y&#10;ZXYueG1sUEsBAhQAFAAAAAgAh07iQDWo443+AQAA6gMAAA4AAAAAAAAAAQAgAAAAJwEAAGRycy9l&#10;Mm9Eb2MueG1sUEsFBgAAAAAGAAYAWQEAAJcFAAAAAA==&#10;">
                      <v:fill on="f" focussize="0,0"/>
                      <v:stroke color="#000000" joinstyle="round" endarrow="block"/>
                      <v:imagedata o:title=""/>
                      <o:lock v:ext="edit" aspectratio="f"/>
                    </v:shape>
                  </w:pict>
                </mc:Fallback>
              </mc:AlternateContent>
            </w:r>
            <w:r>
              <w:rPr>
                <w:color w:val="auto"/>
                <w:sz w:val="21"/>
              </w:rPr>
              <mc:AlternateContent>
                <mc:Choice Requires="wps">
                  <w:drawing>
                    <wp:anchor distT="0" distB="0" distL="114300" distR="114300" simplePos="0" relativeHeight="251687936" behindDoc="0" locked="0" layoutInCell="1" allowOverlap="1">
                      <wp:simplePos x="0" y="0"/>
                      <wp:positionH relativeFrom="column">
                        <wp:posOffset>710565</wp:posOffset>
                      </wp:positionH>
                      <wp:positionV relativeFrom="paragraph">
                        <wp:posOffset>46990</wp:posOffset>
                      </wp:positionV>
                      <wp:extent cx="431165" cy="208280"/>
                      <wp:effectExtent l="0" t="0" r="0" b="0"/>
                      <wp:wrapNone/>
                      <wp:docPr id="29" name="矩形 68"/>
                      <wp:cNvGraphicFramePr/>
                      <a:graphic xmlns:a="http://schemas.openxmlformats.org/drawingml/2006/main">
                        <a:graphicData uri="http://schemas.microsoft.com/office/word/2010/wordprocessingShape">
                          <wps:wsp>
                            <wps:cNvSpPr/>
                            <wps:spPr>
                              <a:xfrm>
                                <a:off x="0" y="0"/>
                                <a:ext cx="431165" cy="208280"/>
                              </a:xfrm>
                              <a:prstGeom prst="rect">
                                <a:avLst/>
                              </a:prstGeom>
                              <a:solidFill>
                                <a:srgbClr val="FFFFFF">
                                  <a:alpha val="0"/>
                                </a:srgbClr>
                              </a:solidFill>
                              <a:ln>
                                <a:noFill/>
                              </a:ln>
                            </wps:spPr>
                            <wps:txbx>
                              <w:txbxContent>
                                <w:p w14:paraId="537C4159">
                                  <w:pPr>
                                    <w:rPr>
                                      <w:rFonts w:hint="default" w:eastAsia="宋体"/>
                                      <w:lang w:val="en-US" w:eastAsia="zh-CN"/>
                                    </w:rPr>
                                  </w:pPr>
                                  <w:r>
                                    <w:rPr>
                                      <w:rFonts w:hint="eastAsia" w:eastAsia="宋体"/>
                                      <w:lang w:val="en-US" w:eastAsia="zh-CN"/>
                                    </w:rPr>
                                    <w:t>0.8</w:t>
                                  </w:r>
                                </w:p>
                              </w:txbxContent>
                            </wps:txbx>
                            <wps:bodyPr vert="horz" wrap="square" lIns="0" tIns="0" rIns="0" bIns="0" anchor="t" anchorCtr="0" upright="1"/>
                          </wps:wsp>
                        </a:graphicData>
                      </a:graphic>
                    </wp:anchor>
                  </w:drawing>
                </mc:Choice>
                <mc:Fallback>
                  <w:pict>
                    <v:rect id="矩形 68" o:spid="_x0000_s1026" o:spt="1" style="position:absolute;left:0pt;margin-left:55.95pt;margin-top:3.7pt;height:16.4pt;width:33.95pt;z-index:251687936;mso-width-relative:page;mso-height-relative:page;" fillcolor="#FFFFFF" filled="t" stroked="f" coordsize="21600,21600" o:gfxdata="UEsDBAoAAAAAAIdO4kAAAAAAAAAAAAAAAAAEAAAAZHJzL1BLAwQUAAAACACHTuJAo5VDxtUAAAAI&#10;AQAADwAAAGRycy9kb3ducmV2LnhtbE2PQUvDQBSE74L/YXmCN7ubEoyN2fRQKCgWwVTv2+wzCe6+&#10;Ddlt0/57X096HGb4ZqZan70TJ5ziEEhDtlAgkNpgB+o0fO63D08gYjJkjQuEGi4YYV3f3lSmtGGm&#10;Dzw1qRMMoVgaDX1KYyllbHv0Ji7CiMTed5i8SSynTtrJzAz3Ti6VepTeDMQNvRlx02P70xy9hqJt&#10;pq95t82L5uV9lxwVr5vLm9b3d5l6BpHwnP7CcJ3P06HmTYdwJBuFY51lK44yLAdx9YsVXzloyNUS&#10;ZF3J/wfqX1BLAwQUAAAACACHTuJAR6/mQ+8BAADfAwAADgAAAGRycy9lMm9Eb2MueG1srVPNjtMw&#10;EL4j8Q6W7zRtgKpUTfewVRESgpUWHsB1nMSS/5hxm5SXQeLGQ/A4iNfYsdN22d3LHsjBmbHH38z3&#10;zXh1NVjDDgpQe1fx2WTKmXLS19q1Ff/6ZftqwRlG4WphvFMVPyrkV+uXL1Z9WKrSd97UChiBOFz2&#10;oeJdjGFZFCg7ZQVOfFCODhsPVkRyoS1qED2hW1OU0+m86D3UAbxUiLS7GQ/5CRGeA+ibRku18XJv&#10;lYsjKigjIlHCTgfk61xt0ygZPzcNqshMxYlpzCslIXuX1mK9EssWROi0PJUgnlPCI05WaEdJL1Ab&#10;EQXbg34CZbUEj76JE+ltMRLJihCL2fSRNredCCpzIakxXETH/wcrPx1ugOm64uU7zpyw1PG/P379&#10;+f2TzRdJnT7gkoJuww2cPCQzUR0asOlPJNiQFT1eFFVDZJI237yezeZvOZN0VE4X5SIrXtxfDoDx&#10;vfKWJaPiQA3LOorDR4yUkELPISkXeqPrrTYmO9Durg2wg6DmbvM33jWhE+PuOR2OoRnvAYZxCcn5&#10;hDmmSztFYj3yTFYcdsOJ/M7XRxKM3g9V23n4zllP01Nx/LYXoDgzHxy1J43a2YCzsTsbwkm6WvHI&#10;2Whex3Ek9wF02xHyLEmfq6C+56pPM5oG618/R92/y/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5VDxtUAAAAIAQAADwAAAAAAAAABACAAAAAiAAAAZHJzL2Rvd25yZXYueG1sUEsBAhQAFAAAAAgA&#10;h07iQEev5kPvAQAA3wMAAA4AAAAAAAAAAQAgAAAAJAEAAGRycy9lMm9Eb2MueG1sUEsFBgAAAAAG&#10;AAYAWQEAAIUFAAAAAA==&#10;">
                      <v:fill on="t" opacity="0f" focussize="0,0"/>
                      <v:stroke on="f"/>
                      <v:imagedata o:title=""/>
                      <o:lock v:ext="edit" aspectratio="f"/>
                      <v:textbox inset="0mm,0mm,0mm,0mm">
                        <w:txbxContent>
                          <w:p w14:paraId="537C4159">
                            <w:pPr>
                              <w:rPr>
                                <w:rFonts w:hint="default" w:eastAsia="宋体"/>
                                <w:lang w:val="en-US" w:eastAsia="zh-CN"/>
                              </w:rPr>
                            </w:pPr>
                            <w:r>
                              <w:rPr>
                                <w:rFonts w:hint="eastAsia" w:eastAsia="宋体"/>
                                <w:lang w:val="en-US" w:eastAsia="zh-CN"/>
                              </w:rPr>
                              <w:t>0.8</w:t>
                            </w:r>
                          </w:p>
                        </w:txbxContent>
                      </v:textbox>
                    </v:rect>
                  </w:pict>
                </mc:Fallback>
              </mc:AlternateContent>
            </w:r>
            <w:r>
              <w:rPr>
                <w:color w:val="auto"/>
                <w:sz w:val="21"/>
              </w:rPr>
              <mc:AlternateContent>
                <mc:Choice Requires="wps">
                  <w:drawing>
                    <wp:anchor distT="0" distB="0" distL="114300" distR="114300" simplePos="0" relativeHeight="251685888" behindDoc="0" locked="0" layoutInCell="1" allowOverlap="1">
                      <wp:simplePos x="0" y="0"/>
                      <wp:positionH relativeFrom="column">
                        <wp:posOffset>1139825</wp:posOffset>
                      </wp:positionH>
                      <wp:positionV relativeFrom="paragraph">
                        <wp:posOffset>58420</wp:posOffset>
                      </wp:positionV>
                      <wp:extent cx="963295" cy="293370"/>
                      <wp:effectExtent l="4445" t="5080" r="7620" b="6350"/>
                      <wp:wrapNone/>
                      <wp:docPr id="27" name="矩形 64"/>
                      <wp:cNvGraphicFramePr/>
                      <a:graphic xmlns:a="http://schemas.openxmlformats.org/drawingml/2006/main">
                        <a:graphicData uri="http://schemas.microsoft.com/office/word/2010/wordprocessingShape">
                          <wps:wsp>
                            <wps:cNvSpPr/>
                            <wps:spPr>
                              <a:xfrm>
                                <a:off x="0" y="0"/>
                                <a:ext cx="96329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C125C8">
                                  <w:pPr>
                                    <w:jc w:val="center"/>
                                  </w:pPr>
                                  <w:r>
                                    <w:rPr>
                                      <w:rFonts w:hint="eastAsia"/>
                                      <w:lang w:val="en-US" w:eastAsia="zh-CN"/>
                                    </w:rPr>
                                    <w:t>车辆冲洗</w:t>
                                  </w:r>
                                </w:p>
                              </w:txbxContent>
                            </wps:txbx>
                            <wps:bodyPr vert="horz" wrap="square" lIns="0" rIns="0" anchor="t" anchorCtr="0" upright="1"/>
                          </wps:wsp>
                        </a:graphicData>
                      </a:graphic>
                    </wp:anchor>
                  </w:drawing>
                </mc:Choice>
                <mc:Fallback>
                  <w:pict>
                    <v:rect id="矩形 64" o:spid="_x0000_s1026" o:spt="1" style="position:absolute;left:0pt;margin-left:89.75pt;margin-top:4.6pt;height:23.1pt;width:75.85pt;z-index:251685888;mso-width-relative:page;mso-height-relative:page;" fillcolor="#FFFFFF" filled="t" stroked="t" coordsize="21600,21600" o:gfxdata="UEsDBAoAAAAAAIdO4kAAAAAAAAAAAAAAAAAEAAAAZHJzL1BLAwQUAAAACACHTuJAUUigftYAAAAI&#10;AQAADwAAAGRycy9kb3ducmV2LnhtbE2PwU7DMBBE70j8g7VI3KiTlkAb4vSAVCGVciD0A9x4iSPi&#10;dWQ7afl7lhPcdjSj2TfV9uIGMWOIvScF+SIDgdR601On4Pixu1uDiEmT0YMnVPCNEbb19VWlS+PP&#10;9I5zkzrBJRRLrcCmNJZSxtai03HhRyT2Pn1wOrEMnTRBn7ncDXKZZQ/S6Z74g9UjPltsv5rJKWhn&#10;t34Jb/S624/T0e/twTT5Qanbmzx7ApHwkv7C8IvP6FAz08lPZKIYWD9uCo4q2CxBsL9a5XycFBTF&#10;Pci6kv8H1D9QSwMEFAAAAAgAh07iQBaMgSktAgAAbwQAAA4AAABkcnMvZTJvRG9jLnhtbK1UzY7T&#10;MBC+I/EOlu80acp2adR0D1uKkBCstPAAU8dJLPkP221SXgaJGw/B46x4DcZOt/sDhx7IwRnH42/m&#10;+2Ymy6tBSbLnzgujKzqd5JRwzUwtdFvRL583r95Q4gPoGqTRvKIH7unV6uWLZW9LXpjOyJo7giDa&#10;l72taBeCLbPMs44r8BNjucbDxjgFAbeuzWoHPaIrmRV5Ps9642rrDOPe49f1eEiPiO4cQNM0gvG1&#10;YTvFdRhRHZcQkJLvhPV0lbJtGs7Cp6bxPBBZUWQa0opB0N7GNVstoWwd2E6wYwpwTgrPOCkQGoOe&#10;oNYQgOyc+AtKCeaMN02YMKOykUhSBFlM82fa3HZgeeKCUnt7Et3/P1j2cX/jiKgrWlxSokFhxX9/&#10;/3n36weZv47q9NaX6HRrb9xx59GMVIfGqfhGEmRIih5OivIhEIYfF/NZsbighOFRsZjNLpPi2cNl&#10;63x4x40i0aiow4IlHWH/wQcMiK73LjGWN1LUGyFl2rh2ey0d2QMWd5OemDFeeeImNekxk4si5gHY&#10;sQ12CprKImuv2xTvyQ3/GDhPz7+AY2Jr8N2YQEKIblAqEXhUC8qOQ/1W1yQcLAqrcaBoTEbxmhLJ&#10;cf6ilTwDCHmOJ7KTGknGuoyViFYYtgPCRHNr6gOWFCcc9eyM+4YRsb+R6tcdOIwv32tsIBwAd2+A&#10;ZuhYUVRlNK/DOCI760TbIc408Y/w2IdJ4uPMxEZ/vE+ZPfwn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igftYAAAAIAQAADwAAAAAAAAABACAAAAAiAAAAZHJzL2Rvd25yZXYueG1sUEsBAhQA&#10;FAAAAAgAh07iQBaMgSktAgAAbwQAAA4AAAAAAAAAAQAgAAAAJQEAAGRycy9lMm9Eb2MueG1sUEsF&#10;BgAAAAAGAAYAWQEAAMQFAAAAAA==&#10;">
                      <v:fill on="t" focussize="0,0"/>
                      <v:stroke color="#000000" joinstyle="miter"/>
                      <v:imagedata o:title=""/>
                      <o:lock v:ext="edit" aspectratio="f"/>
                      <v:textbox inset="0mm,1.27mm,0mm,1.27mm">
                        <w:txbxContent>
                          <w:p w14:paraId="41C125C8">
                            <w:pPr>
                              <w:jc w:val="center"/>
                            </w:pPr>
                            <w:r>
                              <w:rPr>
                                <w:rFonts w:hint="eastAsia"/>
                                <w:lang w:val="en-US" w:eastAsia="zh-CN"/>
                              </w:rPr>
                              <w:t>车辆冲洗</w:t>
                            </w:r>
                          </w:p>
                        </w:txbxContent>
                      </v:textbox>
                    </v:rect>
                  </w:pict>
                </mc:Fallback>
              </mc:AlternateContent>
            </w:r>
          </w:p>
          <w:p w14:paraId="2B1D4D08">
            <w:pPr>
              <w:pStyle w:val="86"/>
              <w:rPr>
                <w:rFonts w:hint="eastAsia"/>
                <w:color w:val="auto"/>
              </w:rPr>
            </w:pPr>
          </w:p>
          <w:p w14:paraId="217A39D8">
            <w:pPr>
              <w:pStyle w:val="86"/>
              <w:rPr>
                <w:rFonts w:hint="eastAsia"/>
                <w:color w:val="auto"/>
              </w:rPr>
            </w:pPr>
            <w:r>
              <w:rPr>
                <w:rFonts w:hint="eastAsia"/>
                <w:color w:val="auto"/>
              </w:rPr>
              <w:t>图2-</w:t>
            </w:r>
            <w:r>
              <w:rPr>
                <w:color w:val="auto"/>
              </w:rPr>
              <w:t xml:space="preserve">1 </w:t>
            </w:r>
            <w:r>
              <w:rPr>
                <w:rFonts w:hint="eastAsia"/>
                <w:color w:val="auto"/>
                <w:lang w:val="en-US" w:eastAsia="zh-CN"/>
              </w:rPr>
              <w:t xml:space="preserve">   </w:t>
            </w:r>
            <w:r>
              <w:rPr>
                <w:rFonts w:hint="eastAsia"/>
                <w:color w:val="auto"/>
              </w:rPr>
              <w:t xml:space="preserve"> 本次技改扩建工程建成后全厂水平衡图（t</w:t>
            </w:r>
            <w:r>
              <w:rPr>
                <w:color w:val="auto"/>
              </w:rPr>
              <w:t>/d</w:t>
            </w:r>
            <w:r>
              <w:rPr>
                <w:rFonts w:hint="eastAsia"/>
                <w:color w:val="auto"/>
              </w:rPr>
              <w:t>）</w:t>
            </w:r>
          </w:p>
          <w:p w14:paraId="0A936FB0">
            <w:pPr>
              <w:pStyle w:val="84"/>
              <w:ind w:firstLine="422"/>
              <w:rPr>
                <w:rFonts w:hint="eastAsia"/>
                <w:b/>
                <w:bCs w:val="0"/>
                <w:color w:val="auto"/>
                <w:lang w:val="en-US" w:eastAsia="zh-CN"/>
              </w:rPr>
            </w:pPr>
            <w:r>
              <w:rPr>
                <w:rFonts w:hint="eastAsia"/>
                <w:b/>
                <w:bCs w:val="0"/>
                <w:color w:val="auto"/>
                <w:lang w:val="en-US" w:eastAsia="zh-CN"/>
              </w:rPr>
              <w:t>6、劳动定员及工作制度</w:t>
            </w:r>
          </w:p>
          <w:p w14:paraId="552D87BF">
            <w:pPr>
              <w:pStyle w:val="84"/>
              <w:rPr>
                <w:color w:val="auto"/>
                <w:lang w:val="en-US" w:eastAsia="zh-CN"/>
              </w:rPr>
            </w:pPr>
            <w:r>
              <w:rPr>
                <w:color w:val="auto"/>
                <w:lang w:val="en-US" w:eastAsia="zh-CN"/>
              </w:rPr>
              <w:t>（1）劳动定员：</w:t>
            </w:r>
            <w:r>
              <w:rPr>
                <w:rFonts w:hint="eastAsia"/>
                <w:color w:val="auto"/>
                <w:lang w:val="en-US" w:eastAsia="zh-CN"/>
              </w:rPr>
              <w:t>本次技改扩建工程不新增员工，</w:t>
            </w:r>
            <w:r>
              <w:rPr>
                <w:color w:val="auto"/>
                <w:lang w:val="en-US" w:eastAsia="zh-CN"/>
              </w:rPr>
              <w:t>总定员</w:t>
            </w:r>
            <w:r>
              <w:rPr>
                <w:rFonts w:hint="eastAsia"/>
                <w:color w:val="auto"/>
                <w:lang w:val="en-US" w:eastAsia="zh-CN"/>
              </w:rPr>
              <w:t>128</w:t>
            </w:r>
            <w:r>
              <w:rPr>
                <w:color w:val="auto"/>
                <w:lang w:val="en-US" w:eastAsia="zh-CN"/>
              </w:rPr>
              <w:t>人，</w:t>
            </w:r>
            <w:r>
              <w:rPr>
                <w:rFonts w:hint="eastAsia"/>
                <w:color w:val="auto"/>
                <w:lang w:val="en-US" w:eastAsia="zh-CN"/>
              </w:rPr>
              <w:t>主要为</w:t>
            </w:r>
            <w:r>
              <w:rPr>
                <w:color w:val="auto"/>
                <w:lang w:val="en-US" w:eastAsia="zh-CN"/>
              </w:rPr>
              <w:t>一线生产员工。</w:t>
            </w:r>
          </w:p>
          <w:p w14:paraId="3526E937">
            <w:pPr>
              <w:pStyle w:val="84"/>
              <w:rPr>
                <w:color w:val="auto"/>
                <w:lang w:val="en-US" w:eastAsia="zh-CN"/>
              </w:rPr>
            </w:pPr>
            <w:r>
              <w:rPr>
                <w:color w:val="auto"/>
                <w:lang w:val="en-US" w:eastAsia="zh-CN"/>
              </w:rPr>
              <w:t>（2）工作制度：</w:t>
            </w:r>
            <w:r>
              <w:rPr>
                <w:rFonts w:hint="eastAsia"/>
                <w:color w:val="auto"/>
                <w:lang w:val="en-US" w:eastAsia="zh-CN"/>
              </w:rPr>
              <w:t>全厂</w:t>
            </w:r>
            <w:r>
              <w:rPr>
                <w:color w:val="auto"/>
                <w:lang w:val="en-US" w:eastAsia="zh-CN"/>
              </w:rPr>
              <w:t>年工作3</w:t>
            </w:r>
            <w:r>
              <w:rPr>
                <w:rFonts w:hint="eastAsia"/>
                <w:color w:val="auto"/>
                <w:lang w:val="en-US" w:eastAsia="zh-CN"/>
              </w:rPr>
              <w:t>3</w:t>
            </w:r>
            <w:r>
              <w:rPr>
                <w:color w:val="auto"/>
                <w:lang w:val="en-US" w:eastAsia="zh-CN"/>
              </w:rPr>
              <w:t>0天，</w:t>
            </w:r>
            <w:r>
              <w:rPr>
                <w:rFonts w:hint="eastAsia"/>
                <w:color w:val="auto"/>
                <w:lang w:val="en-US" w:eastAsia="zh-CN"/>
              </w:rPr>
              <w:t>三</w:t>
            </w:r>
            <w:r>
              <w:rPr>
                <w:color w:val="auto"/>
                <w:lang w:val="en-US" w:eastAsia="zh-CN"/>
              </w:rPr>
              <w:t>班制，每班工作</w:t>
            </w:r>
            <w:r>
              <w:rPr>
                <w:rFonts w:hint="eastAsia"/>
                <w:color w:val="auto"/>
                <w:lang w:val="en-US" w:eastAsia="zh-CN"/>
              </w:rPr>
              <w:t>8</w:t>
            </w:r>
            <w:r>
              <w:rPr>
                <w:color w:val="auto"/>
                <w:lang w:val="en-US" w:eastAsia="zh-CN"/>
              </w:rPr>
              <w:t>小时，年生产</w:t>
            </w:r>
            <w:r>
              <w:rPr>
                <w:rFonts w:hint="eastAsia"/>
                <w:color w:val="auto"/>
                <w:lang w:val="en-US" w:eastAsia="zh-CN"/>
              </w:rPr>
              <w:t>7920</w:t>
            </w:r>
            <w:r>
              <w:rPr>
                <w:color w:val="auto"/>
                <w:lang w:val="en-US" w:eastAsia="zh-CN"/>
              </w:rPr>
              <w:t>小时。</w:t>
            </w:r>
          </w:p>
          <w:p w14:paraId="137C4105">
            <w:pPr>
              <w:pStyle w:val="84"/>
              <w:ind w:firstLine="422"/>
              <w:rPr>
                <w:b/>
                <w:bCs w:val="0"/>
                <w:color w:val="auto"/>
                <w:lang w:val="en-US" w:eastAsia="zh-CN"/>
              </w:rPr>
            </w:pPr>
            <w:r>
              <w:rPr>
                <w:b/>
                <w:bCs w:val="0"/>
                <w:color w:val="auto"/>
                <w:lang w:val="en-US" w:eastAsia="zh-CN"/>
              </w:rPr>
              <w:t>7</w:t>
            </w:r>
            <w:r>
              <w:rPr>
                <w:rFonts w:hint="eastAsia"/>
                <w:b/>
                <w:bCs w:val="0"/>
                <w:color w:val="auto"/>
                <w:lang w:val="en-US" w:eastAsia="zh-CN"/>
              </w:rPr>
              <w:t>、厂区平面布置</w:t>
            </w:r>
          </w:p>
          <w:p w14:paraId="2F21C76C">
            <w:pPr>
              <w:pStyle w:val="84"/>
              <w:rPr>
                <w:rFonts w:hint="eastAsia" w:ascii="宋体" w:hAnsi="宋体" w:cs="宋体"/>
                <w:bCs w:val="0"/>
                <w:color w:val="auto"/>
                <w:lang w:val="en-US" w:eastAsia="zh-CN"/>
              </w:rPr>
            </w:pPr>
            <w:r>
              <w:rPr>
                <w:rFonts w:hint="eastAsia"/>
                <w:color w:val="auto"/>
                <w:lang w:val="en-US" w:eastAsia="zh-CN"/>
              </w:rPr>
              <w:t>厂区呈长方形，综合楼位于厂区东北，本次技改扩建工程位于厂区中部现有厂房内，厂房呈矩形，相对于办公区域，位于主导风向侧风向。厂区生产布局总体按照生产流程按照由西向东方向布局：原料库—生产车间—成品库，物料存储于密闭原料库内，上料输送过程密闭遮挡，配料均化密闭搅拌，配套布袋除尘器处理，熔窑燃烧废气经管道采取除尘脱硝措施处理经排气筒排放，对周边环境影响较小。厂内储罐区、气瓶存放区远离居民点布设，厂房内按照生产工序合理布置生产工序，物料整体呈线性流转。</w:t>
            </w:r>
            <w:r>
              <w:rPr>
                <w:color w:val="auto"/>
                <w:lang w:val="en-US" w:eastAsia="zh-CN"/>
              </w:rPr>
              <w:t>总体来说，项目的平面布局兼顾了工艺生产需求和环保工程处理的需求，总体布局较为合理。</w:t>
            </w:r>
            <w:r>
              <w:rPr>
                <w:rFonts w:hint="eastAsia"/>
                <w:color w:val="auto"/>
                <w:lang w:val="en-US" w:eastAsia="zh-CN"/>
              </w:rPr>
              <w:t>厂区总平面布置见附图</w:t>
            </w:r>
            <w:r>
              <w:rPr>
                <w:color w:val="auto"/>
                <w:lang w:val="en-US" w:eastAsia="zh-CN"/>
              </w:rPr>
              <w:t>。</w:t>
            </w:r>
          </w:p>
        </w:tc>
      </w:tr>
      <w:tr w14:paraId="7E03E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823" w:type="dxa"/>
            <w:noWrap w:val="0"/>
            <w:vAlign w:val="center"/>
          </w:tcPr>
          <w:p w14:paraId="0ED8798B">
            <w:pPr>
              <w:pStyle w:val="30"/>
              <w:adjustRightInd w:val="0"/>
              <w:snapToGrid w:val="0"/>
              <w:spacing w:before="0" w:beforeAutospacing="0" w:after="0" w:afterAutospacing="0"/>
              <w:jc w:val="center"/>
              <w:rPr>
                <w:rFonts w:cs="宋体"/>
                <w:color w:val="auto"/>
                <w:sz w:val="21"/>
                <w:szCs w:val="21"/>
                <w:lang w:val="en-US" w:eastAsia="zh-CN"/>
              </w:rPr>
            </w:pPr>
            <w:r>
              <w:rPr>
                <w:rFonts w:hint="eastAsia" w:cs="宋体"/>
                <w:color w:val="auto"/>
                <w:sz w:val="21"/>
                <w:szCs w:val="21"/>
                <w:lang w:val="en-US" w:eastAsia="zh-CN"/>
              </w:rPr>
              <w:t>工艺流程和产排污环节</w:t>
            </w:r>
          </w:p>
        </w:tc>
        <w:tc>
          <w:tcPr>
            <w:tcW w:w="8161" w:type="dxa"/>
            <w:noWrap w:val="0"/>
            <w:vAlign w:val="top"/>
          </w:tcPr>
          <w:p w14:paraId="248DBFF5">
            <w:pPr>
              <w:pStyle w:val="84"/>
              <w:ind w:firstLine="422"/>
              <w:rPr>
                <w:b/>
                <w:bCs w:val="0"/>
                <w:color w:val="auto"/>
                <w:lang w:val="en-US" w:eastAsia="zh-CN"/>
              </w:rPr>
            </w:pPr>
            <w:r>
              <w:rPr>
                <w:rFonts w:hint="eastAsia"/>
                <w:b/>
                <w:bCs w:val="0"/>
                <w:color w:val="auto"/>
                <w:lang w:val="en-US" w:eastAsia="zh-CN"/>
              </w:rPr>
              <w:t>一</w:t>
            </w:r>
            <w:r>
              <w:rPr>
                <w:b/>
                <w:bCs w:val="0"/>
                <w:color w:val="auto"/>
                <w:lang w:val="en-US" w:eastAsia="zh-CN"/>
              </w:rPr>
              <w:t>、项目生产工艺</w:t>
            </w:r>
          </w:p>
          <w:p w14:paraId="376EE2AF">
            <w:pPr>
              <w:pStyle w:val="84"/>
              <w:rPr>
                <w:color w:val="auto"/>
                <w:lang w:val="en-US" w:eastAsia="zh-CN"/>
              </w:rPr>
            </w:pPr>
            <w:r>
              <w:rPr>
                <w:rFonts w:hint="eastAsia"/>
                <w:color w:val="auto"/>
                <w:lang w:val="en-US" w:eastAsia="zh-CN"/>
              </w:rPr>
              <w:t>本次技改主要对现有熔窑进行技术改造，加大蓄热池，增加蓄热比，有效节省天然气。本项目技改扩建工程建成后，外购原料生产日用玻璃制品，生产工艺不变，具体工艺流程见下图</w:t>
            </w:r>
            <w:r>
              <w:rPr>
                <w:color w:val="auto"/>
                <w:lang w:val="en-US" w:eastAsia="zh-CN"/>
              </w:rPr>
              <w:t>。</w:t>
            </w:r>
          </w:p>
          <w:p w14:paraId="6C3014C4">
            <w:pPr>
              <w:pStyle w:val="84"/>
              <w:ind w:firstLine="0" w:firstLineChars="0"/>
              <w:jc w:val="center"/>
              <w:rPr>
                <w:color w:val="auto"/>
                <w:lang w:val="en-US" w:eastAsia="zh-CN"/>
              </w:rPr>
            </w:pPr>
            <w:r>
              <w:rPr>
                <w:color w:val="auto"/>
                <w:sz w:val="21"/>
              </w:rPr>
              <mc:AlternateContent>
                <mc:Choice Requires="wpg">
                  <w:drawing>
                    <wp:anchor distT="0" distB="0" distL="114300" distR="114300" simplePos="0" relativeHeight="251706368" behindDoc="0" locked="0" layoutInCell="1" allowOverlap="1">
                      <wp:simplePos x="0" y="0"/>
                      <wp:positionH relativeFrom="column">
                        <wp:posOffset>200660</wp:posOffset>
                      </wp:positionH>
                      <wp:positionV relativeFrom="paragraph">
                        <wp:posOffset>46990</wp:posOffset>
                      </wp:positionV>
                      <wp:extent cx="5075555" cy="6294120"/>
                      <wp:effectExtent l="0" t="0" r="0" b="15240"/>
                      <wp:wrapNone/>
                      <wp:docPr id="129" name="组合 163"/>
                      <wp:cNvGraphicFramePr/>
                      <a:graphic xmlns:a="http://schemas.openxmlformats.org/drawingml/2006/main">
                        <a:graphicData uri="http://schemas.microsoft.com/office/word/2010/wordprocessingGroup">
                          <wpg:wgp>
                            <wpg:cNvGrpSpPr/>
                            <wpg:grpSpPr>
                              <a:xfrm>
                                <a:off x="0" y="0"/>
                                <a:ext cx="5075555" cy="6294120"/>
                                <a:chOff x="4737" y="158628"/>
                                <a:chExt cx="7993" cy="9912"/>
                              </a:xfrm>
                            </wpg:grpSpPr>
                            <wps:wsp>
                              <wps:cNvPr id="69" name="文本框 150"/>
                              <wps:cNvSpPr txBox="1"/>
                              <wps:spPr>
                                <a:xfrm>
                                  <a:off x="11216" y="166098"/>
                                  <a:ext cx="1515" cy="570"/>
                                </a:xfrm>
                                <a:prstGeom prst="rect">
                                  <a:avLst/>
                                </a:prstGeom>
                                <a:noFill/>
                                <a:ln>
                                  <a:noFill/>
                                </a:ln>
                              </wps:spPr>
                              <wps:txbx>
                                <w:txbxContent>
                                  <w:p w14:paraId="06DC3400">
                                    <w:pPr>
                                      <w:rPr>
                                        <w:rFonts w:hint="default" w:eastAsia="宋体"/>
                                        <w:lang w:val="en-US" w:eastAsia="zh-CN"/>
                                      </w:rPr>
                                    </w:pPr>
                                    <w:r>
                                      <w:rPr>
                                        <w:rFonts w:hint="default"/>
                                        <w:lang w:val="en-US" w:eastAsia="zh-CN"/>
                                      </w:rPr>
                                      <w:t>G9粉尘</w:t>
                                    </w:r>
                                  </w:p>
                                </w:txbxContent>
                              </wps:txbx>
                              <wps:bodyPr vert="horz" wrap="square" anchor="t" anchorCtr="0" upright="1"/>
                            </wps:wsp>
                            <wps:wsp>
                              <wps:cNvPr id="70" name="文本框 78"/>
                              <wps:cNvSpPr txBox="1"/>
                              <wps:spPr>
                                <a:xfrm>
                                  <a:off x="6597" y="158628"/>
                                  <a:ext cx="2654" cy="416"/>
                                </a:xfrm>
                                <a:prstGeom prst="rect">
                                  <a:avLst/>
                                </a:prstGeom>
                                <a:solidFill>
                                  <a:srgbClr val="FFFFFF"/>
                                </a:solidFill>
                                <a:ln>
                                  <a:noFill/>
                                </a:ln>
                              </wps:spPr>
                              <wps:txbx>
                                <w:txbxContent>
                                  <w:p w14:paraId="34FCDAF4">
                                    <w:pPr>
                                      <w:rPr>
                                        <w:rFonts w:hint="default" w:eastAsia="宋体"/>
                                        <w:lang w:val="en-US" w:eastAsia="zh-CN"/>
                                      </w:rPr>
                                    </w:pPr>
                                    <w:r>
                                      <w:rPr>
                                        <w:rFonts w:hint="eastAsia"/>
                                        <w:lang w:val="en-US" w:eastAsia="zh-CN"/>
                                      </w:rPr>
                                      <w:t>石英砂、纯碱、辅料等</w:t>
                                    </w:r>
                                  </w:p>
                                </w:txbxContent>
                              </wps:txbx>
                              <wps:bodyPr vert="horz" wrap="square" anchor="t" anchorCtr="0" upright="0">
                                <a:spAutoFit/>
                              </wps:bodyPr>
                            </wps:wsp>
                            <wps:wsp>
                              <wps:cNvPr id="71" name="文本框 79"/>
                              <wps:cNvSpPr txBox="1"/>
                              <wps:spPr>
                                <a:xfrm>
                                  <a:off x="7314" y="159343"/>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05DB95">
                                    <w:pPr>
                                      <w:jc w:val="center"/>
                                      <w:rPr>
                                        <w:rFonts w:hint="eastAsia" w:eastAsia="宋体"/>
                                        <w:lang w:val="en-US" w:eastAsia="zh-CN"/>
                                      </w:rPr>
                                    </w:pPr>
                                    <w:r>
                                      <w:rPr>
                                        <w:rFonts w:hint="eastAsia"/>
                                        <w:lang w:val="en-US" w:eastAsia="zh-CN"/>
                                      </w:rPr>
                                      <w:t>入库</w:t>
                                    </w:r>
                                  </w:p>
                                </w:txbxContent>
                              </wps:txbx>
                              <wps:bodyPr vert="horz" wrap="square" anchor="t" anchorCtr="0" upright="1"/>
                            </wps:wsp>
                            <wps:wsp>
                              <wps:cNvPr id="72" name="文本框 80"/>
                              <wps:cNvSpPr txBox="1"/>
                              <wps:spPr>
                                <a:xfrm>
                                  <a:off x="7092" y="160969"/>
                                  <a:ext cx="1443"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1A835F">
                                    <w:pPr>
                                      <w:jc w:val="both"/>
                                      <w:rPr>
                                        <w:rFonts w:hint="default" w:eastAsia="宋体"/>
                                        <w:lang w:val="en-US" w:eastAsia="zh-CN"/>
                                      </w:rPr>
                                    </w:pPr>
                                    <w:r>
                                      <w:rPr>
                                        <w:rFonts w:hint="default"/>
                                        <w:lang w:val="en-US" w:eastAsia="zh-CN"/>
                                      </w:rPr>
                                      <w:t>混料、</w:t>
                                    </w:r>
                                    <w:r>
                                      <w:rPr>
                                        <w:rFonts w:hint="eastAsia"/>
                                        <w:lang w:val="en-US" w:eastAsia="zh-CN"/>
                                      </w:rPr>
                                      <w:t>投料</w:t>
                                    </w:r>
                                  </w:p>
                                </w:txbxContent>
                              </wps:txbx>
                              <wps:bodyPr vert="horz" wrap="square" anchor="t" anchorCtr="0" upright="1"/>
                            </wps:wsp>
                            <wps:wsp>
                              <wps:cNvPr id="73" name="文本框 81"/>
                              <wps:cNvSpPr txBox="1"/>
                              <wps:spPr>
                                <a:xfrm>
                                  <a:off x="7326" y="161853"/>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450CF6">
                                    <w:pPr>
                                      <w:jc w:val="center"/>
                                      <w:rPr>
                                        <w:rFonts w:hint="eastAsia" w:eastAsia="宋体"/>
                                        <w:lang w:val="en-US" w:eastAsia="zh-CN"/>
                                      </w:rPr>
                                    </w:pPr>
                                    <w:r>
                                      <w:rPr>
                                        <w:rFonts w:hint="eastAsia"/>
                                        <w:lang w:val="en-US" w:eastAsia="zh-CN"/>
                                      </w:rPr>
                                      <w:t>熔化</w:t>
                                    </w:r>
                                  </w:p>
                                </w:txbxContent>
                              </wps:txbx>
                              <wps:bodyPr vert="horz" wrap="square" anchor="t" anchorCtr="0" upright="1"/>
                            </wps:wsp>
                            <wps:wsp>
                              <wps:cNvPr id="74" name="文本框 82"/>
                              <wps:cNvSpPr txBox="1"/>
                              <wps:spPr>
                                <a:xfrm>
                                  <a:off x="7326" y="162709"/>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6CFE85">
                                    <w:pPr>
                                      <w:jc w:val="center"/>
                                      <w:rPr>
                                        <w:rFonts w:hint="eastAsia" w:eastAsia="宋体"/>
                                        <w:lang w:val="en-US" w:eastAsia="zh-CN"/>
                                      </w:rPr>
                                    </w:pPr>
                                    <w:r>
                                      <w:rPr>
                                        <w:rFonts w:hint="eastAsia"/>
                                        <w:lang w:val="en-US" w:eastAsia="zh-CN"/>
                                      </w:rPr>
                                      <w:t>供料</w:t>
                                    </w:r>
                                  </w:p>
                                </w:txbxContent>
                              </wps:txbx>
                              <wps:bodyPr vert="horz" wrap="square" anchor="t" anchorCtr="0" upright="1"/>
                            </wps:wsp>
                            <wps:wsp>
                              <wps:cNvPr id="75" name="文本框 83"/>
                              <wps:cNvSpPr txBox="1"/>
                              <wps:spPr>
                                <a:xfrm>
                                  <a:off x="7326" y="163558"/>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96F90D">
                                    <w:pPr>
                                      <w:jc w:val="center"/>
                                      <w:rPr>
                                        <w:rFonts w:hint="eastAsia" w:eastAsia="宋体"/>
                                        <w:lang w:val="en-US" w:eastAsia="zh-CN"/>
                                      </w:rPr>
                                    </w:pPr>
                                    <w:r>
                                      <w:rPr>
                                        <w:rFonts w:hint="eastAsia"/>
                                        <w:lang w:val="en-US" w:eastAsia="zh-CN"/>
                                      </w:rPr>
                                      <w:t>成型</w:t>
                                    </w:r>
                                  </w:p>
                                </w:txbxContent>
                              </wps:txbx>
                              <wps:bodyPr vert="horz" wrap="square" anchor="t" anchorCtr="0" upright="1"/>
                            </wps:wsp>
                            <wps:wsp>
                              <wps:cNvPr id="76" name="文本框 84"/>
                              <wps:cNvSpPr txBox="1"/>
                              <wps:spPr>
                                <a:xfrm>
                                  <a:off x="7373" y="164490"/>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802BF">
                                    <w:pPr>
                                      <w:jc w:val="center"/>
                                      <w:rPr>
                                        <w:rFonts w:hint="eastAsia" w:eastAsia="宋体"/>
                                        <w:lang w:val="en-US" w:eastAsia="zh-CN"/>
                                      </w:rPr>
                                    </w:pPr>
                                    <w:r>
                                      <w:rPr>
                                        <w:rFonts w:hint="eastAsia"/>
                                        <w:lang w:val="en-US" w:eastAsia="zh-CN"/>
                                      </w:rPr>
                                      <w:t>烘口</w:t>
                                    </w:r>
                                  </w:p>
                                </w:txbxContent>
                              </wps:txbx>
                              <wps:bodyPr vert="horz" wrap="square" anchor="t" anchorCtr="0" upright="1"/>
                            </wps:wsp>
                            <wps:wsp>
                              <wps:cNvPr id="77" name="文本框 85"/>
                              <wps:cNvSpPr txBox="1"/>
                              <wps:spPr>
                                <a:xfrm>
                                  <a:off x="7402" y="165411"/>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520DD3">
                                    <w:pPr>
                                      <w:jc w:val="center"/>
                                      <w:rPr>
                                        <w:rFonts w:hint="eastAsia" w:eastAsia="宋体"/>
                                        <w:lang w:val="en-US" w:eastAsia="zh-CN"/>
                                      </w:rPr>
                                    </w:pPr>
                                    <w:r>
                                      <w:rPr>
                                        <w:rFonts w:hint="eastAsia"/>
                                        <w:lang w:val="en-US" w:eastAsia="zh-CN"/>
                                      </w:rPr>
                                      <w:t>抛光</w:t>
                                    </w:r>
                                  </w:p>
                                </w:txbxContent>
                              </wps:txbx>
                              <wps:bodyPr vert="horz" wrap="square" anchor="t" anchorCtr="0" upright="1"/>
                            </wps:wsp>
                            <wps:wsp>
                              <wps:cNvPr id="78" name="文本框 86"/>
                              <wps:cNvSpPr txBox="1"/>
                              <wps:spPr>
                                <a:xfrm>
                                  <a:off x="7417" y="166323"/>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C7E4FB">
                                    <w:pPr>
                                      <w:jc w:val="center"/>
                                      <w:rPr>
                                        <w:rFonts w:hint="eastAsia" w:eastAsia="宋体"/>
                                        <w:lang w:val="en-US" w:eastAsia="zh-CN"/>
                                      </w:rPr>
                                    </w:pPr>
                                    <w:r>
                                      <w:rPr>
                                        <w:rFonts w:hint="eastAsia"/>
                                        <w:lang w:val="en-US" w:eastAsia="zh-CN"/>
                                      </w:rPr>
                                      <w:t>退火</w:t>
                                    </w:r>
                                  </w:p>
                                </w:txbxContent>
                              </wps:txbx>
                              <wps:bodyPr vert="horz" wrap="square" anchor="t" anchorCtr="0" upright="1"/>
                            </wps:wsp>
                            <wps:wsp>
                              <wps:cNvPr id="79" name="文本框 87"/>
                              <wps:cNvSpPr txBox="1"/>
                              <wps:spPr>
                                <a:xfrm>
                                  <a:off x="7396" y="168046"/>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31D3A">
                                    <w:pPr>
                                      <w:jc w:val="center"/>
                                      <w:rPr>
                                        <w:rFonts w:hint="eastAsia" w:eastAsia="宋体"/>
                                        <w:lang w:val="en-US" w:eastAsia="zh-CN"/>
                                      </w:rPr>
                                    </w:pPr>
                                    <w:r>
                                      <w:rPr>
                                        <w:rFonts w:hint="eastAsia"/>
                                        <w:lang w:val="en-US" w:eastAsia="zh-CN"/>
                                      </w:rPr>
                                      <w:t>包装</w:t>
                                    </w:r>
                                  </w:p>
                                </w:txbxContent>
                              </wps:txbx>
                              <wps:bodyPr vert="horz" wrap="square" anchor="t" anchorCtr="0" upright="1"/>
                            </wps:wsp>
                            <wps:wsp>
                              <wps:cNvPr id="80" name="直线 88"/>
                              <wps:cNvSpPr/>
                              <wps:spPr>
                                <a:xfrm flipH="1">
                                  <a:off x="7832" y="158929"/>
                                  <a:ext cx="4" cy="408"/>
                                </a:xfrm>
                                <a:prstGeom prst="line">
                                  <a:avLst/>
                                </a:prstGeom>
                                <a:ln w="9525" cap="flat" cmpd="sng">
                                  <a:solidFill>
                                    <a:srgbClr val="000000"/>
                                  </a:solidFill>
                                  <a:prstDash val="solid"/>
                                  <a:headEnd type="none" w="med" len="med"/>
                                  <a:tailEnd type="triangle" w="med" len="med"/>
                                </a:ln>
                              </wps:spPr>
                              <wps:bodyPr upright="1"/>
                            </wps:wsp>
                            <wps:wsp>
                              <wps:cNvPr id="81" name="直线 89"/>
                              <wps:cNvSpPr/>
                              <wps:spPr>
                                <a:xfrm>
                                  <a:off x="7851" y="159846"/>
                                  <a:ext cx="8" cy="318"/>
                                </a:xfrm>
                                <a:prstGeom prst="line">
                                  <a:avLst/>
                                </a:prstGeom>
                                <a:ln w="9525" cap="flat" cmpd="sng">
                                  <a:solidFill>
                                    <a:srgbClr val="000000"/>
                                  </a:solidFill>
                                  <a:prstDash val="solid"/>
                                  <a:headEnd type="none" w="med" len="med"/>
                                  <a:tailEnd type="triangle" w="med" len="med"/>
                                </a:ln>
                              </wps:spPr>
                              <wps:bodyPr upright="1"/>
                            </wps:wsp>
                            <wps:wsp>
                              <wps:cNvPr id="82" name="直线 90"/>
                              <wps:cNvSpPr/>
                              <wps:spPr>
                                <a:xfrm flipH="1">
                                  <a:off x="7884" y="161461"/>
                                  <a:ext cx="4" cy="408"/>
                                </a:xfrm>
                                <a:prstGeom prst="line">
                                  <a:avLst/>
                                </a:prstGeom>
                                <a:ln w="9525" cap="flat" cmpd="sng">
                                  <a:solidFill>
                                    <a:srgbClr val="000000"/>
                                  </a:solidFill>
                                  <a:prstDash val="solid"/>
                                  <a:headEnd type="none" w="med" len="med"/>
                                  <a:tailEnd type="triangle" w="med" len="med"/>
                                </a:ln>
                              </wps:spPr>
                              <wps:bodyPr upright="1"/>
                            </wps:wsp>
                            <wps:wsp>
                              <wps:cNvPr id="83" name="直线 91"/>
                              <wps:cNvSpPr/>
                              <wps:spPr>
                                <a:xfrm>
                                  <a:off x="7882" y="162344"/>
                                  <a:ext cx="1" cy="361"/>
                                </a:xfrm>
                                <a:prstGeom prst="line">
                                  <a:avLst/>
                                </a:prstGeom>
                                <a:ln w="9525" cap="flat" cmpd="sng">
                                  <a:solidFill>
                                    <a:srgbClr val="000000"/>
                                  </a:solidFill>
                                  <a:prstDash val="solid"/>
                                  <a:headEnd type="none" w="med" len="med"/>
                                  <a:tailEnd type="triangle" w="med" len="med"/>
                                </a:ln>
                              </wps:spPr>
                              <wps:bodyPr upright="1"/>
                            </wps:wsp>
                            <wps:wsp>
                              <wps:cNvPr id="84" name="直线 92"/>
                              <wps:cNvSpPr/>
                              <wps:spPr>
                                <a:xfrm>
                                  <a:off x="7902" y="163206"/>
                                  <a:ext cx="1" cy="361"/>
                                </a:xfrm>
                                <a:prstGeom prst="line">
                                  <a:avLst/>
                                </a:prstGeom>
                                <a:ln w="9525" cap="flat" cmpd="sng">
                                  <a:solidFill>
                                    <a:srgbClr val="000000"/>
                                  </a:solidFill>
                                  <a:prstDash val="solid"/>
                                  <a:headEnd type="none" w="med" len="med"/>
                                  <a:tailEnd type="triangle" w="med" len="med"/>
                                </a:ln>
                              </wps:spPr>
                              <wps:bodyPr upright="1"/>
                            </wps:wsp>
                            <wps:wsp>
                              <wps:cNvPr id="85" name="直线 93"/>
                              <wps:cNvSpPr/>
                              <wps:spPr>
                                <a:xfrm>
                                  <a:off x="7907" y="164053"/>
                                  <a:ext cx="7" cy="434"/>
                                </a:xfrm>
                                <a:prstGeom prst="line">
                                  <a:avLst/>
                                </a:prstGeom>
                                <a:ln w="9525" cap="flat" cmpd="sng">
                                  <a:solidFill>
                                    <a:srgbClr val="000000"/>
                                  </a:solidFill>
                                  <a:prstDash val="solid"/>
                                  <a:headEnd type="none" w="med" len="med"/>
                                  <a:tailEnd type="triangle" w="med" len="med"/>
                                </a:ln>
                              </wps:spPr>
                              <wps:bodyPr upright="1"/>
                            </wps:wsp>
                            <wps:wsp>
                              <wps:cNvPr id="86" name="直线 104"/>
                              <wps:cNvSpPr/>
                              <wps:spPr>
                                <a:xfrm>
                                  <a:off x="8437" y="162095"/>
                                  <a:ext cx="840" cy="1"/>
                                </a:xfrm>
                                <a:prstGeom prst="line">
                                  <a:avLst/>
                                </a:prstGeom>
                                <a:ln w="9525" cap="flat" cmpd="sng">
                                  <a:solidFill>
                                    <a:srgbClr val="000000"/>
                                  </a:solidFill>
                                  <a:prstDash val="dash"/>
                                  <a:headEnd type="none" w="sm" len="med"/>
                                  <a:tailEnd type="triangle" w="med" len="med"/>
                                </a:ln>
                              </wps:spPr>
                              <wps:bodyPr upright="1"/>
                            </wps:wsp>
                            <wps:wsp>
                              <wps:cNvPr id="87" name="直线 109"/>
                              <wps:cNvSpPr/>
                              <wps:spPr>
                                <a:xfrm flipV="1">
                                  <a:off x="6691" y="164741"/>
                                  <a:ext cx="690" cy="5"/>
                                </a:xfrm>
                                <a:prstGeom prst="line">
                                  <a:avLst/>
                                </a:prstGeom>
                                <a:ln w="9525" cap="flat" cmpd="sng">
                                  <a:solidFill>
                                    <a:srgbClr val="000000"/>
                                  </a:solidFill>
                                  <a:prstDash val="solid"/>
                                  <a:headEnd type="none" w="med" len="med"/>
                                  <a:tailEnd type="triangle" w="med" len="med"/>
                                </a:ln>
                              </wps:spPr>
                              <wps:bodyPr upright="1"/>
                            </wps:wsp>
                            <wps:wsp>
                              <wps:cNvPr id="88" name="直线 94"/>
                              <wps:cNvSpPr/>
                              <wps:spPr>
                                <a:xfrm>
                                  <a:off x="7928" y="164985"/>
                                  <a:ext cx="7" cy="419"/>
                                </a:xfrm>
                                <a:prstGeom prst="line">
                                  <a:avLst/>
                                </a:prstGeom>
                                <a:ln w="9525" cap="flat" cmpd="sng">
                                  <a:solidFill>
                                    <a:srgbClr val="000000"/>
                                  </a:solidFill>
                                  <a:prstDash val="solid"/>
                                  <a:headEnd type="none" w="med" len="med"/>
                                  <a:tailEnd type="triangle" w="med" len="med"/>
                                </a:ln>
                              </wps:spPr>
                              <wps:bodyPr upright="1"/>
                            </wps:wsp>
                            <wps:wsp>
                              <wps:cNvPr id="89" name="直线 96"/>
                              <wps:cNvSpPr/>
                              <wps:spPr>
                                <a:xfrm>
                                  <a:off x="7969" y="166808"/>
                                  <a:ext cx="7" cy="419"/>
                                </a:xfrm>
                                <a:prstGeom prst="line">
                                  <a:avLst/>
                                </a:prstGeom>
                                <a:ln w="9525" cap="flat" cmpd="sng">
                                  <a:solidFill>
                                    <a:srgbClr val="000000"/>
                                  </a:solidFill>
                                  <a:prstDash val="solid"/>
                                  <a:headEnd type="none" w="med" len="med"/>
                                  <a:tailEnd type="triangle" w="med" len="med"/>
                                </a:ln>
                              </wps:spPr>
                              <wps:bodyPr upright="1"/>
                            </wps:wsp>
                            <wps:wsp>
                              <wps:cNvPr id="90" name="直线 99"/>
                              <wps:cNvSpPr/>
                              <wps:spPr>
                                <a:xfrm>
                                  <a:off x="8437" y="161240"/>
                                  <a:ext cx="840" cy="1"/>
                                </a:xfrm>
                                <a:prstGeom prst="line">
                                  <a:avLst/>
                                </a:prstGeom>
                                <a:ln w="9525" cap="flat" cmpd="sng">
                                  <a:solidFill>
                                    <a:srgbClr val="000000"/>
                                  </a:solidFill>
                                  <a:prstDash val="dash"/>
                                  <a:headEnd type="none" w="sm" len="med"/>
                                  <a:tailEnd type="triangle" w="med" len="med"/>
                                </a:ln>
                              </wps:spPr>
                              <wps:bodyPr upright="1"/>
                            </wps:wsp>
                            <wps:wsp>
                              <wps:cNvPr id="91" name="直线 108"/>
                              <wps:cNvSpPr/>
                              <wps:spPr>
                                <a:xfrm flipV="1">
                                  <a:off x="6641" y="163826"/>
                                  <a:ext cx="690" cy="5"/>
                                </a:xfrm>
                                <a:prstGeom prst="line">
                                  <a:avLst/>
                                </a:prstGeom>
                                <a:ln w="9525" cap="flat" cmpd="sng">
                                  <a:solidFill>
                                    <a:srgbClr val="000000"/>
                                  </a:solidFill>
                                  <a:prstDash val="solid"/>
                                  <a:headEnd type="none" w="med" len="med"/>
                                  <a:tailEnd type="triangle" w="med" len="med"/>
                                </a:ln>
                              </wps:spPr>
                              <wps:bodyPr upright="1"/>
                            </wps:wsp>
                            <wps:wsp>
                              <wps:cNvPr id="92" name="直线 95"/>
                              <wps:cNvSpPr/>
                              <wps:spPr>
                                <a:xfrm>
                                  <a:off x="7969" y="165899"/>
                                  <a:ext cx="7" cy="419"/>
                                </a:xfrm>
                                <a:prstGeom prst="line">
                                  <a:avLst/>
                                </a:prstGeom>
                                <a:ln w="9525" cap="flat" cmpd="sng">
                                  <a:solidFill>
                                    <a:srgbClr val="000000"/>
                                  </a:solidFill>
                                  <a:prstDash val="solid"/>
                                  <a:headEnd type="none" w="med" len="med"/>
                                  <a:tailEnd type="triangle" w="med" len="med"/>
                                </a:ln>
                              </wps:spPr>
                              <wps:bodyPr upright="1"/>
                            </wps:wsp>
                            <wps:wsp>
                              <wps:cNvPr id="93" name="直线 97"/>
                              <wps:cNvSpPr/>
                              <wps:spPr>
                                <a:xfrm>
                                  <a:off x="8407" y="159680"/>
                                  <a:ext cx="840" cy="1"/>
                                </a:xfrm>
                                <a:prstGeom prst="line">
                                  <a:avLst/>
                                </a:prstGeom>
                                <a:ln w="9525" cap="flat" cmpd="sng">
                                  <a:solidFill>
                                    <a:srgbClr val="000000"/>
                                  </a:solidFill>
                                  <a:prstDash val="dash"/>
                                  <a:headEnd type="none" w="sm" len="med"/>
                                  <a:tailEnd type="triangle" w="med" len="med"/>
                                </a:ln>
                              </wps:spPr>
                              <wps:bodyPr upright="1"/>
                            </wps:wsp>
                            <wps:wsp>
                              <wps:cNvPr id="94" name="文本框 98"/>
                              <wps:cNvSpPr txBox="1"/>
                              <wps:spPr>
                                <a:xfrm>
                                  <a:off x="9207" y="159468"/>
                                  <a:ext cx="1469" cy="416"/>
                                </a:xfrm>
                                <a:prstGeom prst="rect">
                                  <a:avLst/>
                                </a:prstGeom>
                                <a:solidFill>
                                  <a:srgbClr val="FFFFFF">
                                    <a:alpha val="0"/>
                                  </a:srgbClr>
                                </a:solidFill>
                                <a:ln>
                                  <a:noFill/>
                                </a:ln>
                              </wps:spPr>
                              <wps:txbx>
                                <w:txbxContent>
                                  <w:p w14:paraId="5D24C368">
                                    <w:pPr>
                                      <w:rPr>
                                        <w:rFonts w:hint="default" w:eastAsia="宋体"/>
                                        <w:lang w:val="en-US" w:eastAsia="zh-CN"/>
                                      </w:rPr>
                                    </w:pPr>
                                    <w:r>
                                      <w:rPr>
                                        <w:rFonts w:hint="eastAsia"/>
                                        <w:lang w:val="en-US" w:eastAsia="zh-CN"/>
                                      </w:rPr>
                                      <w:t>G1粉尘</w:t>
                                    </w:r>
                                  </w:p>
                                </w:txbxContent>
                              </wps:txbx>
                              <wps:bodyPr vert="horz" wrap="square" anchor="t" anchorCtr="0" upright="0">
                                <a:spAutoFit/>
                              </wps:bodyPr>
                            </wps:wsp>
                            <wps:wsp>
                              <wps:cNvPr id="95" name="文本框 103"/>
                              <wps:cNvSpPr txBox="1"/>
                              <wps:spPr>
                                <a:xfrm>
                                  <a:off x="9237" y="161018"/>
                                  <a:ext cx="2491" cy="480"/>
                                </a:xfrm>
                                <a:prstGeom prst="rect">
                                  <a:avLst/>
                                </a:prstGeom>
                                <a:solidFill>
                                  <a:srgbClr val="FFFFFF">
                                    <a:alpha val="0"/>
                                  </a:srgbClr>
                                </a:solidFill>
                                <a:ln>
                                  <a:noFill/>
                                </a:ln>
                              </wps:spPr>
                              <wps:txbx>
                                <w:txbxContent>
                                  <w:p w14:paraId="4789AA83">
                                    <w:pPr>
                                      <w:rPr>
                                        <w:rFonts w:hint="default" w:eastAsia="宋体"/>
                                        <w:lang w:val="en-US" w:eastAsia="zh-CN"/>
                                      </w:rPr>
                                    </w:pPr>
                                    <w:r>
                                      <w:rPr>
                                        <w:rFonts w:hint="eastAsia"/>
                                        <w:lang w:val="en-US" w:eastAsia="zh-CN"/>
                                      </w:rPr>
                                      <w:t>G3粉尘、G10粉尘</w:t>
                                    </w:r>
                                  </w:p>
                                </w:txbxContent>
                              </wps:txbx>
                              <wps:bodyPr vert="horz" wrap="square" anchor="t" anchorCtr="0" upright="1"/>
                            </wps:wsp>
                            <wps:wsp>
                              <wps:cNvPr id="96" name="文本框 106"/>
                              <wps:cNvSpPr txBox="1"/>
                              <wps:spPr>
                                <a:xfrm>
                                  <a:off x="9387" y="161891"/>
                                  <a:ext cx="1964" cy="495"/>
                                </a:xfrm>
                                <a:prstGeom prst="rect">
                                  <a:avLst/>
                                </a:prstGeom>
                                <a:noFill/>
                                <a:ln>
                                  <a:noFill/>
                                </a:ln>
                              </wps:spPr>
                              <wps:txbx>
                                <w:txbxContent>
                                  <w:p w14:paraId="25562590">
                                    <w:pPr>
                                      <w:rPr>
                                        <w:rFonts w:hint="default" w:eastAsia="宋体"/>
                                        <w:lang w:val="en-US" w:eastAsia="zh-CN"/>
                                      </w:rPr>
                                    </w:pPr>
                                    <w:r>
                                      <w:rPr>
                                        <w:rFonts w:hint="eastAsia"/>
                                        <w:lang w:val="en-US" w:eastAsia="zh-CN"/>
                                      </w:rPr>
                                      <w:t>G4 燃烧废气</w:t>
                                    </w:r>
                                  </w:p>
                                </w:txbxContent>
                              </wps:txbx>
                              <wps:bodyPr vert="horz" wrap="square" anchor="t" anchorCtr="0" upright="1"/>
                            </wps:wsp>
                            <wps:wsp>
                              <wps:cNvPr id="97" name="直线 107"/>
                              <wps:cNvSpPr/>
                              <wps:spPr>
                                <a:xfrm flipV="1">
                                  <a:off x="6620" y="162115"/>
                                  <a:ext cx="690" cy="5"/>
                                </a:xfrm>
                                <a:prstGeom prst="line">
                                  <a:avLst/>
                                </a:prstGeom>
                                <a:ln w="9525" cap="flat" cmpd="sng">
                                  <a:solidFill>
                                    <a:srgbClr val="000000"/>
                                  </a:solidFill>
                                  <a:prstDash val="solid"/>
                                  <a:headEnd type="none" w="med" len="med"/>
                                  <a:tailEnd type="triangle" w="med" len="med"/>
                                </a:ln>
                              </wps:spPr>
                              <wps:bodyPr upright="1"/>
                            </wps:wsp>
                            <wps:wsp>
                              <wps:cNvPr id="98" name="直线 110"/>
                              <wps:cNvSpPr/>
                              <wps:spPr>
                                <a:xfrm flipV="1">
                                  <a:off x="6724" y="165669"/>
                                  <a:ext cx="690" cy="5"/>
                                </a:xfrm>
                                <a:prstGeom prst="line">
                                  <a:avLst/>
                                </a:prstGeom>
                                <a:ln w="9525" cap="flat" cmpd="sng">
                                  <a:solidFill>
                                    <a:srgbClr val="000000"/>
                                  </a:solidFill>
                                  <a:prstDash val="solid"/>
                                  <a:headEnd type="none" w="med" len="med"/>
                                  <a:tailEnd type="triangle" w="med" len="med"/>
                                </a:ln>
                              </wps:spPr>
                              <wps:bodyPr upright="1"/>
                            </wps:wsp>
                            <wps:wsp>
                              <wps:cNvPr id="99" name="文本框 111"/>
                              <wps:cNvSpPr txBox="1"/>
                              <wps:spPr>
                                <a:xfrm>
                                  <a:off x="5143" y="161973"/>
                                  <a:ext cx="1388" cy="416"/>
                                </a:xfrm>
                                <a:prstGeom prst="rect">
                                  <a:avLst/>
                                </a:prstGeom>
                                <a:solidFill>
                                  <a:srgbClr val="FFFFFF">
                                    <a:alpha val="0"/>
                                  </a:srgbClr>
                                </a:solidFill>
                                <a:ln>
                                  <a:noFill/>
                                </a:ln>
                              </wps:spPr>
                              <wps:txbx>
                                <w:txbxContent>
                                  <w:p w14:paraId="1E7BFF28">
                                    <w:pPr>
                                      <w:rPr>
                                        <w:rFonts w:hint="default" w:eastAsia="宋体"/>
                                        <w:lang w:val="en-US" w:eastAsia="zh-CN"/>
                                      </w:rPr>
                                    </w:pPr>
                                    <w:r>
                                      <w:rPr>
                                        <w:rFonts w:hint="eastAsia"/>
                                        <w:lang w:val="en-US" w:eastAsia="zh-CN"/>
                                      </w:rPr>
                                      <w:t>天然气、空气</w:t>
                                    </w:r>
                                  </w:p>
                                </w:txbxContent>
                              </wps:txbx>
                              <wps:bodyPr vert="horz" wrap="square" lIns="0" tIns="0" rIns="0" bIns="0" anchor="t" anchorCtr="0" upright="1"/>
                            </wps:wsp>
                            <wps:wsp>
                              <wps:cNvPr id="100" name="文本框 114"/>
                              <wps:cNvSpPr txBox="1"/>
                              <wps:spPr>
                                <a:xfrm>
                                  <a:off x="4737" y="163603"/>
                                  <a:ext cx="2061" cy="434"/>
                                </a:xfrm>
                                <a:prstGeom prst="rect">
                                  <a:avLst/>
                                </a:prstGeom>
                                <a:noFill/>
                                <a:ln>
                                  <a:noFill/>
                                </a:ln>
                              </wps:spPr>
                              <wps:txbx>
                                <w:txbxContent>
                                  <w:p w14:paraId="362952EF">
                                    <w:pPr>
                                      <w:rPr>
                                        <w:rFonts w:hint="default" w:eastAsia="宋体"/>
                                        <w:lang w:val="en-US" w:eastAsia="zh-CN"/>
                                      </w:rPr>
                                    </w:pPr>
                                    <w:r>
                                      <w:rPr>
                                        <w:rFonts w:hint="eastAsia"/>
                                        <w:lang w:val="en-US" w:eastAsia="zh-CN"/>
                                      </w:rPr>
                                      <w:t>液化石油气、空气</w:t>
                                    </w:r>
                                  </w:p>
                                </w:txbxContent>
                              </wps:txbx>
                              <wps:bodyPr vert="horz" wrap="square" anchor="t" anchorCtr="0" upright="1"/>
                            </wps:wsp>
                            <wps:wsp>
                              <wps:cNvPr id="101" name="直线 118"/>
                              <wps:cNvSpPr/>
                              <wps:spPr>
                                <a:xfrm flipV="1">
                                  <a:off x="6720" y="166600"/>
                                  <a:ext cx="690" cy="5"/>
                                </a:xfrm>
                                <a:prstGeom prst="line">
                                  <a:avLst/>
                                </a:prstGeom>
                                <a:ln w="9525" cap="flat" cmpd="sng">
                                  <a:solidFill>
                                    <a:srgbClr val="000000"/>
                                  </a:solidFill>
                                  <a:prstDash val="solid"/>
                                  <a:headEnd type="none" w="med" len="med"/>
                                  <a:tailEnd type="triangle" w="med" len="med"/>
                                </a:ln>
                              </wps:spPr>
                              <wps:bodyPr upright="1"/>
                            </wps:wsp>
                            <wps:wsp>
                              <wps:cNvPr id="102" name="直线 120"/>
                              <wps:cNvSpPr/>
                              <wps:spPr>
                                <a:xfrm flipV="1">
                                  <a:off x="8397" y="163776"/>
                                  <a:ext cx="644" cy="15"/>
                                </a:xfrm>
                                <a:prstGeom prst="line">
                                  <a:avLst/>
                                </a:prstGeom>
                                <a:ln w="9525" cap="flat" cmpd="sng">
                                  <a:solidFill>
                                    <a:srgbClr val="000000"/>
                                  </a:solidFill>
                                  <a:prstDash val="dash"/>
                                  <a:headEnd type="none" w="med" len="med"/>
                                  <a:tailEnd type="triangle" w="med" len="med"/>
                                </a:ln>
                              </wps:spPr>
                              <wps:bodyPr upright="1"/>
                            </wps:wsp>
                            <wps:wsp>
                              <wps:cNvPr id="103" name="文本框 122"/>
                              <wps:cNvSpPr txBox="1"/>
                              <wps:spPr>
                                <a:xfrm>
                                  <a:off x="8997" y="163565"/>
                                  <a:ext cx="1620" cy="585"/>
                                </a:xfrm>
                                <a:prstGeom prst="rect">
                                  <a:avLst/>
                                </a:prstGeom>
                                <a:solidFill>
                                  <a:srgbClr val="FFFFFF">
                                    <a:alpha val="0"/>
                                  </a:srgbClr>
                                </a:solidFill>
                                <a:ln>
                                  <a:noFill/>
                                </a:ln>
                              </wps:spPr>
                              <wps:txbx>
                                <w:txbxContent>
                                  <w:p w14:paraId="35B978A4">
                                    <w:pPr>
                                      <w:rPr>
                                        <w:rFonts w:hint="default" w:eastAsia="宋体"/>
                                        <w:lang w:val="en-US" w:eastAsia="zh-CN"/>
                                      </w:rPr>
                                    </w:pPr>
                                    <w:r>
                                      <w:rPr>
                                        <w:rFonts w:hint="eastAsia"/>
                                        <w:lang w:val="en-US" w:eastAsia="zh-CN"/>
                                      </w:rPr>
                                      <w:t>G5 燃烧废气</w:t>
                                    </w:r>
                                  </w:p>
                                </w:txbxContent>
                              </wps:txbx>
                              <wps:bodyPr vert="horz" wrap="square" anchor="t" anchorCtr="0" upright="1"/>
                            </wps:wsp>
                            <wps:wsp>
                              <wps:cNvPr id="104" name="文本框 123"/>
                              <wps:cNvSpPr txBox="1"/>
                              <wps:spPr>
                                <a:xfrm>
                                  <a:off x="5127" y="164483"/>
                                  <a:ext cx="1740" cy="480"/>
                                </a:xfrm>
                                <a:prstGeom prst="rect">
                                  <a:avLst/>
                                </a:prstGeom>
                                <a:noFill/>
                                <a:ln>
                                  <a:noFill/>
                                </a:ln>
                              </wps:spPr>
                              <wps:txbx>
                                <w:txbxContent>
                                  <w:p w14:paraId="4BFC06FD">
                                    <w:pPr>
                                      <w:rPr>
                                        <w:rFonts w:hint="default" w:eastAsia="宋体"/>
                                        <w:lang w:val="en-US" w:eastAsia="zh-CN"/>
                                      </w:rPr>
                                    </w:pPr>
                                    <w:r>
                                      <w:rPr>
                                        <w:rFonts w:hint="eastAsia"/>
                                        <w:lang w:val="en-US" w:eastAsia="zh-CN"/>
                                      </w:rPr>
                                      <w:t>天然气、氧气</w:t>
                                    </w:r>
                                  </w:p>
                                </w:txbxContent>
                              </wps:txbx>
                              <wps:bodyPr vert="horz" wrap="square" anchor="t" anchorCtr="0" upright="1"/>
                            </wps:wsp>
                            <wps:wsp>
                              <wps:cNvPr id="105" name="文本框 124"/>
                              <wps:cNvSpPr txBox="1"/>
                              <wps:spPr>
                                <a:xfrm>
                                  <a:off x="5187" y="165413"/>
                                  <a:ext cx="1710" cy="600"/>
                                </a:xfrm>
                                <a:prstGeom prst="rect">
                                  <a:avLst/>
                                </a:prstGeom>
                                <a:noFill/>
                                <a:ln>
                                  <a:noFill/>
                                </a:ln>
                              </wps:spPr>
                              <wps:txbx>
                                <w:txbxContent>
                                  <w:p w14:paraId="4DDC4C66">
                                    <w:pPr>
                                      <w:rPr>
                                        <w:rFonts w:hint="default" w:eastAsia="宋体"/>
                                        <w:lang w:val="en-US" w:eastAsia="zh-CN"/>
                                      </w:rPr>
                                    </w:pPr>
                                    <w:r>
                                      <w:rPr>
                                        <w:rFonts w:hint="eastAsia"/>
                                        <w:lang w:val="en-US" w:eastAsia="zh-CN"/>
                                      </w:rPr>
                                      <w:t>天然气、氧气</w:t>
                                    </w:r>
                                  </w:p>
                                </w:txbxContent>
                              </wps:txbx>
                              <wps:bodyPr vert="horz" wrap="square" anchor="t" anchorCtr="0" upright="1"/>
                            </wps:wsp>
                            <wps:wsp>
                              <wps:cNvPr id="106" name="文本框 126"/>
                              <wps:cNvSpPr txBox="1"/>
                              <wps:spPr>
                                <a:xfrm>
                                  <a:off x="5022" y="166298"/>
                                  <a:ext cx="1755" cy="585"/>
                                </a:xfrm>
                                <a:prstGeom prst="rect">
                                  <a:avLst/>
                                </a:prstGeom>
                                <a:noFill/>
                                <a:ln>
                                  <a:noFill/>
                                </a:ln>
                              </wps:spPr>
                              <wps:txbx>
                                <w:txbxContent>
                                  <w:p w14:paraId="43CE7FC3">
                                    <w:pPr>
                                      <w:rPr>
                                        <w:rFonts w:hint="default" w:eastAsia="宋体"/>
                                        <w:lang w:val="en-US" w:eastAsia="zh-CN"/>
                                      </w:rPr>
                                    </w:pPr>
                                    <w:r>
                                      <w:rPr>
                                        <w:rFonts w:hint="eastAsia"/>
                                        <w:lang w:val="en-US" w:eastAsia="zh-CN"/>
                                      </w:rPr>
                                      <w:t>天然气、空气</w:t>
                                    </w:r>
                                  </w:p>
                                </w:txbxContent>
                              </wps:txbx>
                              <wps:bodyPr vert="horz" wrap="square" anchor="t" anchorCtr="0" upright="1"/>
                            </wps:wsp>
                            <wps:wsp>
                              <wps:cNvPr id="107" name="直线 127"/>
                              <wps:cNvSpPr/>
                              <wps:spPr>
                                <a:xfrm flipV="1">
                                  <a:off x="8442" y="164736"/>
                                  <a:ext cx="644" cy="15"/>
                                </a:xfrm>
                                <a:prstGeom prst="line">
                                  <a:avLst/>
                                </a:prstGeom>
                                <a:ln w="9525" cap="flat" cmpd="sng">
                                  <a:solidFill>
                                    <a:srgbClr val="000000"/>
                                  </a:solidFill>
                                  <a:prstDash val="dash"/>
                                  <a:headEnd type="none" w="med" len="med"/>
                                  <a:tailEnd type="triangle" w="med" len="med"/>
                                </a:ln>
                              </wps:spPr>
                              <wps:bodyPr upright="1"/>
                            </wps:wsp>
                            <wps:wsp>
                              <wps:cNvPr id="108" name="直线 129"/>
                              <wps:cNvSpPr/>
                              <wps:spPr>
                                <a:xfrm flipV="1">
                                  <a:off x="8502" y="166581"/>
                                  <a:ext cx="644" cy="15"/>
                                </a:xfrm>
                                <a:prstGeom prst="line">
                                  <a:avLst/>
                                </a:prstGeom>
                                <a:ln w="9525" cap="flat" cmpd="sng">
                                  <a:solidFill>
                                    <a:srgbClr val="000000"/>
                                  </a:solidFill>
                                  <a:prstDash val="dash"/>
                                  <a:headEnd type="none" w="med" len="med"/>
                                  <a:tailEnd type="triangle" w="med" len="med"/>
                                </a:ln>
                              </wps:spPr>
                              <wps:bodyPr upright="1"/>
                            </wps:wsp>
                            <wps:wsp>
                              <wps:cNvPr id="109" name="直线 136"/>
                              <wps:cNvSpPr/>
                              <wps:spPr>
                                <a:xfrm>
                                  <a:off x="7969" y="167708"/>
                                  <a:ext cx="7" cy="329"/>
                                </a:xfrm>
                                <a:prstGeom prst="line">
                                  <a:avLst/>
                                </a:prstGeom>
                                <a:ln w="9525" cap="flat" cmpd="sng">
                                  <a:solidFill>
                                    <a:srgbClr val="000000"/>
                                  </a:solidFill>
                                  <a:prstDash val="solid"/>
                                  <a:headEnd type="none" w="med" len="med"/>
                                  <a:tailEnd type="triangle" w="med" len="med"/>
                                </a:ln>
                              </wps:spPr>
                              <wps:bodyPr upright="1"/>
                            </wps:wsp>
                            <wps:wsp>
                              <wps:cNvPr id="110" name="直线 128"/>
                              <wps:cNvSpPr/>
                              <wps:spPr>
                                <a:xfrm flipV="1">
                                  <a:off x="8487" y="165636"/>
                                  <a:ext cx="644" cy="15"/>
                                </a:xfrm>
                                <a:prstGeom prst="line">
                                  <a:avLst/>
                                </a:prstGeom>
                                <a:ln w="9525" cap="flat" cmpd="sng">
                                  <a:solidFill>
                                    <a:srgbClr val="000000"/>
                                  </a:solidFill>
                                  <a:prstDash val="dash"/>
                                  <a:headEnd type="none" w="med" len="med"/>
                                  <a:tailEnd type="triangle" w="med" len="med"/>
                                </a:ln>
                              </wps:spPr>
                              <wps:bodyPr upright="1"/>
                            </wps:wsp>
                            <wps:wsp>
                              <wps:cNvPr id="111" name="文本框 130"/>
                              <wps:cNvSpPr txBox="1"/>
                              <wps:spPr>
                                <a:xfrm>
                                  <a:off x="9026" y="164523"/>
                                  <a:ext cx="1560" cy="555"/>
                                </a:xfrm>
                                <a:prstGeom prst="rect">
                                  <a:avLst/>
                                </a:prstGeom>
                                <a:noFill/>
                                <a:ln>
                                  <a:noFill/>
                                </a:ln>
                              </wps:spPr>
                              <wps:txbx>
                                <w:txbxContent>
                                  <w:p w14:paraId="4A5DF2A1">
                                    <w:pPr>
                                      <w:rPr>
                                        <w:rFonts w:hint="default" w:eastAsia="宋体"/>
                                        <w:lang w:val="en-US" w:eastAsia="zh-CN"/>
                                      </w:rPr>
                                    </w:pPr>
                                    <w:r>
                                      <w:rPr>
                                        <w:rFonts w:hint="eastAsia"/>
                                        <w:lang w:val="en-US" w:eastAsia="zh-CN"/>
                                      </w:rPr>
                                      <w:t>G6燃烧废气</w:t>
                                    </w:r>
                                  </w:p>
                                </w:txbxContent>
                              </wps:txbx>
                              <wps:bodyPr vert="horz" wrap="square" anchor="t" anchorCtr="0" upright="1"/>
                            </wps:wsp>
                            <wps:wsp>
                              <wps:cNvPr id="112" name="文本框 131"/>
                              <wps:cNvSpPr txBox="1"/>
                              <wps:spPr>
                                <a:xfrm>
                                  <a:off x="9086" y="165423"/>
                                  <a:ext cx="1515" cy="600"/>
                                </a:xfrm>
                                <a:prstGeom prst="rect">
                                  <a:avLst/>
                                </a:prstGeom>
                                <a:noFill/>
                                <a:ln>
                                  <a:noFill/>
                                </a:ln>
                              </wps:spPr>
                              <wps:txbx>
                                <w:txbxContent>
                                  <w:p w14:paraId="0B1A3920">
                                    <w:pPr>
                                      <w:rPr>
                                        <w:rFonts w:hint="default" w:eastAsia="宋体"/>
                                        <w:lang w:val="en-US" w:eastAsia="zh-CN"/>
                                      </w:rPr>
                                    </w:pPr>
                                    <w:r>
                                      <w:rPr>
                                        <w:rFonts w:hint="eastAsia"/>
                                        <w:lang w:val="en-US" w:eastAsia="zh-CN"/>
                                      </w:rPr>
                                      <w:t>G7燃烧废气</w:t>
                                    </w:r>
                                  </w:p>
                                </w:txbxContent>
                              </wps:txbx>
                              <wps:bodyPr vert="horz" wrap="square" anchor="t" anchorCtr="0" upright="1"/>
                            </wps:wsp>
                            <wps:wsp>
                              <wps:cNvPr id="113" name="文本框 132"/>
                              <wps:cNvSpPr txBox="1"/>
                              <wps:spPr>
                                <a:xfrm>
                                  <a:off x="9131" y="166353"/>
                                  <a:ext cx="1515" cy="570"/>
                                </a:xfrm>
                                <a:prstGeom prst="rect">
                                  <a:avLst/>
                                </a:prstGeom>
                                <a:noFill/>
                                <a:ln>
                                  <a:noFill/>
                                </a:ln>
                              </wps:spPr>
                              <wps:txbx>
                                <w:txbxContent>
                                  <w:p w14:paraId="520CA603">
                                    <w:pPr>
                                      <w:rPr>
                                        <w:rFonts w:hint="default" w:eastAsia="宋体"/>
                                        <w:lang w:val="en-US" w:eastAsia="zh-CN"/>
                                      </w:rPr>
                                    </w:pPr>
                                    <w:r>
                                      <w:rPr>
                                        <w:rFonts w:hint="eastAsia"/>
                                        <w:lang w:val="en-US" w:eastAsia="zh-CN"/>
                                      </w:rPr>
                                      <w:t>G8燃烧废气</w:t>
                                    </w:r>
                                  </w:p>
                                </w:txbxContent>
                              </wps:txbx>
                              <wps:bodyPr vert="horz" wrap="square" anchor="t" anchorCtr="0" upright="1"/>
                            </wps:wsp>
                            <wps:wsp>
                              <wps:cNvPr id="114" name="文本框 133"/>
                              <wps:cNvSpPr txBox="1"/>
                              <wps:spPr>
                                <a:xfrm>
                                  <a:off x="7396" y="167229"/>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8AB5D">
                                    <w:pPr>
                                      <w:jc w:val="center"/>
                                      <w:rPr>
                                        <w:rFonts w:hint="eastAsia" w:eastAsia="宋体"/>
                                        <w:lang w:val="en-US" w:eastAsia="zh-CN"/>
                                      </w:rPr>
                                    </w:pPr>
                                    <w:r>
                                      <w:rPr>
                                        <w:rFonts w:hint="eastAsia"/>
                                        <w:lang w:val="en-US" w:eastAsia="zh-CN"/>
                                      </w:rPr>
                                      <w:t>检验</w:t>
                                    </w:r>
                                  </w:p>
                                </w:txbxContent>
                              </wps:txbx>
                              <wps:bodyPr vert="horz" wrap="square" anchor="t" anchorCtr="0" upright="1"/>
                            </wps:wsp>
                            <wps:wsp>
                              <wps:cNvPr id="115" name="直线 134"/>
                              <wps:cNvSpPr/>
                              <wps:spPr>
                                <a:xfrm flipV="1">
                                  <a:off x="8487" y="167451"/>
                                  <a:ext cx="644" cy="15"/>
                                </a:xfrm>
                                <a:prstGeom prst="line">
                                  <a:avLst/>
                                </a:prstGeom>
                                <a:ln w="9525" cap="flat" cmpd="sng">
                                  <a:solidFill>
                                    <a:srgbClr val="000000"/>
                                  </a:solidFill>
                                  <a:prstDash val="dash"/>
                                  <a:headEnd type="none" w="med" len="med"/>
                                  <a:tailEnd type="triangle" w="med" len="med"/>
                                </a:ln>
                              </wps:spPr>
                              <wps:bodyPr upright="1"/>
                            </wps:wsp>
                            <wps:wsp>
                              <wps:cNvPr id="116" name="文本框 135"/>
                              <wps:cNvSpPr txBox="1"/>
                              <wps:spPr>
                                <a:xfrm>
                                  <a:off x="9011" y="167226"/>
                                  <a:ext cx="1621" cy="495"/>
                                </a:xfrm>
                                <a:prstGeom prst="rect">
                                  <a:avLst/>
                                </a:prstGeom>
                                <a:noFill/>
                                <a:ln>
                                  <a:noFill/>
                                </a:ln>
                              </wps:spPr>
                              <wps:txbx>
                                <w:txbxContent>
                                  <w:p w14:paraId="1AB813C9">
                                    <w:pPr>
                                      <w:rPr>
                                        <w:rFonts w:hint="default" w:eastAsia="宋体"/>
                                        <w:lang w:val="en-US" w:eastAsia="zh-CN"/>
                                      </w:rPr>
                                    </w:pPr>
                                    <w:r>
                                      <w:rPr>
                                        <w:rFonts w:hint="eastAsia"/>
                                        <w:lang w:val="en-US" w:eastAsia="zh-CN"/>
                                      </w:rPr>
                                      <w:t>S1不合格品</w:t>
                                    </w:r>
                                  </w:p>
                                </w:txbxContent>
                              </wps:txbx>
                              <wps:bodyPr vert="horz" wrap="square" anchor="t" anchorCtr="0" upright="1"/>
                            </wps:wsp>
                            <wps:wsp>
                              <wps:cNvPr id="117" name="直线 145"/>
                              <wps:cNvSpPr/>
                              <wps:spPr>
                                <a:xfrm flipV="1">
                                  <a:off x="10282" y="167393"/>
                                  <a:ext cx="527" cy="14"/>
                                </a:xfrm>
                                <a:prstGeom prst="line">
                                  <a:avLst/>
                                </a:prstGeom>
                                <a:ln w="9525" cap="flat" cmpd="sng">
                                  <a:solidFill>
                                    <a:srgbClr val="000000"/>
                                  </a:solidFill>
                                  <a:prstDash val="solid"/>
                                  <a:headEnd type="none" w="med" len="med"/>
                                  <a:tailEnd type="none" w="med" len="med"/>
                                </a:ln>
                              </wps:spPr>
                              <wps:bodyPr upright="1"/>
                            </wps:wsp>
                            <wps:wsp>
                              <wps:cNvPr id="118" name="直线 146"/>
                              <wps:cNvSpPr/>
                              <wps:spPr>
                                <a:xfrm flipV="1">
                                  <a:off x="11122" y="162209"/>
                                  <a:ext cx="26" cy="5019"/>
                                </a:xfrm>
                                <a:prstGeom prst="line">
                                  <a:avLst/>
                                </a:prstGeom>
                                <a:ln w="9525" cap="flat" cmpd="sng">
                                  <a:solidFill>
                                    <a:srgbClr val="000000"/>
                                  </a:solidFill>
                                  <a:prstDash val="solid"/>
                                  <a:headEnd type="none" w="med" len="med"/>
                                  <a:tailEnd type="none" w="med" len="med"/>
                                </a:ln>
                              </wps:spPr>
                              <wps:bodyPr upright="1"/>
                            </wps:wsp>
                            <wps:wsp>
                              <wps:cNvPr id="119" name="直线 147"/>
                              <wps:cNvSpPr/>
                              <wps:spPr>
                                <a:xfrm flipH="1">
                                  <a:off x="8392" y="162198"/>
                                  <a:ext cx="2785" cy="34"/>
                                </a:xfrm>
                                <a:prstGeom prst="line">
                                  <a:avLst/>
                                </a:prstGeom>
                                <a:ln w="9525" cap="flat" cmpd="sng">
                                  <a:solidFill>
                                    <a:srgbClr val="000000"/>
                                  </a:solidFill>
                                  <a:prstDash val="solid"/>
                                  <a:headEnd type="none" w="med" len="med"/>
                                  <a:tailEnd type="triangle" w="med" len="med"/>
                                </a:ln>
                              </wps:spPr>
                              <wps:bodyPr upright="1"/>
                            </wps:wsp>
                            <wps:wsp>
                              <wps:cNvPr id="120" name="文本框 148"/>
                              <wps:cNvSpPr txBox="1"/>
                              <wps:spPr>
                                <a:xfrm>
                                  <a:off x="10801" y="167184"/>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74C904">
                                    <w:pPr>
                                      <w:jc w:val="center"/>
                                      <w:rPr>
                                        <w:rFonts w:hint="eastAsia" w:eastAsia="宋体"/>
                                        <w:lang w:val="en-US" w:eastAsia="zh-CN"/>
                                      </w:rPr>
                                    </w:pPr>
                                    <w:r>
                                      <w:rPr>
                                        <w:rFonts w:hint="eastAsia"/>
                                        <w:lang w:val="en-US" w:eastAsia="zh-CN"/>
                                      </w:rPr>
                                      <w:t>破碎</w:t>
                                    </w:r>
                                  </w:p>
                                </w:txbxContent>
                              </wps:txbx>
                              <wps:bodyPr vert="horz" wrap="square" anchor="t" anchorCtr="0" upright="1"/>
                            </wps:wsp>
                            <wps:wsp>
                              <wps:cNvPr id="121" name="直线 149"/>
                              <wps:cNvSpPr/>
                              <wps:spPr>
                                <a:xfrm flipV="1">
                                  <a:off x="11547" y="166476"/>
                                  <a:ext cx="1" cy="705"/>
                                </a:xfrm>
                                <a:prstGeom prst="line">
                                  <a:avLst/>
                                </a:prstGeom>
                                <a:ln w="9525" cap="flat" cmpd="sng">
                                  <a:solidFill>
                                    <a:srgbClr val="000000"/>
                                  </a:solidFill>
                                  <a:prstDash val="dash"/>
                                  <a:headEnd type="none" w="med" len="med"/>
                                  <a:tailEnd type="triangle" w="med" len="med"/>
                                </a:ln>
                              </wps:spPr>
                              <wps:bodyPr upright="1"/>
                            </wps:wsp>
                            <wps:wsp>
                              <wps:cNvPr id="122" name="文本框 152"/>
                              <wps:cNvSpPr txBox="1"/>
                              <wps:spPr>
                                <a:xfrm>
                                  <a:off x="7326" y="160165"/>
                                  <a:ext cx="106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A3AC4">
                                    <w:pPr>
                                      <w:jc w:val="center"/>
                                      <w:rPr>
                                        <w:rFonts w:hint="eastAsia" w:eastAsia="宋体"/>
                                        <w:lang w:val="en-US" w:eastAsia="zh-CN"/>
                                      </w:rPr>
                                    </w:pPr>
                                    <w:r>
                                      <w:rPr>
                                        <w:rFonts w:hint="eastAsia"/>
                                        <w:lang w:val="en-US" w:eastAsia="zh-CN"/>
                                      </w:rPr>
                                      <w:t>下料</w:t>
                                    </w:r>
                                  </w:p>
                                </w:txbxContent>
                              </wps:txbx>
                              <wps:bodyPr vert="horz" wrap="square" anchor="t" anchorCtr="0" upright="1"/>
                            </wps:wsp>
                            <wps:wsp>
                              <wps:cNvPr id="123" name="直线 153"/>
                              <wps:cNvSpPr/>
                              <wps:spPr>
                                <a:xfrm>
                                  <a:off x="7876" y="160663"/>
                                  <a:ext cx="8" cy="318"/>
                                </a:xfrm>
                                <a:prstGeom prst="line">
                                  <a:avLst/>
                                </a:prstGeom>
                                <a:ln w="9525" cap="flat" cmpd="sng">
                                  <a:solidFill>
                                    <a:srgbClr val="000000"/>
                                  </a:solidFill>
                                  <a:prstDash val="solid"/>
                                  <a:headEnd type="none" w="med" len="med"/>
                                  <a:tailEnd type="triangle" w="med" len="med"/>
                                </a:ln>
                              </wps:spPr>
                              <wps:bodyPr upright="1"/>
                            </wps:wsp>
                            <wps:wsp>
                              <wps:cNvPr id="124" name="直线 154"/>
                              <wps:cNvSpPr/>
                              <wps:spPr>
                                <a:xfrm>
                                  <a:off x="8400" y="160417"/>
                                  <a:ext cx="840" cy="1"/>
                                </a:xfrm>
                                <a:prstGeom prst="line">
                                  <a:avLst/>
                                </a:prstGeom>
                                <a:ln w="9525" cap="flat" cmpd="sng">
                                  <a:solidFill>
                                    <a:srgbClr val="000000"/>
                                  </a:solidFill>
                                  <a:prstDash val="dash"/>
                                  <a:headEnd type="none" w="sm" len="med"/>
                                  <a:tailEnd type="triangle" w="med" len="med"/>
                                </a:ln>
                              </wps:spPr>
                              <wps:bodyPr upright="1"/>
                            </wps:wsp>
                            <wps:wsp>
                              <wps:cNvPr id="125" name="文本框 155"/>
                              <wps:cNvSpPr txBox="1"/>
                              <wps:spPr>
                                <a:xfrm>
                                  <a:off x="9265" y="160222"/>
                                  <a:ext cx="1061" cy="476"/>
                                </a:xfrm>
                                <a:prstGeom prst="rect">
                                  <a:avLst/>
                                </a:prstGeom>
                                <a:noFill/>
                                <a:ln>
                                  <a:noFill/>
                                </a:ln>
                              </wps:spPr>
                              <wps:txbx>
                                <w:txbxContent>
                                  <w:p w14:paraId="525C4900">
                                    <w:pPr>
                                      <w:rPr>
                                        <w:rFonts w:hint="default" w:eastAsia="宋体"/>
                                        <w:lang w:val="en-US" w:eastAsia="zh-CN"/>
                                      </w:rPr>
                                    </w:pPr>
                                    <w:r>
                                      <w:rPr>
                                        <w:rFonts w:hint="eastAsia"/>
                                        <w:lang w:val="en-US" w:eastAsia="zh-CN"/>
                                      </w:rPr>
                                      <w:t>G2粉尘</w:t>
                                    </w:r>
                                  </w:p>
                                </w:txbxContent>
                              </wps:txbx>
                              <wps:bodyPr vert="horz" wrap="square" anchor="t" anchorCtr="0" upright="1"/>
                            </wps:wsp>
                            <wps:wsp>
                              <wps:cNvPr id="126" name="直线 157"/>
                              <wps:cNvSpPr/>
                              <wps:spPr>
                                <a:xfrm>
                                  <a:off x="6467" y="163197"/>
                                  <a:ext cx="1" cy="450"/>
                                </a:xfrm>
                                <a:prstGeom prst="line">
                                  <a:avLst/>
                                </a:prstGeom>
                                <a:ln w="9525" cap="flat" cmpd="sng">
                                  <a:solidFill>
                                    <a:srgbClr val="4F81BD"/>
                                  </a:solidFill>
                                  <a:prstDash val="solid"/>
                                  <a:headEnd type="none" w="med" len="med"/>
                                  <a:tailEnd type="none" w="med" len="med"/>
                                </a:ln>
                              </wps:spPr>
                              <wps:bodyPr upright="1"/>
                            </wps:wsp>
                            <wps:wsp>
                              <wps:cNvPr id="127" name="直线 158"/>
                              <wps:cNvSpPr/>
                              <wps:spPr>
                                <a:xfrm flipV="1">
                                  <a:off x="6464" y="163647"/>
                                  <a:ext cx="872" cy="9"/>
                                </a:xfrm>
                                <a:prstGeom prst="line">
                                  <a:avLst/>
                                </a:prstGeom>
                                <a:ln w="9525" cap="flat" cmpd="sng">
                                  <a:solidFill>
                                    <a:srgbClr val="0070C0"/>
                                  </a:solidFill>
                                  <a:prstDash val="dash"/>
                                  <a:headEnd type="none" w="med" len="med"/>
                                  <a:tailEnd type="triangle" w="med" len="med"/>
                                </a:ln>
                              </wps:spPr>
                              <wps:bodyPr upright="1"/>
                            </wps:wsp>
                            <wps:wsp>
                              <wps:cNvPr id="128" name="文本框 159"/>
                              <wps:cNvSpPr txBox="1"/>
                              <wps:spPr>
                                <a:xfrm>
                                  <a:off x="5509" y="162862"/>
                                  <a:ext cx="1533" cy="330"/>
                                </a:xfrm>
                                <a:prstGeom prst="rect">
                                  <a:avLst/>
                                </a:prstGeom>
                                <a:noFill/>
                                <a:ln>
                                  <a:noFill/>
                                </a:ln>
                              </wps:spPr>
                              <wps:txbx>
                                <w:txbxContent>
                                  <w:p w14:paraId="4E5E63F6">
                                    <w:pPr>
                                      <w:rPr>
                                        <w:rFonts w:hint="default" w:eastAsia="宋体"/>
                                        <w:lang w:val="en-US" w:eastAsia="zh-CN"/>
                                      </w:rPr>
                                    </w:pPr>
                                    <w:r>
                                      <w:rPr>
                                        <w:rFonts w:hint="eastAsia"/>
                                        <w:lang w:val="en-US" w:eastAsia="zh-CN"/>
                                      </w:rPr>
                                      <w:t>间接循环冷却水</w:t>
                                    </w:r>
                                  </w:p>
                                </w:txbxContent>
                              </wps:txbx>
                              <wps:bodyPr vert="horz" wrap="square" lIns="0" tIns="0" rIns="0" bIns="0" anchor="t" anchorCtr="0" upright="1"/>
                            </wps:wsp>
                          </wpg:wgp>
                        </a:graphicData>
                      </a:graphic>
                    </wp:anchor>
                  </w:drawing>
                </mc:Choice>
                <mc:Fallback>
                  <w:pict>
                    <v:group id="组合 163" o:spid="_x0000_s1026" o:spt="203" style="position:absolute;left:0pt;margin-left:15.8pt;margin-top:3.7pt;height:495.6pt;width:399.65pt;z-index:251706368;mso-width-relative:page;mso-height-relative:page;" coordorigin="4737,158628" coordsize="7993,9912" o:gfxdata="UEsDBAoAAAAAAIdO4kAAAAAAAAAAAAAAAAAEAAAAZHJzL1BLAwQUAAAACACHTuJAY2SCK9kAAAAI&#10;AQAADwAAAGRycy9kb3ducmV2LnhtbE2PwU7DMBBE70j8g7VI3KhtAiEJ2VSoAk5VJVokxM2Nt0nU&#10;2I5iN2n/HnOC42hGM2/K5dn0bKLRd84iyIUARrZ2urMNwufu7S4D5oOyWvXOEsKFPCyr66tSFdrN&#10;9oOmbWhYLLG+UAhtCEPBua9bMsov3EA2egc3GhWiHBuuRzXHctPzeyFSblRn40KrBlq1VB+3J4Pw&#10;Pqv5JZGv0/p4WF2+d4+br7UkxNsbKZ6BBTqHvzD84kd0qCLT3p2s9qxHSGQakwhPD8CinSUiB7ZH&#10;yPMsBV6V/P+B6gdQSwMEFAAAAAgAh07iQOOF018rCwAAV38AAA4AAABkcnMvZTJvRG9jLnhtbO1d&#10;TZPbSBm+U8V/UOlORi21vlxxtthkE6ii2K1a4K6x5Y8q2RKSJjPhvAUcOe0FLtw5coIDv4bkb/B0&#10;t1qWWtJYVkjGjnsOicb2yFK/T78fz/uh51897BLjbZwX23Q/N8kzyzTi/SJdbvfrufnb37z+WWAa&#10;RRntl1GS7uO5+S4uzK9e/PQnz++zWWynmzRZxrmBk+yL2X02Nzdlmc1uborFJt5FxbM0i/d4c5Xm&#10;u6jEr/n6ZplH9zj7LrmxLcu7uU/zZZani7go8Oor8aZZnTEfc8J0tdou4lfp4m4X70tx1jxOohK3&#10;VGy2WWG+4Fe7WsWL8tvVqohLI5mbuNOS/4svwfEt+/fmxfNots6jbLNdVJcQjbkE5Z520XaPL61P&#10;9SoqI+Mu33ZOtdsu8rRIV+WzRbq7ETfCVwR3QSxlbd7k6V3G72U9u19n9aJDUMqqTz7t4tdvv8uN&#10;7RJIsEPT2Ec7iPzDv3/471/+bBDPYetzn61n+NibPPs++y6vXliL39gtP6zyHfsfN2M88JV9V69s&#10;/FAaC7zoWr6LH9NY4D3PDimxq7VfbCAg9nfUd3zTwNvEDTw7EJJZbL6pzuCHoSP+PAyJzd69kV99&#10;w66wvqD7DLgsDotVfNxifb+JspjLoGCrUC2WV6/V+x//9P5v/3j/9z8axOW3xL4fH2RrZZQPX6e4&#10;NSKWsZgVeLFnyQixiSfu3fOssLp3uXbEJdXCuT7/hvrGo1mWF+WbON0Z7GBu5sA7h2H09ldFKdZI&#10;foR97z59vU0SvB7Nkn3rBZyTvYKllFfJjsqH2wcu8GJ2my7f4Y6gOPA9mzT/g2ncY9vMzeL3d1Ee&#10;m0a0X+DluVnKw5el2Gd3Wb5db/BXfBn4N0A+DFefQVBYsQrUB0H5fIEnyMlzwy5EpZhsz6UCoBTC&#10;bOLzZDEVabJdMkkxERX5+vZlgpWPoMJe85/q7K2PPYE8LQ61Ivv5XQlccbixRRVIqbD0GSVNeiQd&#10;yp134o70HQJhcmUUOpSrwWgmJU0sr9qQNHSfQtLG/dwMXZtdBNuBK1g+HO4yaPFivxZSGYSQxX/6&#10;IMQ0xauo2AiocXSxj0Wz3baMc360iaPlN/ulUb7LYCf2cBCgBubmLl6aRhLDn2BH/JNltE3GfPKL&#10;VTx2F47BVAPhWyFOx+AI8wDbw1e4hiMFQLlh1XDUcFz3Oyw+ICKcu4MdDGq/5GTtaEt3hQSu1o5a&#10;O8aDMcwAHGFdO3DkXv0Et8x3ajja0JSKdtTGWhvrA90wAEe4Uh04VsHvydFcA46O66rBnIajhuNR&#10;OMK6duBImV6bpB2Z7ee+I6VhxbrUvqOGo4bjUTiC9OjAkQe+U+BILRnKuJRwD1RH1oixdWTd5b8H&#10;jDUSFB04csZtEhxJRel5nmPrUEaHMieHMj2pgMCfbKxDGVkHFuWg1tpRa8dlX3awXzuCY6y044e/&#10;/vPDv/5jBGq2o3Ijm7koY5Vss1+wDA2je6tEnh84laV2gxDJwRbpiPidpfKoxc8+nJFKtqCI2UkH&#10;MlLJ/nOT2VMNbZlvo/06GWAY+2nsKmn2pBkwsHwKINSkSA8gWjBwcQaRCglUlQRTzGDgEA0Dnvc4&#10;YxjU+YhKL4hQsOEy9cBgQC8E2P08oCTUUzx4rRfaibAzBkSdEZCAUNMBPYBo6YVABnK2Qzk70XBV&#10;Kr0g4KHNwxnDoGbiJQxUGv4IDMI6nndsS/VYNQxaafEzhkHNgEsYqPT3URjIOJpaakoQ73Bn0eFa&#10;QmuDM4ZBzTxXMCCWyjs/joOAyio+z7ZEdczBKgQUwQlDArc0Z4+DJWphRNQzEDMUu7axj2btqpeL&#10;DRlqwrdGwYiYgTuLv1OCSM8Lq+jBoz5VnEUPPijHw5EqKh1EovLyaYPImnOV5uE0teCHqOitklBh&#10;wMV9UAvSPBAOsrNXC43CuAG9cLQc7mIVQ811ShiovPvj1sFnxWsCBl4gqCMNg8ujlJjaFhkYCYMR&#10;5qEROjacBGLDJwBoDjDQTkKzkPZ8XUVm11sgIGJDj2CUuk4CPAOhFpwAtVwtPGgnoe1knjEiOhSj&#10;WiQw2jog48BVykEtaCfhYmDQIRbVbOjjMIABgLBFwgFeQlsbaOtwIdahphUP9eaisa1hH8b2x4X2&#10;ARHU46mmg2JADgI+JeeXPnnfFfNToiTbRKJFhmMT+rhq0eItibopq9knCQaochIOMCCWSi2Ox0FN&#10;LhFLpBwPOLAp80g4DoTSGA4kj7VJtmTY1393ATgQFBvbbJ+vBY/VrqiVWWiWYxp8yq53UEYjvEIS&#10;QLYtr5CEnkw1fmwP3vU1xbIuVsV1H2GiB/g9NHILIdkEfcotIWnX/WJ8NpXfI4Qbt8a27XHa+hHh&#10;29iZvDzABfurEXGZZUOIv7q6XNRrN0Ax1nK7hPWoipqREP0ILTVBHNSoXYsHl/xyj4kU0JmlPMjl&#10;wa08OM9RCsSqab+GM4c++UoznNhEepj34TmecAkbzpyFyhEBiWNJ42PO3PWZd/jGcu/K/J1wlhsb&#10;9wRtLu07RpMowbi275di3wkr0mm7fGIAzwRIBI6cguI5vq+ytagE4/tW+ILDMdiZ5HSP5vi/2Fwe&#10;C8O7Ft5Wq7/GWngQtjJac1zMR2lbeBSDCFi4Ivk7jItj6lzH5semhvX3BbBCnh5xT6ViXGJLcVMa&#10;qA6dLwt96MdSMddovfs4M8RU09wsl9QsCvotO4JCmMfVdWXbp+/LaxRUH90l0pcNszpWgboWdK8I&#10;kTAgTyW5MT7v/6RAr1FQHb4Lyqu9ncb6wwGlUkoIYLTzc6FNUaxWQfWHR9Sw9BJeAXau3LiumKl0&#10;CGQ97Q9fSAU8weQgBRJifzd0eY+WaJQ1NarbfH+gus0RjZTDdvZM4qIrLnJk1LcCBDGO9nEg9OsG&#10;evC+QHO1oyKtGy6GPgHx3Q2eHDVFMtbVQ8uU7PKnbmfohOvJWBk+HzTOsK44FitfoauH0dA9guLJ&#10;48b2HS+oQArKpV1BybnMOnhanDo1gyAU7RHUVPYpJA52KM8veY7afqYHaI+aNj/AG7FByJ2iDmcq&#10;b+Q79YAT31aHSujBynqwcuPREEOArPkxmd0SKcKGfu/x04+5Zz7FmAv8nQ7dLq8fhbCnJ3R1lFp9&#10;Pt7qM3ePGxPoKMVpJ56NN3mZoS48O93qd5g4qkpp7N5FSrMeQAGrojDbLktP8FZjTpwP+9BfTrw9&#10;PI0fd9/zcI9zGE5EUJhQ7VypzMWIoQnKnOAxKpKIs9F83tbmLOJieHCt62kzvUxEdGg4OpasVyeY&#10;oVKhBgRRUyq2j1Q0h8SxCqMvR0Vcat8xe1pU18BTniRraIqxBh7sPyuREhaeYJpVy+/TUYiOQo5H&#10;IcwLbBdU0akJJNTNQ8VV7AVVK6oqb9O3jpCBZ6KlrriginkfnSjEnUppNR4jYJFOQZWe267nth+b&#10;207AWCs6SlCjDZPZE201M5oBtJFQTBbmY7ftZFWzr2d/Vs88O+Moi3XktI0VnlVYib4q238cCGi7&#10;hgfGHSaLYmJ6y2HSPdmX0ZNN2BMDuwZKJWDGetEhnngpMWGLuuEDeQonWtJkwqEZZmB0FrNuj62e&#10;LksYWaHs1xExcENxe9STHqVDUJjd2q9SMOJ5tcOC+cQeJX0dkK9fsUvDJbTKugcfRDl13tZFEiGM&#10;wVRAoAa8PUq7N88BOMACcPXtYA5fGw6BD7+VUWM8fnkyOFiWb72sJyo0H1/ahsM1Bxg1WdpowHPV&#10;sHOs/nZdVvHGQWHjidttUBAXKV7Bjokyl2FcPKX+/iTdlPx54njeOldM1bPh2QPdm7/j+D6bxXa6&#10;SZNlnL/4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0NAABbQ29udGVudF9UeXBlc10ueG1sUEsBAhQACgAAAAAAh07iQAAAAAAAAAAAAAAAAAYA&#10;AAAAAAAAAAAQAAAAfwwAAF9yZWxzL1BLAQIUABQAAAAIAIdO4kCKFGY80QAAAJQBAAALAAAAAAAA&#10;AAEAIAAAAKMMAABfcmVscy8ucmVsc1BLAQIUAAoAAAAAAIdO4kAAAAAAAAAAAAAAAAAEAAAAAAAA&#10;AAAAEAAAAAAAAABkcnMvUEsBAhQAFAAAAAgAh07iQGNkgivZAAAACAEAAA8AAAAAAAAAAQAgAAAA&#10;IgAAAGRycy9kb3ducmV2LnhtbFBLAQIUABQAAAAIAIdO4kDjhdNfKwsAAFd/AAAOAAAAAAAAAAEA&#10;IAAAACgBAABkcnMvZTJvRG9jLnhtbFBLBQYAAAAABgAGAFkBAADFDgAAAAA=&#10;">
                      <o:lock v:ext="edit" aspectratio="f"/>
                      <v:shape id="文本框 150" o:spid="_x0000_s1026" o:spt="202" type="#_x0000_t202" style="position:absolute;left:11216;top:166098;height:570;width:1515;"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DC3400">
                              <w:pPr>
                                <w:rPr>
                                  <w:rFonts w:hint="default" w:eastAsia="宋体"/>
                                  <w:lang w:val="en-US" w:eastAsia="zh-CN"/>
                                </w:rPr>
                              </w:pPr>
                              <w:r>
                                <w:rPr>
                                  <w:rFonts w:hint="default"/>
                                  <w:lang w:val="en-US" w:eastAsia="zh-CN"/>
                                </w:rPr>
                                <w:t>G9粉尘</w:t>
                              </w:r>
                            </w:p>
                          </w:txbxContent>
                        </v:textbox>
                      </v:shape>
                      <v:shape id="文本框 78" o:spid="_x0000_s1026" o:spt="202" type="#_x0000_t202" style="position:absolute;left:6597;top:158628;height:416;width:2654;" fillcolor="#FFFFFF" filled="t" stroked="f" coordsize="21600,21600" o:gfxdata="UEsDBAoAAAAAAIdO4kAAAAAAAAAAAAAAAAAEAAAAZHJzL1BLAwQUAAAACACHTuJA9PRRebkAAADb&#10;AAAADwAAAGRycy9kb3ducmV2LnhtbEVPS2vCQBC+F/wPywi91U0KWomuHgShiAe1HjwO2TEbk52N&#10;2fXRf+8cCj1+fO/58ulbdac+1oEN5KMMFHEZbM2VgePP+mMKKiZki21gMvBLEZaLwdscCxsevKf7&#10;IVVKQjgWaMCl1BVax9KRxzgKHbFw59B7TAL7StseHxLuW/2ZZRPtsWZpcNjRylHZHG5eSraxvO3D&#10;9ZJvG31yzQTHO7cx5n2YZzNQiZ7pX/zn/rYGvmS9fJE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0UXm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14:paraId="34FCDAF4">
                              <w:pPr>
                                <w:rPr>
                                  <w:rFonts w:hint="default" w:eastAsia="宋体"/>
                                  <w:lang w:val="en-US" w:eastAsia="zh-CN"/>
                                </w:rPr>
                              </w:pPr>
                              <w:r>
                                <w:rPr>
                                  <w:rFonts w:hint="eastAsia"/>
                                  <w:lang w:val="en-US" w:eastAsia="zh-CN"/>
                                </w:rPr>
                                <w:t>石英砂、纯碱、辅料等</w:t>
                              </w:r>
                            </w:p>
                          </w:txbxContent>
                        </v:textbox>
                      </v:shape>
                      <v:shape id="文本框 79" o:spid="_x0000_s1026" o:spt="202" type="#_x0000_t202" style="position:absolute;left:7314;top:159343;height:495;width:1065;"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05DB95">
                              <w:pPr>
                                <w:jc w:val="center"/>
                                <w:rPr>
                                  <w:rFonts w:hint="eastAsia" w:eastAsia="宋体"/>
                                  <w:lang w:val="en-US" w:eastAsia="zh-CN"/>
                                </w:rPr>
                              </w:pPr>
                              <w:r>
                                <w:rPr>
                                  <w:rFonts w:hint="eastAsia"/>
                                  <w:lang w:val="en-US" w:eastAsia="zh-CN"/>
                                </w:rPr>
                                <w:t>入库</w:t>
                              </w:r>
                            </w:p>
                          </w:txbxContent>
                        </v:textbox>
                      </v:shape>
                      <v:shape id="文本框 80" o:spid="_x0000_s1026" o:spt="202" type="#_x0000_t202" style="position:absolute;left:7092;top:160969;height:495;width:1443;"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1A835F">
                              <w:pPr>
                                <w:jc w:val="both"/>
                                <w:rPr>
                                  <w:rFonts w:hint="default" w:eastAsia="宋体"/>
                                  <w:lang w:val="en-US" w:eastAsia="zh-CN"/>
                                </w:rPr>
                              </w:pPr>
                              <w:r>
                                <w:rPr>
                                  <w:rFonts w:hint="default"/>
                                  <w:lang w:val="en-US" w:eastAsia="zh-CN"/>
                                </w:rPr>
                                <w:t>混料、</w:t>
                              </w:r>
                              <w:r>
                                <w:rPr>
                                  <w:rFonts w:hint="eastAsia"/>
                                  <w:lang w:val="en-US" w:eastAsia="zh-CN"/>
                                </w:rPr>
                                <w:t>投料</w:t>
                              </w:r>
                            </w:p>
                          </w:txbxContent>
                        </v:textbox>
                      </v:shape>
                      <v:shape id="文本框 81" o:spid="_x0000_s1026" o:spt="202" type="#_x0000_t202" style="position:absolute;left:7326;top:161853;height:495;width:1065;"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3450CF6">
                              <w:pPr>
                                <w:jc w:val="center"/>
                                <w:rPr>
                                  <w:rFonts w:hint="eastAsia" w:eastAsia="宋体"/>
                                  <w:lang w:val="en-US" w:eastAsia="zh-CN"/>
                                </w:rPr>
                              </w:pPr>
                              <w:r>
                                <w:rPr>
                                  <w:rFonts w:hint="eastAsia"/>
                                  <w:lang w:val="en-US" w:eastAsia="zh-CN"/>
                                </w:rPr>
                                <w:t>熔化</w:t>
                              </w:r>
                            </w:p>
                          </w:txbxContent>
                        </v:textbox>
                      </v:shape>
                      <v:shape id="文本框 82" o:spid="_x0000_s1026" o:spt="202" type="#_x0000_t202" style="position:absolute;left:7326;top:162709;height:495;width:1065;"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6CFE85">
                              <w:pPr>
                                <w:jc w:val="center"/>
                                <w:rPr>
                                  <w:rFonts w:hint="eastAsia" w:eastAsia="宋体"/>
                                  <w:lang w:val="en-US" w:eastAsia="zh-CN"/>
                                </w:rPr>
                              </w:pPr>
                              <w:r>
                                <w:rPr>
                                  <w:rFonts w:hint="eastAsia"/>
                                  <w:lang w:val="en-US" w:eastAsia="zh-CN"/>
                                </w:rPr>
                                <w:t>供料</w:t>
                              </w:r>
                            </w:p>
                          </w:txbxContent>
                        </v:textbox>
                      </v:shape>
                      <v:shape id="文本框 83" o:spid="_x0000_s1026" o:spt="202" type="#_x0000_t202" style="position:absolute;left:7326;top:163558;height:495;width:1065;"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96F90D">
                              <w:pPr>
                                <w:jc w:val="center"/>
                                <w:rPr>
                                  <w:rFonts w:hint="eastAsia" w:eastAsia="宋体"/>
                                  <w:lang w:val="en-US" w:eastAsia="zh-CN"/>
                                </w:rPr>
                              </w:pPr>
                              <w:r>
                                <w:rPr>
                                  <w:rFonts w:hint="eastAsia"/>
                                  <w:lang w:val="en-US" w:eastAsia="zh-CN"/>
                                </w:rPr>
                                <w:t>成型</w:t>
                              </w:r>
                            </w:p>
                          </w:txbxContent>
                        </v:textbox>
                      </v:shape>
                      <v:shape id="文本框 84" o:spid="_x0000_s1026" o:spt="202" type="#_x0000_t202" style="position:absolute;left:7373;top:164490;height:495;width:1065;"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51802BF">
                              <w:pPr>
                                <w:jc w:val="center"/>
                                <w:rPr>
                                  <w:rFonts w:hint="eastAsia" w:eastAsia="宋体"/>
                                  <w:lang w:val="en-US" w:eastAsia="zh-CN"/>
                                </w:rPr>
                              </w:pPr>
                              <w:r>
                                <w:rPr>
                                  <w:rFonts w:hint="eastAsia"/>
                                  <w:lang w:val="en-US" w:eastAsia="zh-CN"/>
                                </w:rPr>
                                <w:t>烘口</w:t>
                              </w:r>
                            </w:p>
                          </w:txbxContent>
                        </v:textbox>
                      </v:shape>
                      <v:shape id="文本框 85" o:spid="_x0000_s1026" o:spt="202" type="#_x0000_t202" style="position:absolute;left:7402;top:165411;height:495;width:1065;"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520DD3">
                              <w:pPr>
                                <w:jc w:val="center"/>
                                <w:rPr>
                                  <w:rFonts w:hint="eastAsia" w:eastAsia="宋体"/>
                                  <w:lang w:val="en-US" w:eastAsia="zh-CN"/>
                                </w:rPr>
                              </w:pPr>
                              <w:r>
                                <w:rPr>
                                  <w:rFonts w:hint="eastAsia"/>
                                  <w:lang w:val="en-US" w:eastAsia="zh-CN"/>
                                </w:rPr>
                                <w:t>抛光</w:t>
                              </w:r>
                            </w:p>
                          </w:txbxContent>
                        </v:textbox>
                      </v:shape>
                      <v:shape id="文本框 86" o:spid="_x0000_s1026" o:spt="202" type="#_x0000_t202" style="position:absolute;left:7417;top:166323;height:495;width:1065;"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C7E4FB">
                              <w:pPr>
                                <w:jc w:val="center"/>
                                <w:rPr>
                                  <w:rFonts w:hint="eastAsia" w:eastAsia="宋体"/>
                                  <w:lang w:val="en-US" w:eastAsia="zh-CN"/>
                                </w:rPr>
                              </w:pPr>
                              <w:r>
                                <w:rPr>
                                  <w:rFonts w:hint="eastAsia"/>
                                  <w:lang w:val="en-US" w:eastAsia="zh-CN"/>
                                </w:rPr>
                                <w:t>退火</w:t>
                              </w:r>
                            </w:p>
                          </w:txbxContent>
                        </v:textbox>
                      </v:shape>
                      <v:shape id="文本框 87" o:spid="_x0000_s1026" o:spt="202" type="#_x0000_t202" style="position:absolute;left:7396;top:168046;height:495;width:1065;"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231D3A">
                              <w:pPr>
                                <w:jc w:val="center"/>
                                <w:rPr>
                                  <w:rFonts w:hint="eastAsia" w:eastAsia="宋体"/>
                                  <w:lang w:val="en-US" w:eastAsia="zh-CN"/>
                                </w:rPr>
                              </w:pPr>
                              <w:r>
                                <w:rPr>
                                  <w:rFonts w:hint="eastAsia"/>
                                  <w:lang w:val="en-US" w:eastAsia="zh-CN"/>
                                </w:rPr>
                                <w:t>包装</w:t>
                              </w:r>
                            </w:p>
                          </w:txbxContent>
                        </v:textbox>
                      </v:shape>
                      <v:line id="直线 88" o:spid="_x0000_s1026" o:spt="20" style="position:absolute;left:7832;top:158929;flip:x;height:408;width:4;" filled="f" stroked="t" coordsize="21600,21600" o:gfxdata="UEsDBAoAAAAAAIdO4kAAAAAAAAAAAAAAAAAEAAAAZHJzL1BLAwQUAAAACACHTuJA+3hP8LsAAADb&#10;AAAADwAAAGRycy9kb3ducmV2LnhtbEVPTWvCQBC9F/wPywi91U3EFk1dPUgFT6VVEbwN2WkSzc6m&#10;u6Ox/fXdQ8Hj433PlzfXqiuF2Hg2kI8yUMSltw1XBva79dMUVBRki61nMvBDEZaLwcMcC+t7/qTr&#10;ViqVQjgWaKAW6QqtY1mTwzjyHXHivnxwKAmGStuAfQp3rR5n2Yt22HBqqLGjVU3leXtxBma7/tl/&#10;hPNhkjffx9+3k3SbdzHmcZ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P8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89" o:spid="_x0000_s1026" o:spt="20" style="position:absolute;left:7851;top:159846;height:318;width:8;"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0" o:spid="_x0000_s1026" o:spt="20" style="position:absolute;left:7884;top:161461;flip:x;height:408;width:4;" filled="f" stroked="t" coordsize="21600,21600" o:gfxdata="UEsDBAoAAAAAAIdO4kAAAAAAAAAAAAAAAAAEAAAAZHJzL1BLAwQUAAAACACHTuJAZOZ0HL4AAADb&#10;AAAADwAAAGRycy9kb3ducmV2LnhtbEWPQWvCQBSE74X+h+UJ3uomYotGVw+lBU+lail4e2SfSTT7&#10;Nt19Nba/visUPA4z8w2zWF1cq84UYuPZQD7KQBGX3jZcGfjYvT5MQUVBtth6JgM/FGG1vL9bYGF9&#10;zxs6b6VSCcKxQAO1SFdoHcuaHMaR74iTd/DBoSQZKm0D9gnuWj3OsiftsOG0UGNHzzWVp+23MzDb&#10;9Y/+PZw+J3nztf99OUq3fhNjhoM8m4MSusgt/N9eWwPTMVy/pB+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Z0H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1" o:spid="_x0000_s1026" o:spt="20" style="position:absolute;left:7882;top:162344;height:361;width:1;"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2" o:spid="_x0000_s1026" o:spt="20" style="position:absolute;left:7902;top:163206;height:361;width:1;"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7907;top:164053;height:434;width:7;"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4" o:spid="_x0000_s1026" o:spt="20" style="position:absolute;left:8437;top:162095;height:1;width:840;" filled="f" stroked="t" coordsize="21600,21600" o:gfxdata="UEsDBAoAAAAAAIdO4kAAAAAAAAAAAAAAAAAEAAAAZHJzL1BLAwQUAAAACACHTuJAVMGp+7gAAADb&#10;AAAADwAAAGRycy9kb3ducmV2LnhtbEWPS4sCMRCE7wv+h9CCtzWjoMhoFBEUPa4KXptJzwMnnXHS&#10;Pn+9WRA8FlX1FTVbPFytbtSGyrOBQT8BRZx5W3Fh4HhY/05ABUG2WHsmA08KsJh3fmaYWn/nP7rt&#10;pVARwiFFA6VIk2odspIchr5viKOX+9ahRNkW2rZ4j3BX62GSjLXDiuNCiQ2tSsrO+6uLlKXsNjTS&#10;ev3K5cLFyS3zfGNMrztIpqCEHvINf9pba2Ayhv8v8Qfo+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Gp+7gAAADbAAAA&#10;DwAAAAAAAAABACAAAAAiAAAAZHJzL2Rvd25yZXYueG1sUEsBAhQAFAAAAAgAh07iQDMvBZ47AAAA&#10;OQAAABAAAAAAAAAAAQAgAAAABwEAAGRycy9zaGFwZXhtbC54bWxQSwUGAAAAAAYABgBbAQAAsQMA&#10;AAAA&#10;">
                        <v:fill on="f" focussize="0,0"/>
                        <v:stroke color="#000000" joinstyle="round" dashstyle="dash" startarrowwidth="narrow" endarrow="block"/>
                        <v:imagedata o:title=""/>
                        <o:lock v:ext="edit" aspectratio="f"/>
                      </v:line>
                      <v:line id="直线 109" o:spid="_x0000_s1026" o:spt="20" style="position:absolute;left:6691;top:164741;flip:y;height:5;width:690;" filled="f" stroked="t" coordsize="21600,21600" o:gfxdata="UEsDBAoAAAAAAIdO4kAAAAAAAAAAAAAAAAAEAAAAZHJzL1BLAwQUAAAACACHTuJAdJHXhL8AAADb&#10;AAAADwAAAGRycy9kb3ducmV2LnhtbEWPQWvCQBSE74X+h+UVequblLZqdPVQFDyVVkXw9sg+k9Ts&#10;23T31dj++m5B8DjMzDfMdH52rTpRiI1nA/kgA0VcettwZWC7WT6MQEVBtth6JgM/FGE+u72ZYmF9&#10;zx90WkulEoRjgQZqka7QOpY1OYwD3xEn7+CDQ0kyVNoG7BPctfoxy160w4bTQo0dvdZUHtffzsB4&#10;0z/793DcPeXN1/538Snd6k2Mub/LswkoobNcw5f2yhoYDe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14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4" o:spid="_x0000_s1026" o:spt="20" style="position:absolute;left:7928;top:164985;height:419;width:7;"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96" o:spid="_x0000_s1026" o:spt="20" style="position:absolute;left:7969;top:166808;height:419;width:7;"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9" o:spid="_x0000_s1026" o:spt="20" style="position:absolute;left:8437;top:161240;height:1;width:840;" filled="f" stroked="t" coordsize="21600,21600" o:gfxdata="UEsDBAoAAAAAAIdO4kAAAAAAAAAAAAAAAAAEAAAAZHJzL1BLAwQUAAAACACHTuJAMb0CyboAAADb&#10;AAAADwAAAGRycy9kb3ducmV2LnhtbEWPTWsCQQyG7wX/wxDBW521oOjqKFJQ7FEt9Bp2sh+4k1l3&#10;4kf765tDocfw5n2SZ7V5htbcqU9NZAeTcQaGuIi+4crB53n3OgeTBNljG5kcfFOCzXrwssLcxwcf&#10;6X6SyiiEU44OapEutzYVNQVM49gRa1bGPqDo2FfW9/hQeGjtW5bNbMCG9UKNHb3XVFxOt6CUrXzs&#10;aWrt7qeUK1dfYVuWe+dGw0m2BCP0lP/lv/bBO1jo9+qiHm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vQLJugAAANsA&#10;AAAPAAAAAAAAAAEAIAAAACIAAABkcnMvZG93bnJldi54bWxQSwECFAAUAAAACACHTuJAMy8FnjsA&#10;AAA5AAAAEAAAAAAAAAABACAAAAAJAQAAZHJzL3NoYXBleG1sLnhtbFBLBQYAAAAABgAGAFsBAACz&#10;AwAAAAA=&#10;">
                        <v:fill on="f" focussize="0,0"/>
                        <v:stroke color="#000000" joinstyle="round" dashstyle="dash" startarrowwidth="narrow" endarrow="block"/>
                        <v:imagedata o:title=""/>
                        <o:lock v:ext="edit" aspectratio="f"/>
                      </v:line>
                      <v:line id="直线 108" o:spid="_x0000_s1026" o:spt="20" style="position:absolute;left:6641;top:163826;flip:y;height:5;width:690;" filled="f" stroked="t" coordsize="21600,21600" o:gfxdata="UEsDBAoAAAAAAIdO4kAAAAAAAAAAAAAAAAAEAAAAZHJzL1BLAwQUAAAACACHTuJAEe18tr4AAADb&#10;AAAADwAAAGRycy9kb3ducmV2LnhtbEWPT2vCQBTE7wW/w/IEb3UTscWmrh6KBU9S/1Do7ZF9TVKz&#10;b9PdV6P99F2h4HGY+c0w8+XZtepEITaeDeTjDBRx6W3DlYHD/vV+BioKssXWMxm4UITlYnA3x8L6&#10;nrd02kmlUgnHAg3UIl2hdSxrchjHviNO3qcPDiXJUGkbsE/lrtWTLHvUDhtOCzV29FJTedz9OANP&#10;+/7Bv4Xj+zRvvj9+V1/SrTdizGiYZ8+ghM5yC//Ta5u4HK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18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5" o:spid="_x0000_s1026" o:spt="20" style="position:absolute;left:7969;top:165899;height:419;width:7;"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7" o:spid="_x0000_s1026" o:spt="20" style="position:absolute;left:8407;top:159680;height:1;width:840;" filled="f" stroked="t" coordsize="21600,21600" o:gfxdata="UEsDBAoAAAAAAIdO4kAAAAAAAAAAAAAAAAAEAAAAZHJzL1BLAwQUAAAACACHTuJAwW+cvroAAADb&#10;AAAADwAAAGRycy9kb3ducmV2LnhtbEWPS2sCQRCE74L/YWghN53VoMTVUURQ4tEH5Nrs9D5wp2fd&#10;6ajJr3cEwWNRVV9R8+Xd1epKbag8GxgOElDEmbcVFwZOx03/C1QQZIu1ZzLwRwGWi25njqn1N97T&#10;9SCFihAOKRooRZpU65CV5DAMfEMcvdy3DiXKttC2xVuEu1qPkmSiHVYcF0psaF1Sdj78ukhZyW5L&#10;Y603/7lcuPhxqzzfGvPRGyYzUEJ3eYdf7W9rYPoJzy/xB+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b5y+ugAAANsA&#10;AAAPAAAAAAAAAAEAIAAAACIAAABkcnMvZG93bnJldi54bWxQSwECFAAUAAAACACHTuJAMy8FnjsA&#10;AAA5AAAAEAAAAAAAAAABACAAAAAJAQAAZHJzL3NoYXBleG1sLnhtbFBLBQYAAAAABgAGAFsBAACz&#10;AwAAAAA=&#10;">
                        <v:fill on="f" focussize="0,0"/>
                        <v:stroke color="#000000" joinstyle="round" dashstyle="dash" startarrowwidth="narrow" endarrow="block"/>
                        <v:imagedata o:title=""/>
                        <o:lock v:ext="edit" aspectratio="f"/>
                      </v:line>
                      <v:shape id="文本框 98" o:spid="_x0000_s1026" o:spt="202" type="#_x0000_t202" style="position:absolute;left:9207;top:159468;height:416;width:1469;" fillcolor="#FFFFFF" filled="t" stroked="f" coordsize="21600,21600" o:gfxdata="UEsDBAoAAAAAAIdO4kAAAAAAAAAAAAAAAAAEAAAAZHJzL1BLAwQUAAAACACHTuJAX+ooaL0AAADb&#10;AAAADwAAAGRycy9kb3ducmV2LnhtbEWPQWsCMRSE74X+h/AKvXWzLiK6NXpQhCJUrKv3R/LMLt28&#10;LJt0tf76RhB6HGbmG2a+vLpWDNSHxrOCUZaDINbeNGwVHKvN2xREiMgGW8+k4JcCLBfPT3Msjb/w&#10;Fw2HaEWCcChRQR1jV0oZdE0OQ+Y74uSdfe8wJtlbaXq8JLhrZZHnE+mw4bRQY0ermvT34ccp0NWU&#10;brsT7Xd2rTt7255XxadU6vVllL+DiHSN/+FH+8MomI3h/iX9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ihovQAA&#10;ANs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14:paraId="5D24C368">
                              <w:pPr>
                                <w:rPr>
                                  <w:rFonts w:hint="default" w:eastAsia="宋体"/>
                                  <w:lang w:val="en-US" w:eastAsia="zh-CN"/>
                                </w:rPr>
                              </w:pPr>
                              <w:r>
                                <w:rPr>
                                  <w:rFonts w:hint="eastAsia"/>
                                  <w:lang w:val="en-US" w:eastAsia="zh-CN"/>
                                </w:rPr>
                                <w:t>G1粉尘</w:t>
                              </w:r>
                            </w:p>
                          </w:txbxContent>
                        </v:textbox>
                      </v:shape>
                      <v:shape id="文本框 103" o:spid="_x0000_s1026" o:spt="202" type="#_x0000_t202" style="position:absolute;left:9237;top:161018;height:480;width:2491;" fillcolor="#FFFFFF" filled="t" stroked="f" coordsize="21600,21600" o:gfxdata="UEsDBAoAAAAAAIdO4kAAAAAAAAAAAAAAAAAEAAAAZHJzL1BLAwQUAAAACACHTuJA5xD7CbwAAADb&#10;AAAADwAAAGRycy9kb3ducmV2LnhtbEWPzYrCMBSF94LvEO7AbERTBaVTjS5EQcERrOP+2lzbOs1N&#10;aTJa334iCC4P5+fjzBatqcSNGldaVjAcRCCIM6tLzhX8HNf9GITzyBory6TgQQ4W825nhom2dz7Q&#10;LfW5CCPsElRQeF8nUrqsIINuYGvi4F1sY9AH2eRSN3gP46aSoyiaSIMlB0KBNS0Lyn7TPxO4qzau&#10;T+fd8rpNe+fraM/ld8xKfX4MoykIT61/h1/tjVbwNYb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Q+wm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4789AA83">
                              <w:pPr>
                                <w:rPr>
                                  <w:rFonts w:hint="default" w:eastAsia="宋体"/>
                                  <w:lang w:val="en-US" w:eastAsia="zh-CN"/>
                                </w:rPr>
                              </w:pPr>
                              <w:r>
                                <w:rPr>
                                  <w:rFonts w:hint="eastAsia"/>
                                  <w:lang w:val="en-US" w:eastAsia="zh-CN"/>
                                </w:rPr>
                                <w:t>G3粉尘、G10粉尘</w:t>
                              </w:r>
                            </w:p>
                          </w:txbxContent>
                        </v:textbox>
                      </v:shape>
                      <v:shape id="文本框 106" o:spid="_x0000_s1026" o:spt="202" type="#_x0000_t202" style="position:absolute;left:9387;top:161891;height:495;width:1964;"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562590">
                              <w:pPr>
                                <w:rPr>
                                  <w:rFonts w:hint="default" w:eastAsia="宋体"/>
                                  <w:lang w:val="en-US" w:eastAsia="zh-CN"/>
                                </w:rPr>
                              </w:pPr>
                              <w:r>
                                <w:rPr>
                                  <w:rFonts w:hint="eastAsia"/>
                                  <w:lang w:val="en-US" w:eastAsia="zh-CN"/>
                                </w:rPr>
                                <w:t>G4 燃烧废气</w:t>
                              </w:r>
                            </w:p>
                          </w:txbxContent>
                        </v:textbox>
                      </v:shape>
                      <v:line id="直线 107" o:spid="_x0000_s1026" o:spt="20" style="position:absolute;left:6620;top:162115;flip:y;height:5;width:690;" filled="f" stroked="t" coordsize="21600,21600" o:gfxdata="UEsDBAoAAAAAAIdO4kAAAAAAAAAAAAAAAAAEAAAAZHJzL1BLAwQUAAAACACHTuJA8UhBWb8AAADb&#10;AAAADwAAAGRycy9kb3ducmV2LnhtbEWPS0sDQRCE70L+w9CCNzO7onmsmeQQEshJzINAbs1Ou7tm&#10;p2edabPRX+8Igsei6quiZoura9WFQmw8G8iHGSji0tuGKwOH/fp+AioKssXWMxn4ogiL+eBmhoX1&#10;PW/pspNKpRKOBRqoRbpC61jW5DAOfUecvDcfHEqSodI2YJ/KXasfsmykHTacFmrsaFlTed59OgPT&#10;ff/kX8P5+Jg3H6fv1bt0mxcx5u42z55BCV3lP/xHb2zixv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QV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0" o:spid="_x0000_s1026" o:spt="20" style="position:absolute;left:6724;top:165669;flip:y;height:5;width:690;" filled="f" stroked="t" coordsize="21600,21600" o:gfxdata="UEsDBAoAAAAAAIdO4kAAAAAAAAAAAAAAAAAEAAAAZHJzL1BLAwQUAAAACACHTuJAgNfVK7sAAADb&#10;AAAADwAAAGRycy9kb3ducmV2LnhtbEVPTUvDQBC9C/0Pywje7CZSRdNueygKPYm2IngbstMkNjsb&#10;d6dN9dc7B8Hj430vVufQmxOl3EV2UE4LMMR19B03Dt52T9f3YLIge+wjk4NvyrBaTi4WWPk48iud&#10;ttIYDeFcoYNWZKiszXVLAfM0DsTK7WMKKApTY33CUcNDb2+K4s4G7FgbWhxo3VJ92B6Dg4fdeBtf&#10;0uF9VnZfHz+PnzJsnsW5q8uymIMROsu/+M+98erTsfpFf4Bd/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fVK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111" o:spid="_x0000_s1026" o:spt="202" type="#_x0000_t202" style="position:absolute;left:5143;top:161973;height:416;width:1388;" fillcolor="#FFFFFF" filled="t" stroked="f" coordsize="21600,21600" o:gfxdata="UEsDBAoAAAAAAIdO4kAAAAAAAAAAAAAAAAAEAAAAZHJzL1BLAwQUAAAACACHTuJAHtF8p7sAAADb&#10;AAAADwAAAGRycy9kb3ducmV2LnhtbEWPT4vCMBTE74LfITxhb5qqoG01Ciou3har4PXRPJvS5qU0&#10;8c9++83Cwh6HmfkNs96+bSue1PvasYLpJAFBXDpdc6XgejmOUxA+IGtsHZOCb/Kw3QwHa8y1e/GZ&#10;nkWoRISwz1GBCaHLpfSlIYt+4jri6N1dbzFE2VdS9/iKcNvKWZIspMWa44LBjvaGyqZ4WAXzr9ny&#10;5j+Lw767Udakftfc2Sj1MZomKxCB3uE//Nc+aQVZBr9f4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F8p7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1E7BFF28">
                              <w:pPr>
                                <w:rPr>
                                  <w:rFonts w:hint="default" w:eastAsia="宋体"/>
                                  <w:lang w:val="en-US" w:eastAsia="zh-CN"/>
                                </w:rPr>
                              </w:pPr>
                              <w:r>
                                <w:rPr>
                                  <w:rFonts w:hint="eastAsia"/>
                                  <w:lang w:val="en-US" w:eastAsia="zh-CN"/>
                                </w:rPr>
                                <w:t>天然气、空气</w:t>
                              </w:r>
                            </w:p>
                          </w:txbxContent>
                        </v:textbox>
                      </v:shape>
                      <v:shape id="文本框 114" o:spid="_x0000_s1026" o:spt="202" type="#_x0000_t202" style="position:absolute;left:4737;top:163603;height:434;width:2061;"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62952EF">
                              <w:pPr>
                                <w:rPr>
                                  <w:rFonts w:hint="default" w:eastAsia="宋体"/>
                                  <w:lang w:val="en-US" w:eastAsia="zh-CN"/>
                                </w:rPr>
                              </w:pPr>
                              <w:r>
                                <w:rPr>
                                  <w:rFonts w:hint="eastAsia"/>
                                  <w:lang w:val="en-US" w:eastAsia="zh-CN"/>
                                </w:rPr>
                                <w:t>液化石油气、空气</w:t>
                              </w:r>
                            </w:p>
                          </w:txbxContent>
                        </v:textbox>
                      </v:shape>
                      <v:line id="直线 118" o:spid="_x0000_s1026" o:spt="20" style="position:absolute;left:6720;top:166600;flip:y;height:5;width:690;" filled="f" stroked="t" coordsize="21600,21600" o:gfxdata="UEsDBAoAAAAAAIdO4kAAAAAAAAAAAAAAAAAEAAAAZHJzL1BLAwQUAAAACACHTuJAcE9Xnb0AAADc&#10;AAAADwAAAGRycy9kb3ducmV2LnhtbEVPTUsDMRC9C/6HMII3m2xR0bVpD6WFnsS2IngbNuPu2s1k&#10;m0y71V9vCkJv83ifM5mdfKeOFFMb2EIxMqCIq+Bari28b5d3T6CSIDvsApOFH0owm15fTbB0YeA1&#10;HTdSqxzCqUQLjUhfap2qhjymUeiJM/cVokfJMNbaRRxyuO/02JhH7bHl3NBgT/OGqt3m4C08b4eH&#10;8BZ3H/dFu//8XXxLv3oVa29vCvMCSugkF/G/e+XyfFPA+Zl8gZ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1e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0" o:spid="_x0000_s1026" o:spt="20" style="position:absolute;left:8397;top:163776;flip:y;height:15;width:644;" filled="f" stroked="t" coordsize="21600,21600" o:gfxdata="UEsDBAoAAAAAAIdO4kAAAAAAAAAAAAAAAAAEAAAAZHJzL1BLAwQUAAAACACHTuJADsj1LrUAAADc&#10;AAAADwAAAGRycy9kb3ducmV2LnhtbEVPyQrCMBC9C/5DGMGbJoqIVqMHQRBvLuB1aMa22ExqEtev&#10;N4LgbR5vnfnyaWtxJx8qxxoGfQWCOHem4kLD8bDuTUCEiGywdkwaXhRguWi35pgZ9+Ad3fexECmE&#10;Q4YayhibTMqQl2Qx9F1DnLiz8xZjgr6QxuMjhdtaDpUaS4sVp4YSG1qVlF/2N6thpK7v1WFbVNN6&#10;Q9NAns+XeNK62xmoGYhIz/gX/9wbk+arIXyfSR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sj1Lr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shape id="文本框 122" o:spid="_x0000_s1026" o:spt="202" type="#_x0000_t202" style="position:absolute;left:8997;top:163565;height:585;width:1620;" fillcolor="#FFFFFF" filled="t" stroked="f" coordsize="21600,21600" o:gfxdata="UEsDBAoAAAAAAIdO4kAAAAAAAAAAAAAAAAAEAAAAZHJzL1BLAwQUAAAACACHTuJArWu05b4AAADc&#10;AAAADwAAAGRycy9kb3ducmV2LnhtbEWPQWvCQBCF7wX/wzKCl6K7K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05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35B978A4">
                              <w:pPr>
                                <w:rPr>
                                  <w:rFonts w:hint="default" w:eastAsia="宋体"/>
                                  <w:lang w:val="en-US" w:eastAsia="zh-CN"/>
                                </w:rPr>
                              </w:pPr>
                              <w:r>
                                <w:rPr>
                                  <w:rFonts w:hint="eastAsia"/>
                                  <w:lang w:val="en-US" w:eastAsia="zh-CN"/>
                                </w:rPr>
                                <w:t>G5 燃烧废气</w:t>
                              </w:r>
                            </w:p>
                          </w:txbxContent>
                        </v:textbox>
                      </v:shape>
                      <v:shape id="文本框 123" o:spid="_x0000_s1026" o:spt="202" type="#_x0000_t202" style="position:absolute;left:5127;top:164483;height:480;width:1740;"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BFC06FD">
                              <w:pPr>
                                <w:rPr>
                                  <w:rFonts w:hint="default" w:eastAsia="宋体"/>
                                  <w:lang w:val="en-US" w:eastAsia="zh-CN"/>
                                </w:rPr>
                              </w:pPr>
                              <w:r>
                                <w:rPr>
                                  <w:rFonts w:hint="eastAsia"/>
                                  <w:lang w:val="en-US" w:eastAsia="zh-CN"/>
                                </w:rPr>
                                <w:t>天然气、氧气</w:t>
                              </w:r>
                            </w:p>
                          </w:txbxContent>
                        </v:textbox>
                      </v:shape>
                      <v:shape id="文本框 124" o:spid="_x0000_s1026" o:spt="202" type="#_x0000_t202" style="position:absolute;left:5187;top:165413;height:600;width:1710;"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DDC4C66">
                              <w:pPr>
                                <w:rPr>
                                  <w:rFonts w:hint="default" w:eastAsia="宋体"/>
                                  <w:lang w:val="en-US" w:eastAsia="zh-CN"/>
                                </w:rPr>
                              </w:pPr>
                              <w:r>
                                <w:rPr>
                                  <w:rFonts w:hint="eastAsia"/>
                                  <w:lang w:val="en-US" w:eastAsia="zh-CN"/>
                                </w:rPr>
                                <w:t>天然气、氧气</w:t>
                              </w:r>
                            </w:p>
                          </w:txbxContent>
                        </v:textbox>
                      </v:shape>
                      <v:shape id="文本框 126" o:spid="_x0000_s1026" o:spt="202" type="#_x0000_t202" style="position:absolute;left:5022;top:166298;height:585;width:1755;"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3CE7FC3">
                              <w:pPr>
                                <w:rPr>
                                  <w:rFonts w:hint="default" w:eastAsia="宋体"/>
                                  <w:lang w:val="en-US" w:eastAsia="zh-CN"/>
                                </w:rPr>
                              </w:pPr>
                              <w:r>
                                <w:rPr>
                                  <w:rFonts w:hint="eastAsia"/>
                                  <w:lang w:val="en-US" w:eastAsia="zh-CN"/>
                                </w:rPr>
                                <w:t>天然气、空气</w:t>
                              </w:r>
                            </w:p>
                          </w:txbxContent>
                        </v:textbox>
                      </v:shape>
                      <v:line id="直线 127" o:spid="_x0000_s1026" o:spt="20" style="position:absolute;left:8442;top:164736;flip:y;height:15;width:644;" filled="f" stroked="t" coordsize="21600,21600" o:gfxdata="UEsDBAoAAAAAAIdO4kAAAAAAAAAAAAAAAAAEAAAAZHJzL1BLAwQUAAAACACHTuJAHr9WtrgAAADc&#10;AAAADwAAAGRycy9kb3ducmV2LnhtbEVPS4vCMBC+C/6HMMLeNFEWXWujB0GQvfmAvQ7N2JY2k5rE&#10;1/56Iwje5uN7Tr6621ZcyYfasYbxSIEgLpypudRwPGyGPyBCRDbYOiYNDwqwWvZ7OWbG3XhH130s&#10;RQrhkKGGKsYukzIUFVkMI9cRJ+7kvMWYoC+l8XhL4baVE6Wm0mLNqaHCjtYVFc3+YjV8q/P/+vBb&#10;1vN2S/NAnk9N/NP6azBWCxCR7vEjfru3Js1XM3g9ky6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r9Wt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直线 129" o:spid="_x0000_s1026" o:spt="20" style="position:absolute;left:8502;top:166581;flip:y;height:15;width:644;" filled="f" stroked="t" coordsize="21600,21600" o:gfxdata="UEsDBAoAAAAAAIdO4kAAAAAAAAAAAAAAAAAEAAAAZHJzL1BLAwQUAAAACACHTuJAbyDCxLwAAADc&#10;AAAADwAAAGRycy9kb3ducmV2LnhtbEWPT2vDMAzF74V9B6PBbo3dMcaS1u2hUAi7rR3sKmLlD43l&#10;1HbTbp9+Ogx2k3hP7/202d39qGaKaQhsYVUYUMRNcAN3Fj5Ph+UbqJSRHY6BycI3JdhtHxYbrFy4&#10;8QfNx9wpCeFUoYU+56nSOjU9eUxFmIhFa0P0mGWNnXYRbxLuR/1szKv2OLA09DjRvqfmfLx6Cy/m&#10;8rM/vXdDOdZUJorcnvOXtU+PK7MGleme/81/17UTfCO08oxM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gwsS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136" o:spid="_x0000_s1026" o:spt="20" style="position:absolute;left:7969;top:167708;height:329;width:7;"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8" o:spid="_x0000_s1026" o:spt="20" style="position:absolute;left:8487;top:165636;flip:y;height:15;width:644;" filled="f" stroked="t" coordsize="21600,21600" o:gfxdata="UEsDBAoAAAAAAIdO4kAAAAAAAAAAAAAAAAAEAAAAZHJzL1BLAwQUAAAACACHTuJAFI9YH7sAAADc&#10;AAAADwAAAGRycy9kb3ducmV2LnhtbEWPT4sCMQzF7wt+hxJhb2s7IqKzVg+CIN7Uhb2GaZwZnKaz&#10;bf376TcHwVvCe3nvl8Xq7jt1pZjawBaKkQFFXAXXcm3h57j5moFKGdlhF5gsPCjBajn4WGDpwo33&#10;dD3kWkkIpxItNDn3pdapashjGoWeWLRTiB6zrLHWLuJNwn2nx8ZMtceWpaHBntYNVefDxVuYmL/n&#10;+rir23m3pXmiyKdz/rX2c1iYb1CZ7vltfl1vneAXgi/PyAR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9YH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文本框 130" o:spid="_x0000_s1026" o:spt="202" type="#_x0000_t202" style="position:absolute;left:9026;top:164523;height:555;width:1560;" filled="f" stroked="f" coordsize="21600,21600" o:gfxdata="UEsDBAoAAAAAAIdO4kAAAAAAAAAAAAAAAAAEAAAAZHJzL1BLAwQUAAAACACHTuJAwJsrK7sAAADc&#10;AAAADwAAAGRycy9kb3ducmV2LnhtbEVPTWvCQBC9C/6HZYTedDellZpmk4NS6KmitgVvQ3ZMQrOz&#10;IbtN0n/vFgRv83ifkxWTbcVAvW8ca0hWCgRx6UzDlYbP09vyBYQPyAZbx6ThjzwU+XyWYWrcyAca&#10;jqESMYR9ihrqELpUSl/WZNGvXEccuYvrLYYI+0qaHscYblv5qNRaWmw4NtTY0bam8uf4azV8fVzO&#10;309qX+3scze6SUm2G6n1wyJRryACTeEuvrnfTZyfJPD/TLxA5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sr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A5DF2A1">
                              <w:pPr>
                                <w:rPr>
                                  <w:rFonts w:hint="default" w:eastAsia="宋体"/>
                                  <w:lang w:val="en-US" w:eastAsia="zh-CN"/>
                                </w:rPr>
                              </w:pPr>
                              <w:r>
                                <w:rPr>
                                  <w:rFonts w:hint="eastAsia"/>
                                  <w:lang w:val="en-US" w:eastAsia="zh-CN"/>
                                </w:rPr>
                                <w:t>G6燃烧废气</w:t>
                              </w:r>
                            </w:p>
                          </w:txbxContent>
                        </v:textbox>
                      </v:shape>
                      <v:shape id="文本框 131" o:spid="_x0000_s1026" o:spt="202" type="#_x0000_t202" style="position:absolute;left:9086;top:165423;height:600;width:1515;"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B1A3920">
                              <w:pPr>
                                <w:rPr>
                                  <w:rFonts w:hint="default" w:eastAsia="宋体"/>
                                  <w:lang w:val="en-US" w:eastAsia="zh-CN"/>
                                </w:rPr>
                              </w:pPr>
                              <w:r>
                                <w:rPr>
                                  <w:rFonts w:hint="eastAsia"/>
                                  <w:lang w:val="en-US" w:eastAsia="zh-CN"/>
                                </w:rPr>
                                <w:t>G7燃烧废气</w:t>
                              </w:r>
                            </w:p>
                          </w:txbxContent>
                        </v:textbox>
                      </v:shape>
                      <v:shape id="文本框 132" o:spid="_x0000_s1026" o:spt="202" type="#_x0000_t202" style="position:absolute;left:9131;top:166353;height:570;width:1515;" filled="f" stroked="f" coordsize="21600,21600" o:gfxdata="UEsDBAoAAAAAAIdO4kAAAAAAAAAAAAAAAAAEAAAAZHJzL1BLAwQUAAAACACHTuJAXwUQx7sAAADc&#10;AAAADwAAAGRycy9kb3ducmV2LnhtbEVPyWrDMBC9F/IPYgK91ZK7hMSJ7ENKoKeWZoPcBmtim1gj&#10;Yymx+/dVoZDbPN46q2K0rbhR7xvHGtJEgSAunWm40rDfbZ7mIHxANtg6Jg0/5KHIJw8rzIwb+Jtu&#10;21CJGMI+Qw11CF0mpS9rsugT1xFH7ux6iyHCvpKmxyGG21Y+KzWTFhuODTV2tK6pvGyvVsPh83w6&#10;vqqv6t2+dYMblWS7kFo/TlO1BBFoDHfxv/vDxPnpC/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UQ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20CA603">
                              <w:pPr>
                                <w:rPr>
                                  <w:rFonts w:hint="default" w:eastAsia="宋体"/>
                                  <w:lang w:val="en-US" w:eastAsia="zh-CN"/>
                                </w:rPr>
                              </w:pPr>
                              <w:r>
                                <w:rPr>
                                  <w:rFonts w:hint="eastAsia"/>
                                  <w:lang w:val="en-US" w:eastAsia="zh-CN"/>
                                </w:rPr>
                                <w:t>G8燃烧废气</w:t>
                              </w:r>
                            </w:p>
                          </w:txbxContent>
                        </v:textbox>
                      </v:shape>
                      <v:shape id="文本框 133" o:spid="_x0000_s1026" o:spt="202" type="#_x0000_t202" style="position:absolute;left:7396;top:167229;height:495;width:1065;" fillcolor="#FFFFFF" filled="t" stroked="t"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88AB5D">
                              <w:pPr>
                                <w:jc w:val="center"/>
                                <w:rPr>
                                  <w:rFonts w:hint="eastAsia" w:eastAsia="宋体"/>
                                  <w:lang w:val="en-US" w:eastAsia="zh-CN"/>
                                </w:rPr>
                              </w:pPr>
                              <w:r>
                                <w:rPr>
                                  <w:rFonts w:hint="eastAsia"/>
                                  <w:lang w:val="en-US" w:eastAsia="zh-CN"/>
                                </w:rPr>
                                <w:t>检验</w:t>
                              </w:r>
                            </w:p>
                          </w:txbxContent>
                        </v:textbox>
                      </v:shape>
                      <v:line id="直线 134" o:spid="_x0000_s1026" o:spt="20" style="position:absolute;left:8487;top:167451;flip:y;height:15;width:644;" filled="f" stroked="t" coordsize="21600,21600" o:gfxdata="UEsDBAoAAAAAAIdO4kAAAAAAAAAAAAAAAAAEAAAAZHJzL1BLAwQUAAAACACHTuJABPj7h7cAAADc&#10;AAAADwAAAGRycy9kb3ducmV2LnhtbEVPy6rCMBDdC/cfwlxwp0lFRavRhSCIu6uC26EZ22IzqUl8&#10;fv2NILibw3nOfPmwjbiRD7VjDVlfgSAunKm51HDYr3sTECEiG2wck4YnBVgufjpzzI278x/ddrEU&#10;KYRDjhqqGNtcylBUZDH0XUucuJPzFmOCvpTG4z2F20YOlBpLizWnhgpbWlVUnHdXq2GoLq/VflvW&#10;02ZD00CeT+d41Lr7m6kZiEiP+BV/3BuT5mcjeD+TLpC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PuH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文本框 135" o:spid="_x0000_s1026" o:spt="202" type="#_x0000_t202" style="position:absolute;left:9011;top:167226;height:495;width:1621;"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AB813C9">
                              <w:pPr>
                                <w:rPr>
                                  <w:rFonts w:hint="default" w:eastAsia="宋体"/>
                                  <w:lang w:val="en-US" w:eastAsia="zh-CN"/>
                                </w:rPr>
                              </w:pPr>
                              <w:r>
                                <w:rPr>
                                  <w:rFonts w:hint="eastAsia"/>
                                  <w:lang w:val="en-US" w:eastAsia="zh-CN"/>
                                </w:rPr>
                                <w:t>S1不合格品</w:t>
                              </w:r>
                            </w:p>
                          </w:txbxContent>
                        </v:textbox>
                      </v:shape>
                      <v:line id="直线 145" o:spid="_x0000_s1026" o:spt="20" style="position:absolute;left:10282;top:167393;flip:y;height:14;width:527;" filled="f" stroked="t" coordsize="21600,21600"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6" o:spid="_x0000_s1026" o:spt="20" style="position:absolute;left:11122;top:162209;flip:y;height:5019;width:26;"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7" o:spid="_x0000_s1026" o:spt="20" style="position:absolute;left:8392;top:162198;flip:x;height:34;width:2785;" filled="f" stroked="t" coordsize="21600,21600" o:gfxdata="UEsDBAoAAAAAAIdO4kAAAAAAAAAAAAAAAAAEAAAAZHJzL1BLAwQUAAAACACHTuJAC+DNRr0AAADc&#10;AAAADwAAAGRycy9kb3ducmV2LnhtbEVPTWvCQBC9C/6HZQRvukmxRVNXD1LBU2m1CL0N2WmSmp2N&#10;u6Ox/fXdQqG3ebzPWa5vrlVXCrHxbCCfZqCIS28brgy8HbaTOagoyBZbz2TgiyKsV8PBEgvre36l&#10;614qlUI4FmigFukKrWNZk8M49R1x4j58cCgJhkrbgH0Kd62+y7IH7bDh1FBjR5uaytP+4gwsDv29&#10;fwmn4yxvzu/fT5/S7Z7FmPEozx5BCd3kX/zn3tk0P1/A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M1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48" o:spid="_x0000_s1026" o:spt="202" type="#_x0000_t202" style="position:absolute;left:10801;top:167184;height:495;width:1065;"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74C904">
                              <w:pPr>
                                <w:jc w:val="center"/>
                                <w:rPr>
                                  <w:rFonts w:hint="eastAsia" w:eastAsia="宋体"/>
                                  <w:lang w:val="en-US" w:eastAsia="zh-CN"/>
                                </w:rPr>
                              </w:pPr>
                              <w:r>
                                <w:rPr>
                                  <w:rFonts w:hint="eastAsia"/>
                                  <w:lang w:val="en-US" w:eastAsia="zh-CN"/>
                                </w:rPr>
                                <w:t>破碎</w:t>
                              </w:r>
                            </w:p>
                          </w:txbxContent>
                        </v:textbox>
                      </v:shape>
                      <v:line id="直线 149" o:spid="_x0000_s1026" o:spt="20" style="position:absolute;left:11547;top:166476;flip:y;height:705;width:1;" filled="f" stroked="t" coordsize="21600,21600" o:gfxdata="UEsDBAoAAAAAAIdO4kAAAAAAAAAAAAAAAAAEAAAAZHJzL1BLAwQUAAAACACHTuJAta83ObgAAADc&#10;AAAADwAAAGRycy9kb3ducmV2LnhtbEVPy6rCMBDdC/5DGMGdJhURW40uBEHuzge4HZqxLTaTmsTH&#10;9etvLgju5nCes1y/bCse5EPjWEM2ViCIS2carjScjtvRHESIyAZbx6ThlwKsV/3eEgvjnrynxyFW&#10;IoVwKFBDHWNXSBnKmiyGseuIE3dx3mJM0FfSeHymcNvKiVIzabHh1FBjR5uayuvhbjVM1e29Of5U&#10;Td7uKA/k+XKNZ62Hg0wtQER6xa/4496ZNH+Swf8z6QK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a83Ob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152" o:spid="_x0000_s1026" o:spt="202" type="#_x0000_t202" style="position:absolute;left:7326;top:160165;height:495;width:1065;" fillcolor="#FFFFFF"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9A3AC4">
                              <w:pPr>
                                <w:jc w:val="center"/>
                                <w:rPr>
                                  <w:rFonts w:hint="eastAsia" w:eastAsia="宋体"/>
                                  <w:lang w:val="en-US" w:eastAsia="zh-CN"/>
                                </w:rPr>
                              </w:pPr>
                              <w:r>
                                <w:rPr>
                                  <w:rFonts w:hint="eastAsia"/>
                                  <w:lang w:val="en-US" w:eastAsia="zh-CN"/>
                                </w:rPr>
                                <w:t>下料</w:t>
                              </w:r>
                            </w:p>
                          </w:txbxContent>
                        </v:textbox>
                      </v:shape>
                      <v:line id="直线 153" o:spid="_x0000_s1026" o:spt="20" style="position:absolute;left:7876;top:160663;height:318;width:8;"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54" o:spid="_x0000_s1026" o:spt="20" style="position:absolute;left:8400;top:160417;height:1;width:840;" filled="f" stroked="t" coordsize="21600,21600" o:gfxdata="UEsDBAoAAAAAAIdO4kAAAAAAAAAAAAAAAAAEAAAAZHJzL1BLAwQUAAAACACHTuJANgovg7oAAADc&#10;AAAADwAAAGRycy9kb3ducmV2LnhtbEWPS4sCQQyE74L/oYngTXsUXWS0FVlQ9Liu4DVMZx44nR6n&#10;s75+/bYgeEuoqi+VxeruanWlNlSeDYyGCSjizNuKCwPH381gBioIssXaMxl4UIDVsttZYGr9jX/o&#10;epBCRQiHFA2UIk2qdchKchiGviGOWu5bhxLXttC2xVuEu1qPk+RLO6w4Xiixoe+SsvPhz0XKWvZb&#10;mmq9eeZy4eLk1nm+NabfGyVzUEJ3+Zjf6Z2N9ccTeD0TJ9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Ci+DugAAANwA&#10;AAAPAAAAAAAAAAEAIAAAACIAAABkcnMvZG93bnJldi54bWxQSwECFAAUAAAACACHTuJAMy8FnjsA&#10;AAA5AAAAEAAAAAAAAAABACAAAAAJAQAAZHJzL3NoYXBleG1sLnhtbFBLBQYAAAAABgAGAFsBAACz&#10;AwAAAAA=&#10;">
                        <v:fill on="f" focussize="0,0"/>
                        <v:stroke color="#000000" joinstyle="round" dashstyle="dash" startarrowwidth="narrow" endarrow="block"/>
                        <v:imagedata o:title=""/>
                        <o:lock v:ext="edit" aspectratio="f"/>
                      </v:line>
                      <v:shape id="文本框 155" o:spid="_x0000_s1026" o:spt="202" type="#_x0000_t202" style="position:absolute;left:9265;top:160222;height:476;width:1061;"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25C4900">
                              <w:pPr>
                                <w:rPr>
                                  <w:rFonts w:hint="default" w:eastAsia="宋体"/>
                                  <w:lang w:val="en-US" w:eastAsia="zh-CN"/>
                                </w:rPr>
                              </w:pPr>
                              <w:r>
                                <w:rPr>
                                  <w:rFonts w:hint="eastAsia"/>
                                  <w:lang w:val="en-US" w:eastAsia="zh-CN"/>
                                </w:rPr>
                                <w:t>G2粉尘</w:t>
                              </w:r>
                            </w:p>
                          </w:txbxContent>
                        </v:textbox>
                      </v:shape>
                      <v:line id="直线 157" o:spid="_x0000_s1026" o:spt="20" style="position:absolute;left:6467;top:163197;height:450;width:1;" filled="f" stroked="t" coordsize="21600,21600" o:gfxdata="UEsDBAoAAAAAAIdO4kAAAAAAAAAAAAAAAAAEAAAAZHJzL1BLAwQUAAAACACHTuJA+S4307wAAADc&#10;AAAADwAAAGRycy9kb3ducmV2LnhtbEVPS2vCQBC+F/oflil4qxtFQkldhT4E7cla6XmanWZDs7Mh&#10;O8bYX+8Kgrf5+J4zXw6+UT11sQ5sYDLOQBGXwdZcGdh/rR6fQEVBttgEJgMnirBc3N/NsbDhyJ/U&#10;76RSKYRjgQacSFtoHUtHHuM4tMSJ+w2dR0mwq7Tt8JjCfaOnWZZrjzWnBoctvToq/3YHb+B7tn2R&#10;j7UMs/fV/kf+34ZNnztjRg+T7BmU0CA38dW9tmn+NIfLM+kCvT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uN9O8AAAA&#10;3AAAAA8AAAAAAAAAAQAgAAAAIgAAAGRycy9kb3ducmV2LnhtbFBLAQIUABQAAAAIAIdO4kAzLwWe&#10;OwAAADkAAAAQAAAAAAAAAAEAIAAAAAsBAABkcnMvc2hhcGV4bWwueG1sUEsFBgAAAAAGAAYAWwEA&#10;ALUDAAAAAA==&#10;">
                        <v:fill on="f" focussize="0,0"/>
                        <v:stroke color="#4F81BD" joinstyle="round"/>
                        <v:imagedata o:title=""/>
                        <o:lock v:ext="edit" aspectratio="f"/>
                      </v:line>
                      <v:line id="直线 158" o:spid="_x0000_s1026" o:spt="20" style="position:absolute;left:6464;top:163647;flip:y;height:9;width:872;" filled="f" stroked="t" coordsize="21600,21600" o:gfxdata="UEsDBAoAAAAAAIdO4kAAAAAAAAAAAAAAAAAEAAAAZHJzL1BLAwQUAAAACACHTuJAIVdVNbsAAADc&#10;AAAADwAAAGRycy9kb3ducmV2LnhtbEVPS4vCMBC+C/6HMMJeZJvag0rXKCII7mVXqwePQzM2xWZS&#10;m/jYf78RBG/z8T1ntnjYRtyo87VjBaMkBUFcOl1zpeCwX39OQfiArLFxTAr+yMNi3u/NMNfuzju6&#10;FaESMYR9jgpMCG0upS8NWfSJa4kjd3KdxRBhV0nd4T2G20ZmaTqWFmuODQZbWhkqz8XVKlheL8Mi&#10;C8ff7c/3NjNcYLMejpX6GIzSLxCBHuEtfrk3Os7PJvB8Jl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dVNbsAAADc&#10;AAAADwAAAAAAAAABACAAAAAiAAAAZHJzL2Rvd25yZXYueG1sUEsBAhQAFAAAAAgAh07iQDMvBZ47&#10;AAAAOQAAABAAAAAAAAAAAQAgAAAACgEAAGRycy9zaGFwZXhtbC54bWxQSwUGAAAAAAYABgBbAQAA&#10;tAMAAAAA&#10;">
                        <v:fill on="f" focussize="0,0"/>
                        <v:stroke color="#0070C0" joinstyle="round" dashstyle="dash" endarrow="block"/>
                        <v:imagedata o:title=""/>
                        <o:lock v:ext="edit" aspectratio="f"/>
                      </v:line>
                      <v:shape id="文本框 159" o:spid="_x0000_s1026" o:spt="202" type="#_x0000_t202" style="position:absolute;left:5509;top:162862;height:330;width:1533;"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5E63F6">
                              <w:pPr>
                                <w:rPr>
                                  <w:rFonts w:hint="default" w:eastAsia="宋体"/>
                                  <w:lang w:val="en-US" w:eastAsia="zh-CN"/>
                                </w:rPr>
                              </w:pPr>
                              <w:r>
                                <w:rPr>
                                  <w:rFonts w:hint="eastAsia"/>
                                  <w:lang w:val="en-US" w:eastAsia="zh-CN"/>
                                </w:rPr>
                                <w:t>间接循环冷却水</w:t>
                              </w:r>
                            </w:p>
                          </w:txbxContent>
                        </v:textbox>
                      </v:shape>
                    </v:group>
                  </w:pict>
                </mc:Fallback>
              </mc:AlternateContent>
            </w:r>
          </w:p>
          <w:p w14:paraId="431EC38A">
            <w:pPr>
              <w:pStyle w:val="84"/>
              <w:ind w:firstLine="0" w:firstLineChars="0"/>
              <w:jc w:val="center"/>
              <w:rPr>
                <w:color w:val="auto"/>
                <w:lang w:val="en-US" w:eastAsia="zh-CN"/>
              </w:rPr>
            </w:pPr>
          </w:p>
          <w:p w14:paraId="764B1956">
            <w:pPr>
              <w:pStyle w:val="84"/>
              <w:ind w:firstLine="0" w:firstLineChars="0"/>
              <w:jc w:val="center"/>
              <w:rPr>
                <w:color w:val="auto"/>
                <w:lang w:val="en-US" w:eastAsia="zh-CN"/>
              </w:rPr>
            </w:pPr>
          </w:p>
          <w:p w14:paraId="6B84D116">
            <w:pPr>
              <w:pStyle w:val="84"/>
              <w:ind w:firstLine="0" w:firstLineChars="0"/>
              <w:jc w:val="center"/>
              <w:rPr>
                <w:color w:val="auto"/>
                <w:lang w:val="en-US" w:eastAsia="zh-CN"/>
              </w:rPr>
            </w:pPr>
          </w:p>
          <w:p w14:paraId="7C15D6A4">
            <w:pPr>
              <w:pStyle w:val="84"/>
              <w:ind w:firstLine="0" w:firstLineChars="0"/>
              <w:jc w:val="center"/>
              <w:rPr>
                <w:color w:val="auto"/>
                <w:lang w:val="en-US" w:eastAsia="zh-CN"/>
              </w:rPr>
            </w:pPr>
          </w:p>
          <w:p w14:paraId="20AFC372">
            <w:pPr>
              <w:pStyle w:val="84"/>
              <w:ind w:firstLine="0" w:firstLineChars="0"/>
              <w:jc w:val="center"/>
              <w:rPr>
                <w:color w:val="auto"/>
                <w:lang w:val="en-US" w:eastAsia="zh-CN"/>
              </w:rPr>
            </w:pPr>
          </w:p>
          <w:p w14:paraId="28963A0F">
            <w:pPr>
              <w:pStyle w:val="84"/>
              <w:ind w:firstLine="0" w:firstLineChars="0"/>
              <w:jc w:val="center"/>
              <w:rPr>
                <w:color w:val="auto"/>
                <w:lang w:val="en-US" w:eastAsia="zh-CN"/>
              </w:rPr>
            </w:pPr>
          </w:p>
          <w:p w14:paraId="6E717907">
            <w:pPr>
              <w:pStyle w:val="84"/>
              <w:ind w:firstLine="0" w:firstLineChars="0"/>
              <w:jc w:val="center"/>
              <w:rPr>
                <w:color w:val="auto"/>
                <w:lang w:val="en-US" w:eastAsia="zh-CN"/>
              </w:rPr>
            </w:pPr>
          </w:p>
          <w:p w14:paraId="0F3A6189">
            <w:pPr>
              <w:pStyle w:val="84"/>
              <w:ind w:firstLine="0" w:firstLineChars="0"/>
              <w:jc w:val="center"/>
              <w:rPr>
                <w:color w:val="auto"/>
                <w:lang w:val="en-US" w:eastAsia="zh-CN"/>
              </w:rPr>
            </w:pPr>
          </w:p>
          <w:p w14:paraId="09D706D2">
            <w:pPr>
              <w:pStyle w:val="84"/>
              <w:ind w:firstLine="0" w:firstLineChars="0"/>
              <w:jc w:val="center"/>
              <w:rPr>
                <w:color w:val="auto"/>
                <w:lang w:val="en-US" w:eastAsia="zh-CN"/>
              </w:rPr>
            </w:pPr>
          </w:p>
          <w:p w14:paraId="65EAD92A">
            <w:pPr>
              <w:pStyle w:val="84"/>
              <w:ind w:firstLine="0" w:firstLineChars="0"/>
              <w:jc w:val="center"/>
              <w:rPr>
                <w:color w:val="auto"/>
                <w:lang w:val="en-US" w:eastAsia="zh-CN"/>
              </w:rPr>
            </w:pPr>
          </w:p>
          <w:p w14:paraId="0DDE47CF">
            <w:pPr>
              <w:pStyle w:val="84"/>
              <w:ind w:firstLine="0" w:firstLineChars="0"/>
              <w:jc w:val="center"/>
              <w:rPr>
                <w:color w:val="auto"/>
                <w:lang w:val="en-US" w:eastAsia="zh-CN"/>
              </w:rPr>
            </w:pPr>
          </w:p>
          <w:p w14:paraId="364992DA">
            <w:pPr>
              <w:pStyle w:val="84"/>
              <w:ind w:firstLine="0" w:firstLineChars="0"/>
              <w:jc w:val="center"/>
              <w:rPr>
                <w:color w:val="auto"/>
                <w:lang w:val="en-US" w:eastAsia="zh-CN"/>
              </w:rPr>
            </w:pPr>
          </w:p>
          <w:p w14:paraId="003FE6EE">
            <w:pPr>
              <w:pStyle w:val="84"/>
              <w:ind w:firstLine="0" w:firstLineChars="0"/>
              <w:jc w:val="center"/>
              <w:rPr>
                <w:color w:val="auto"/>
                <w:lang w:val="en-US" w:eastAsia="zh-CN"/>
              </w:rPr>
            </w:pPr>
          </w:p>
          <w:p w14:paraId="551CD7D4">
            <w:pPr>
              <w:pStyle w:val="84"/>
              <w:ind w:firstLine="0" w:firstLineChars="0"/>
              <w:jc w:val="center"/>
              <w:rPr>
                <w:color w:val="auto"/>
                <w:lang w:val="en-US" w:eastAsia="zh-CN"/>
              </w:rPr>
            </w:pPr>
          </w:p>
          <w:p w14:paraId="297843D8">
            <w:pPr>
              <w:pStyle w:val="84"/>
              <w:ind w:firstLine="0" w:firstLineChars="0"/>
              <w:jc w:val="center"/>
              <w:rPr>
                <w:color w:val="auto"/>
                <w:lang w:val="en-US" w:eastAsia="zh-CN"/>
              </w:rPr>
            </w:pPr>
          </w:p>
          <w:p w14:paraId="4ADE6B6A">
            <w:pPr>
              <w:pStyle w:val="84"/>
              <w:ind w:firstLine="0" w:firstLineChars="0"/>
              <w:jc w:val="center"/>
              <w:rPr>
                <w:color w:val="auto"/>
                <w:lang w:val="en-US" w:eastAsia="zh-CN"/>
              </w:rPr>
            </w:pPr>
          </w:p>
          <w:p w14:paraId="6C5B65A6">
            <w:pPr>
              <w:pStyle w:val="84"/>
              <w:ind w:firstLine="0" w:firstLineChars="0"/>
              <w:jc w:val="center"/>
              <w:rPr>
                <w:color w:val="auto"/>
                <w:lang w:val="en-US" w:eastAsia="zh-CN"/>
              </w:rPr>
            </w:pPr>
          </w:p>
          <w:p w14:paraId="0E8EAD6C">
            <w:pPr>
              <w:pStyle w:val="84"/>
              <w:ind w:firstLine="0" w:firstLineChars="0"/>
              <w:jc w:val="center"/>
              <w:rPr>
                <w:color w:val="auto"/>
                <w:lang w:val="en-US" w:eastAsia="zh-CN"/>
              </w:rPr>
            </w:pPr>
          </w:p>
          <w:p w14:paraId="441F2BF2">
            <w:pPr>
              <w:pStyle w:val="84"/>
              <w:ind w:firstLine="0" w:firstLineChars="0"/>
              <w:jc w:val="center"/>
              <w:rPr>
                <w:color w:val="auto"/>
                <w:lang w:val="en-US" w:eastAsia="zh-CN"/>
              </w:rPr>
            </w:pPr>
          </w:p>
          <w:p w14:paraId="131E1EDF">
            <w:pPr>
              <w:pStyle w:val="84"/>
              <w:ind w:firstLine="0" w:firstLineChars="0"/>
              <w:jc w:val="center"/>
              <w:rPr>
                <w:color w:val="auto"/>
                <w:lang w:val="en-US" w:eastAsia="zh-CN"/>
              </w:rPr>
            </w:pPr>
          </w:p>
          <w:p w14:paraId="023F62AB">
            <w:pPr>
              <w:pStyle w:val="84"/>
              <w:ind w:firstLine="0" w:firstLineChars="0"/>
              <w:jc w:val="center"/>
              <w:rPr>
                <w:color w:val="auto"/>
                <w:lang w:val="en-US" w:eastAsia="zh-CN"/>
              </w:rPr>
            </w:pPr>
          </w:p>
          <w:p w14:paraId="335D72A6">
            <w:pPr>
              <w:pStyle w:val="84"/>
              <w:ind w:firstLine="0" w:firstLineChars="0"/>
              <w:jc w:val="center"/>
              <w:rPr>
                <w:color w:val="auto"/>
                <w:lang w:val="en-US" w:eastAsia="zh-CN"/>
              </w:rPr>
            </w:pPr>
          </w:p>
          <w:p w14:paraId="32F48EE1">
            <w:pPr>
              <w:pStyle w:val="84"/>
              <w:ind w:firstLine="0" w:firstLineChars="0"/>
              <w:jc w:val="center"/>
              <w:rPr>
                <w:color w:val="auto"/>
                <w:lang w:val="en-US" w:eastAsia="zh-CN"/>
              </w:rPr>
            </w:pPr>
          </w:p>
          <w:p w14:paraId="42560ECE">
            <w:pPr>
              <w:pStyle w:val="84"/>
              <w:ind w:firstLine="0" w:firstLineChars="0"/>
              <w:jc w:val="center"/>
              <w:rPr>
                <w:color w:val="auto"/>
                <w:lang w:val="en-US" w:eastAsia="zh-CN"/>
              </w:rPr>
            </w:pPr>
          </w:p>
          <w:p w14:paraId="7F3AEF28">
            <w:pPr>
              <w:pStyle w:val="84"/>
              <w:ind w:firstLine="422"/>
              <w:jc w:val="center"/>
              <w:rPr>
                <w:rFonts w:hint="eastAsia"/>
                <w:b/>
                <w:bCs w:val="0"/>
                <w:color w:val="auto"/>
                <w:lang w:val="en-US" w:eastAsia="zh-CN"/>
              </w:rPr>
            </w:pPr>
          </w:p>
          <w:p w14:paraId="064027F1">
            <w:pPr>
              <w:pStyle w:val="84"/>
              <w:ind w:firstLine="422"/>
              <w:jc w:val="center"/>
              <w:rPr>
                <w:rFonts w:hint="eastAsia"/>
                <w:b/>
                <w:bCs w:val="0"/>
                <w:color w:val="auto"/>
                <w:lang w:val="en-US" w:eastAsia="zh-CN"/>
              </w:rPr>
            </w:pPr>
          </w:p>
          <w:p w14:paraId="58D2FA40">
            <w:pPr>
              <w:pStyle w:val="84"/>
              <w:ind w:firstLine="422"/>
              <w:jc w:val="center"/>
              <w:rPr>
                <w:rFonts w:hint="eastAsia"/>
                <w:b/>
                <w:bCs w:val="0"/>
                <w:color w:val="auto"/>
                <w:lang w:val="en-US" w:eastAsia="zh-CN"/>
              </w:rPr>
            </w:pPr>
          </w:p>
          <w:p w14:paraId="4C1655DA">
            <w:pPr>
              <w:pStyle w:val="84"/>
              <w:ind w:firstLine="422"/>
              <w:jc w:val="center"/>
              <w:rPr>
                <w:b/>
                <w:bCs w:val="0"/>
                <w:color w:val="auto"/>
                <w:lang w:val="en-US" w:eastAsia="zh-CN"/>
              </w:rPr>
            </w:pPr>
            <w:r>
              <w:rPr>
                <w:rFonts w:hint="eastAsia"/>
                <w:b/>
                <w:bCs w:val="0"/>
                <w:color w:val="auto"/>
                <w:lang w:val="en-US" w:eastAsia="zh-CN"/>
              </w:rPr>
              <w:t>图</w:t>
            </w:r>
            <w:r>
              <w:rPr>
                <w:b/>
                <w:bCs w:val="0"/>
                <w:color w:val="auto"/>
                <w:lang w:val="en-US" w:eastAsia="zh-CN"/>
              </w:rPr>
              <w:t>2</w:t>
            </w:r>
            <w:r>
              <w:rPr>
                <w:rFonts w:hint="eastAsia"/>
                <w:b/>
                <w:bCs w:val="0"/>
                <w:color w:val="auto"/>
                <w:lang w:val="en-US" w:eastAsia="zh-CN"/>
              </w:rPr>
              <w:t>-</w:t>
            </w:r>
            <w:r>
              <w:rPr>
                <w:b/>
                <w:bCs w:val="0"/>
                <w:color w:val="auto"/>
                <w:lang w:val="en-US" w:eastAsia="zh-CN"/>
              </w:rPr>
              <w:t>3</w:t>
            </w:r>
            <w:r>
              <w:rPr>
                <w:rFonts w:hint="eastAsia"/>
                <w:b/>
                <w:bCs w:val="0"/>
                <w:color w:val="auto"/>
                <w:lang w:val="en-US" w:eastAsia="zh-CN"/>
              </w:rPr>
              <w:t xml:space="preserve">  </w:t>
            </w:r>
            <w:r>
              <w:rPr>
                <w:rFonts w:hint="eastAsia"/>
                <w:b/>
                <w:bCs w:val="0"/>
                <w:color w:val="auto"/>
                <w:lang w:val="en-US" w:eastAsia="zh-CN"/>
              </w:rPr>
              <w:t>日用玻璃制品</w:t>
            </w:r>
            <w:r>
              <w:rPr>
                <w:rFonts w:hint="eastAsia"/>
                <w:b/>
                <w:bCs w:val="0"/>
                <w:color w:val="auto"/>
                <w:lang w:val="en-US" w:eastAsia="zh-CN"/>
              </w:rPr>
              <w:t>生产工艺流程及产污节点图</w:t>
            </w:r>
          </w:p>
          <w:p w14:paraId="27404C65">
            <w:pPr>
              <w:pStyle w:val="84"/>
              <w:ind w:firstLine="422"/>
              <w:rPr>
                <w:b/>
                <w:bCs w:val="0"/>
                <w:color w:val="auto"/>
                <w:lang w:val="en-US" w:eastAsia="zh-CN"/>
              </w:rPr>
            </w:pPr>
            <w:r>
              <w:rPr>
                <w:b/>
                <w:bCs w:val="0"/>
                <w:color w:val="auto"/>
                <w:lang w:val="en-US" w:eastAsia="zh-CN"/>
              </w:rPr>
              <w:t>工艺流程简述：</w:t>
            </w:r>
          </w:p>
          <w:p w14:paraId="225E92A1">
            <w:pPr>
              <w:pStyle w:val="21"/>
              <w:spacing w:after="0" w:line="360" w:lineRule="auto"/>
              <w:ind w:left="0" w:leftChars="0" w:firstLine="420" w:firstLineChars="200"/>
              <w:rPr>
                <w:rFonts w:ascii="Times New Roman" w:hAnsi="Times New Roman" w:cs="Times New Roman"/>
                <w:color w:val="auto"/>
                <w:sz w:val="21"/>
                <w:szCs w:val="21"/>
              </w:rPr>
            </w:pPr>
            <w:bookmarkStart w:id="7" w:name="_Hlk14335476"/>
            <w:r>
              <w:rPr>
                <w:rFonts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入库</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各类原辅料经汽车运输至厂区内原料库，吨袋包装物料采用叉车搬运至指定位置，散装物料倒至指定的区域内下料</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该工序产生的主要</w:t>
            </w:r>
            <w:r>
              <w:rPr>
                <w:rFonts w:ascii="Times New Roman" w:hAnsi="Times New Roman" w:cs="Times New Roman"/>
                <w:color w:val="auto"/>
                <w:sz w:val="21"/>
                <w:szCs w:val="21"/>
              </w:rPr>
              <w:t>污染物为</w:t>
            </w:r>
            <w:r>
              <w:rPr>
                <w:rFonts w:hint="eastAsia" w:ascii="Times New Roman" w:hAnsi="Times New Roman" w:cs="Times New Roman"/>
                <w:color w:val="auto"/>
                <w:sz w:val="21"/>
                <w:szCs w:val="21"/>
                <w:lang w:val="en-US" w:eastAsia="zh-CN"/>
              </w:rPr>
              <w:t>G1下料</w:t>
            </w:r>
            <w:r>
              <w:rPr>
                <w:rFonts w:ascii="Times New Roman" w:hAnsi="Times New Roman" w:cs="Times New Roman"/>
                <w:color w:val="auto"/>
                <w:sz w:val="21"/>
                <w:szCs w:val="21"/>
              </w:rPr>
              <w:t>粉尘。</w:t>
            </w:r>
          </w:p>
          <w:p w14:paraId="50526C52">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上料</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上料过程位于密闭原料库内，物料在原料库内采取铲车上料至上料机料斗内，吨袋包装物料采用叉车运输至上料机内倒入料斗内，物料经过密闭输送带进入混料系统内，</w:t>
            </w:r>
            <w:r>
              <w:rPr>
                <w:rFonts w:ascii="Times New Roman" w:hAnsi="Times New Roman" w:cs="Times New Roman"/>
                <w:color w:val="auto"/>
                <w:sz w:val="21"/>
                <w:szCs w:val="21"/>
              </w:rPr>
              <w:t>采用自动控制系统，将原料按配比</w:t>
            </w:r>
            <w:r>
              <w:rPr>
                <w:rFonts w:hint="eastAsia" w:ascii="Times New Roman" w:hAnsi="Times New Roman" w:cs="Times New Roman"/>
                <w:color w:val="auto"/>
                <w:sz w:val="21"/>
                <w:szCs w:val="21"/>
                <w:lang w:val="en-US" w:eastAsia="zh-CN"/>
              </w:rPr>
              <w:t>所需用量分别输送至混料机内</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上料工序</w:t>
            </w:r>
            <w:r>
              <w:rPr>
                <w:rFonts w:ascii="Times New Roman" w:hAnsi="Times New Roman" w:cs="Times New Roman"/>
                <w:color w:val="auto"/>
                <w:sz w:val="21"/>
                <w:szCs w:val="21"/>
              </w:rPr>
              <w:t>产生的主要污染物为</w:t>
            </w:r>
            <w:r>
              <w:rPr>
                <w:rFonts w:hint="eastAsia" w:ascii="Times New Roman" w:hAnsi="Times New Roman" w:cs="Times New Roman"/>
                <w:color w:val="auto"/>
                <w:sz w:val="21"/>
                <w:szCs w:val="21"/>
                <w:lang w:val="en-US" w:eastAsia="zh-CN"/>
              </w:rPr>
              <w:t>G2</w:t>
            </w:r>
            <w:r>
              <w:rPr>
                <w:rFonts w:ascii="Times New Roman" w:hAnsi="Times New Roman" w:cs="Times New Roman"/>
                <w:color w:val="auto"/>
                <w:sz w:val="21"/>
                <w:szCs w:val="21"/>
              </w:rPr>
              <w:t>粉尘。</w:t>
            </w:r>
          </w:p>
          <w:p w14:paraId="51ADF07D">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混料、投料</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物料进入混料机密闭料斗内进行搅拌，料斗旁设集气管道吸收产生粉尘，物料经过三级搅拌均化后进入输送装置进入熔窑</w:t>
            </w:r>
            <w:r>
              <w:rPr>
                <w:rFonts w:ascii="Times New Roman" w:hAnsi="Times New Roman" w:cs="Times New Roman"/>
                <w:color w:val="auto"/>
                <w:sz w:val="21"/>
                <w:szCs w:val="21"/>
              </w:rPr>
              <w:t>对配料的物料用搅拌机进行搅拌</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搅拌均匀物料经过密闭输送带输送至投料斗内</w:t>
            </w:r>
            <w:r>
              <w:rPr>
                <w:rFonts w:ascii="Times New Roman" w:hAnsi="Times New Roman" w:cs="Times New Roman"/>
                <w:color w:val="auto"/>
                <w:sz w:val="21"/>
                <w:szCs w:val="21"/>
              </w:rPr>
              <w:t>。产生的主要污染物为</w:t>
            </w:r>
            <w:r>
              <w:rPr>
                <w:rFonts w:hint="eastAsia" w:ascii="Times New Roman" w:hAnsi="Times New Roman" w:cs="Times New Roman"/>
                <w:color w:val="auto"/>
                <w:sz w:val="21"/>
                <w:szCs w:val="21"/>
                <w:lang w:val="en-US" w:eastAsia="zh-CN"/>
              </w:rPr>
              <w:t>G3</w:t>
            </w:r>
            <w:r>
              <w:rPr>
                <w:rFonts w:ascii="Times New Roman" w:hAnsi="Times New Roman" w:cs="Times New Roman"/>
                <w:color w:val="auto"/>
                <w:sz w:val="21"/>
                <w:szCs w:val="21"/>
              </w:rPr>
              <w:t>粉尘。</w:t>
            </w:r>
          </w:p>
          <w:p w14:paraId="2C235CF2">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ascii="Times New Roman" w:hAnsi="Times New Roman" w:cs="Times New Roman"/>
                <w:color w:val="auto"/>
                <w:sz w:val="21"/>
                <w:szCs w:val="21"/>
              </w:rPr>
            </w:pPr>
            <w:r>
              <w:rPr>
                <w:rFonts w:ascii="Times New Roman" w:hAnsi="Times New Roman" w:cs="Times New Roman"/>
                <w:color w:val="auto"/>
                <w:sz w:val="21"/>
                <w:szCs w:val="21"/>
              </w:rPr>
              <w:t>（3）熔化：将搅拌均匀的原料</w:t>
            </w:r>
            <w:r>
              <w:rPr>
                <w:rFonts w:hint="eastAsia" w:ascii="Times New Roman" w:hAnsi="Times New Roman" w:cs="Times New Roman"/>
                <w:color w:val="auto"/>
                <w:sz w:val="21"/>
                <w:szCs w:val="21"/>
                <w:lang w:val="en-US" w:eastAsia="zh-CN"/>
              </w:rPr>
              <w:t>经熔窑加料口送</w:t>
            </w:r>
            <w:r>
              <w:rPr>
                <w:rFonts w:ascii="Times New Roman" w:hAnsi="Times New Roman" w:cs="Times New Roman"/>
                <w:color w:val="auto"/>
                <w:sz w:val="21"/>
                <w:szCs w:val="21"/>
              </w:rPr>
              <w:t>入玻璃熔窑内</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经过高温加热，形成均匀的无气泡的玻璃液。玻璃料在熔窑内熔制</w:t>
            </w:r>
            <w:r>
              <w:rPr>
                <w:rFonts w:ascii="Times New Roman" w:hAnsi="Times New Roman" w:eastAsia="宋体" w:cs="Times New Roman"/>
                <w:bCs/>
                <w:color w:val="auto"/>
                <w:sz w:val="21"/>
                <w:szCs w:val="21"/>
              </w:rPr>
              <w:t>，明火在玻璃液面上部加热。熔制温度约1300~1600°C。通过池窑全面保温、增大蓄热室格子砖容量、改善料堆分布、提高燃烧效率和控制玻璃液对流等措施，有效地节约能源</w:t>
            </w:r>
            <w:r>
              <w:rPr>
                <w:rFonts w:hint="eastAsia" w:ascii="Times New Roman" w:hAnsi="Times New Roman" w:eastAsia="宋体" w:cs="Times New Roman"/>
                <w:bCs/>
                <w:color w:val="auto"/>
                <w:sz w:val="21"/>
                <w:szCs w:val="21"/>
                <w:lang w:eastAsia="zh-CN"/>
              </w:rPr>
              <w:t>。</w:t>
            </w:r>
            <w:r>
              <w:rPr>
                <w:rFonts w:ascii="Times New Roman" w:hAnsi="Times New Roman" w:cs="Times New Roman"/>
                <w:color w:val="auto"/>
                <w:sz w:val="21"/>
                <w:szCs w:val="21"/>
              </w:rPr>
              <w:t>玻璃熔窑热源使用</w:t>
            </w:r>
            <w:r>
              <w:rPr>
                <w:rFonts w:hint="eastAsia" w:ascii="Times New Roman" w:hAnsi="Times New Roman" w:cs="Times New Roman"/>
                <w:color w:val="auto"/>
                <w:sz w:val="21"/>
                <w:szCs w:val="21"/>
                <w:lang w:val="en-US" w:eastAsia="zh-CN"/>
              </w:rPr>
              <w:t>天然气</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熔化工序</w:t>
            </w:r>
            <w:r>
              <w:rPr>
                <w:rFonts w:ascii="Times New Roman" w:hAnsi="Times New Roman" w:cs="Times New Roman"/>
                <w:color w:val="auto"/>
                <w:sz w:val="21"/>
                <w:szCs w:val="21"/>
              </w:rPr>
              <w:t>主要污染物</w:t>
            </w:r>
            <w:r>
              <w:rPr>
                <w:rFonts w:hint="eastAsia" w:ascii="Times New Roman" w:hAnsi="Times New Roman" w:cs="Times New Roman"/>
                <w:color w:val="auto"/>
                <w:sz w:val="21"/>
                <w:szCs w:val="21"/>
                <w:lang w:val="en-US" w:eastAsia="zh-CN"/>
              </w:rPr>
              <w:t>G4颗粒物、</w:t>
            </w: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、NOx。</w:t>
            </w:r>
          </w:p>
          <w:p w14:paraId="0C0ADFA9">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（4）供料：将熔化后的玻璃液倒入供料机内，为下一步成型做准备。</w:t>
            </w:r>
          </w:p>
          <w:p w14:paraId="3A42C73E">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（5）成型：将</w:t>
            </w:r>
            <w:r>
              <w:rPr>
                <w:rFonts w:hint="eastAsia" w:ascii="Times New Roman" w:hAnsi="Times New Roman" w:cs="Times New Roman"/>
                <w:color w:val="auto"/>
                <w:sz w:val="21"/>
                <w:szCs w:val="21"/>
                <w:lang w:val="en-US" w:eastAsia="zh-CN"/>
              </w:rPr>
              <w:t>玻璃</w:t>
            </w:r>
            <w:r>
              <w:rPr>
                <w:rFonts w:ascii="Times New Roman" w:hAnsi="Times New Roman" w:cs="Times New Roman"/>
                <w:color w:val="auto"/>
                <w:sz w:val="21"/>
                <w:szCs w:val="21"/>
              </w:rPr>
              <w:t>液倒入铸铁模具后，</w:t>
            </w:r>
            <w:r>
              <w:rPr>
                <w:rFonts w:hint="eastAsia" w:ascii="Times New Roman" w:hAnsi="Times New Roman" w:cs="Times New Roman"/>
                <w:color w:val="auto"/>
                <w:sz w:val="21"/>
                <w:szCs w:val="21"/>
                <w:lang w:val="en-US" w:eastAsia="zh-CN"/>
              </w:rPr>
              <w:t>利用液化石油气、空气燃烧火焰对液体进行吹击，确保充满整个模具，</w:t>
            </w:r>
            <w:r>
              <w:rPr>
                <w:rFonts w:ascii="Times New Roman" w:hAnsi="Times New Roman" w:cs="Times New Roman"/>
                <w:color w:val="auto"/>
                <w:sz w:val="21"/>
                <w:szCs w:val="21"/>
              </w:rPr>
              <w:t>使用挤压成型机进行挤压成型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挤压杆内为冷却水</w:t>
            </w:r>
            <w:r>
              <w:rPr>
                <w:rFonts w:ascii="Times New Roman" w:hAnsi="Times New Roman" w:cs="Times New Roman"/>
                <w:color w:val="auto"/>
                <w:sz w:val="21"/>
                <w:szCs w:val="21"/>
              </w:rPr>
              <w:t>。产生的主要污染物为噪声、工艺冷却水</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G5燃烧废气</w:t>
            </w:r>
            <w:r>
              <w:rPr>
                <w:rFonts w:ascii="Times New Roman" w:hAnsi="Times New Roman" w:cs="Times New Roman"/>
                <w:color w:val="auto"/>
                <w:sz w:val="21"/>
                <w:szCs w:val="21"/>
              </w:rPr>
              <w:t>。</w:t>
            </w:r>
          </w:p>
          <w:p w14:paraId="725BD68B">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（6）烘口：</w:t>
            </w:r>
            <w:r>
              <w:rPr>
                <w:rFonts w:hint="eastAsia" w:ascii="Times New Roman" w:hAnsi="Times New Roman" w:cs="Times New Roman"/>
                <w:color w:val="auto"/>
                <w:sz w:val="21"/>
                <w:szCs w:val="21"/>
                <w:lang w:val="en-US" w:eastAsia="zh-CN"/>
              </w:rPr>
              <w:t>采用天然气</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氧气</w:t>
            </w:r>
            <w:r>
              <w:rPr>
                <w:rFonts w:ascii="Times New Roman" w:hAnsi="Times New Roman" w:cs="Times New Roman"/>
                <w:color w:val="auto"/>
                <w:sz w:val="21"/>
                <w:szCs w:val="21"/>
              </w:rPr>
              <w:t>使用烘口机将半成品进行烘口处理</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产生的主要污染物为</w:t>
            </w:r>
            <w:r>
              <w:rPr>
                <w:rFonts w:hint="eastAsia" w:ascii="Times New Roman" w:hAnsi="Times New Roman" w:cs="Times New Roman"/>
                <w:color w:val="auto"/>
                <w:sz w:val="21"/>
                <w:szCs w:val="21"/>
                <w:lang w:val="en-US" w:eastAsia="zh-CN"/>
              </w:rPr>
              <w:t>G6燃烧废气</w:t>
            </w:r>
            <w:r>
              <w:rPr>
                <w:rFonts w:ascii="Times New Roman" w:hAnsi="Times New Roman" w:cs="Times New Roman"/>
                <w:color w:val="auto"/>
                <w:sz w:val="21"/>
                <w:szCs w:val="21"/>
              </w:rPr>
              <w:t>。</w:t>
            </w:r>
          </w:p>
          <w:p w14:paraId="591FD205">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（7）抛光：</w:t>
            </w:r>
            <w:r>
              <w:rPr>
                <w:rFonts w:hint="eastAsia" w:ascii="Times New Roman" w:hAnsi="Times New Roman" w:cs="Times New Roman"/>
                <w:color w:val="auto"/>
                <w:sz w:val="21"/>
                <w:szCs w:val="21"/>
                <w:lang w:val="en-US" w:eastAsia="zh-CN"/>
              </w:rPr>
              <w:t>模具内倒出半成品利用燃烧喷嘴火焰抛光，燃料采用天然气</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氧气。</w:t>
            </w:r>
            <w:r>
              <w:rPr>
                <w:rFonts w:ascii="Times New Roman" w:hAnsi="Times New Roman" w:cs="Times New Roman"/>
                <w:color w:val="auto"/>
                <w:sz w:val="21"/>
                <w:szCs w:val="21"/>
              </w:rPr>
              <w:t>抛光</w:t>
            </w:r>
            <w:r>
              <w:rPr>
                <w:rFonts w:hint="eastAsia" w:ascii="Times New Roman" w:hAnsi="Times New Roman" w:cs="Times New Roman"/>
                <w:color w:val="auto"/>
                <w:sz w:val="21"/>
                <w:szCs w:val="21"/>
                <w:lang w:val="en-US" w:eastAsia="zh-CN"/>
              </w:rPr>
              <w:t>产生G7燃烧废气</w:t>
            </w:r>
            <w:r>
              <w:rPr>
                <w:rFonts w:ascii="Times New Roman" w:hAnsi="Times New Roman" w:cs="Times New Roman"/>
                <w:color w:val="auto"/>
                <w:sz w:val="21"/>
                <w:szCs w:val="21"/>
              </w:rPr>
              <w:t>。</w:t>
            </w:r>
          </w:p>
          <w:p w14:paraId="09132C36">
            <w:pPr>
              <w:pStyle w:val="21"/>
              <w:spacing w:after="0" w:line="360" w:lineRule="auto"/>
              <w:ind w:left="0" w:leftChars="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（8）退火：为防止玻璃制品急剧降温后产生冷爆，将初步制成品进行退火处理。</w:t>
            </w:r>
          </w:p>
          <w:p w14:paraId="2810B8D2">
            <w:pPr>
              <w:pStyle w:val="21"/>
              <w:spacing w:after="0" w:line="360" w:lineRule="auto"/>
              <w:ind w:left="0" w:leftChars="0"/>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rPr>
              <w:t>为了清理玻璃中的应力</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必须把玻璃加热到低于玻璃转变温度附近某一温度进行保温均热</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以清理玻璃各部分的温度梯度</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使应力松弛</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这个选定的保温均热温度称玻璃的退火温度</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玻璃在退火温度下</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由于粘度很大还不会发生可测得的变形.玻璃的退火上限温度是指在此温度下经过3min能清理95%的应力</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退火下限温度是指在此温度下经3min只能清理5%的应力</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上下限退火温度之间为退火温度范围</w:t>
            </w:r>
            <w:r>
              <w:rPr>
                <w:rFonts w:hint="eastAsia" w:ascii="Times New Roman" w:hAnsi="Times New Roman" w:eastAsia="宋体" w:cs="Times New Roman"/>
                <w:bCs/>
                <w:color w:val="auto"/>
                <w:sz w:val="21"/>
                <w:szCs w:val="21"/>
                <w:lang w:eastAsia="zh-CN"/>
              </w:rPr>
              <w:t>。</w:t>
            </w:r>
          </w:p>
          <w:p w14:paraId="0F772F18">
            <w:pPr>
              <w:pStyle w:val="21"/>
              <w:spacing w:after="0" w:line="360" w:lineRule="auto"/>
              <w:ind w:left="0" w:leftChars="0" w:firstLine="420" w:firstLineChars="200"/>
              <w:rPr>
                <w:rFonts w:ascii="Times New Roman" w:hAnsi="Times New Roman" w:cs="Times New Roman"/>
                <w:color w:val="auto"/>
                <w:sz w:val="21"/>
                <w:szCs w:val="21"/>
              </w:rPr>
            </w:pPr>
            <w:r>
              <w:rPr>
                <w:rFonts w:hint="eastAsia" w:ascii="Times New Roman" w:hAnsi="Times New Roman" w:eastAsia="宋体" w:cs="Times New Roman"/>
                <w:bCs/>
                <w:color w:val="auto"/>
                <w:sz w:val="21"/>
                <w:szCs w:val="21"/>
              </w:rPr>
              <w:t>大部分器皿玻璃的退火上限温度为550±20℃</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平板玻璃为550~570℃、瓶罐玻璃为550~600℃</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实际上</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一般采用的退火温度都比退火上限温度低20~30℃</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低于退火上限温度50~150℃的为退火下限温度</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玻璃的退火温度与其化学组成有关</w:t>
            </w:r>
            <w:r>
              <w:rPr>
                <w:rFonts w:hint="eastAsia" w:ascii="Times New Roman" w:hAnsi="Times New Roman" w:eastAsia="宋体" w:cs="Times New Roman"/>
                <w:bCs/>
                <w:color w:val="auto"/>
                <w:sz w:val="21"/>
                <w:szCs w:val="21"/>
                <w:lang w:eastAsia="zh-CN"/>
              </w:rPr>
              <w:t>。</w:t>
            </w:r>
            <w:r>
              <w:rPr>
                <w:rFonts w:hint="eastAsia" w:ascii="Times New Roman" w:hAnsi="Times New Roman" w:cs="Times New Roman"/>
                <w:color w:val="auto"/>
                <w:sz w:val="21"/>
                <w:szCs w:val="21"/>
                <w:lang w:val="en-US" w:eastAsia="zh-CN"/>
              </w:rPr>
              <w:t>抛光过后制品进入退火炉内进行保温处理，</w:t>
            </w:r>
            <w:r>
              <w:rPr>
                <w:rFonts w:ascii="Times New Roman" w:hAnsi="Times New Roman" w:cs="Times New Roman"/>
                <w:color w:val="auto"/>
                <w:sz w:val="21"/>
                <w:szCs w:val="21"/>
              </w:rPr>
              <w:t>退火炉热源使用</w:t>
            </w:r>
            <w:r>
              <w:rPr>
                <w:rFonts w:hint="eastAsia" w:ascii="Times New Roman" w:hAnsi="Times New Roman" w:cs="Times New Roman"/>
                <w:color w:val="auto"/>
                <w:sz w:val="21"/>
                <w:szCs w:val="21"/>
                <w:lang w:val="en-US" w:eastAsia="zh-CN"/>
              </w:rPr>
              <w:t>天然气</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此工序产生燃烧废气G8</w:t>
            </w:r>
            <w:r>
              <w:rPr>
                <w:rFonts w:ascii="Times New Roman" w:hAnsi="Times New Roman" w:cs="Times New Roman"/>
                <w:color w:val="auto"/>
                <w:sz w:val="21"/>
                <w:szCs w:val="21"/>
              </w:rPr>
              <w:t>。</w:t>
            </w:r>
          </w:p>
          <w:p w14:paraId="3C42E628">
            <w:pPr>
              <w:pStyle w:val="21"/>
              <w:spacing w:after="0" w:line="360" w:lineRule="auto"/>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9</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检验：人工对产品外观检验，不合格产品直接破碎回用于熔化工序，作为配料使用。此工序产生S1不合格产品、破碎过程产生破碎粉尘G9。</w:t>
            </w:r>
          </w:p>
          <w:p w14:paraId="1211A33B">
            <w:pPr>
              <w:pStyle w:val="21"/>
              <w:spacing w:after="0" w:line="360" w:lineRule="auto"/>
              <w:ind w:left="0" w:leftChars="0"/>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包装：检验后合格产品则包装运至产品库。</w:t>
            </w:r>
          </w:p>
          <w:bookmarkEnd w:id="7"/>
          <w:p w14:paraId="55433BB9">
            <w:pPr>
              <w:pStyle w:val="84"/>
              <w:ind w:firstLine="422"/>
              <w:rPr>
                <w:b/>
                <w:bCs w:val="0"/>
                <w:color w:val="auto"/>
                <w:lang w:val="en-US" w:eastAsia="zh-CN"/>
              </w:rPr>
            </w:pPr>
            <w:r>
              <w:rPr>
                <w:rFonts w:hint="eastAsia"/>
                <w:b/>
                <w:bCs w:val="0"/>
                <w:color w:val="auto"/>
                <w:lang w:val="en-US" w:eastAsia="zh-CN"/>
              </w:rPr>
              <w:t>二</w:t>
            </w:r>
            <w:r>
              <w:rPr>
                <w:b/>
                <w:bCs w:val="0"/>
                <w:color w:val="auto"/>
                <w:lang w:val="en-US" w:eastAsia="zh-CN"/>
              </w:rPr>
              <w:t>、</w:t>
            </w:r>
            <w:r>
              <w:rPr>
                <w:rFonts w:hint="eastAsia"/>
                <w:b/>
                <w:bCs w:val="0"/>
                <w:color w:val="auto"/>
                <w:lang w:val="en-US" w:eastAsia="zh-CN"/>
              </w:rPr>
              <w:t>本次技改扩建工程</w:t>
            </w:r>
            <w:r>
              <w:rPr>
                <w:b/>
                <w:bCs w:val="0"/>
                <w:color w:val="auto"/>
                <w:lang w:val="en-US" w:eastAsia="zh-CN"/>
              </w:rPr>
              <w:t>主要污染工序分析</w:t>
            </w:r>
          </w:p>
          <w:p w14:paraId="4E52473F">
            <w:pPr>
              <w:pStyle w:val="84"/>
              <w:rPr>
                <w:color w:val="auto"/>
                <w:lang w:val="en-US" w:eastAsia="zh-CN"/>
              </w:rPr>
            </w:pPr>
            <w:r>
              <w:rPr>
                <w:color w:val="auto"/>
                <w:lang w:val="en-US" w:eastAsia="zh-CN"/>
              </w:rPr>
              <w:t>根据</w:t>
            </w:r>
            <w:r>
              <w:rPr>
                <w:rFonts w:hint="eastAsia"/>
                <w:color w:val="auto"/>
                <w:lang w:val="en-US" w:eastAsia="zh-CN"/>
              </w:rPr>
              <w:t>本次技改扩建工程</w:t>
            </w:r>
            <w:r>
              <w:rPr>
                <w:color w:val="auto"/>
                <w:lang w:val="en-US" w:eastAsia="zh-CN"/>
              </w:rPr>
              <w:t>工艺流程及产污节点分析，生产过程中主要污染工序见下表。</w:t>
            </w:r>
          </w:p>
          <w:p w14:paraId="33D7A20E">
            <w:pPr>
              <w:pStyle w:val="86"/>
              <w:rPr>
                <w:color w:val="auto"/>
              </w:rPr>
            </w:pPr>
            <w:r>
              <w:rPr>
                <w:color w:val="auto"/>
              </w:rPr>
              <w:t>表2-</w:t>
            </w:r>
            <w:r>
              <w:rPr>
                <w:rFonts w:hint="eastAsia"/>
                <w:color w:val="auto"/>
                <w:lang w:val="en-US" w:eastAsia="zh-CN"/>
              </w:rPr>
              <w:t xml:space="preserve">10 </w:t>
            </w:r>
            <w:r>
              <w:rPr>
                <w:color w:val="auto"/>
              </w:rPr>
              <w:t xml:space="preserve">  项目主要产污环节和排污特征</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738"/>
              <w:gridCol w:w="921"/>
              <w:gridCol w:w="2184"/>
              <w:gridCol w:w="2392"/>
            </w:tblGrid>
            <w:tr w14:paraId="1D0A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noWrap w:val="0"/>
                  <w:vAlign w:val="center"/>
                </w:tcPr>
                <w:p w14:paraId="55B1798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b/>
                      <w:bCs/>
                      <w:color w:val="auto"/>
                      <w:sz w:val="21"/>
                      <w:szCs w:val="21"/>
                      <w:lang w:val="en-US" w:eastAsia="zh-CN"/>
                    </w:rPr>
                  </w:pPr>
                  <w:r>
                    <w:rPr>
                      <w:b/>
                      <w:bCs/>
                      <w:color w:val="auto"/>
                      <w:sz w:val="21"/>
                      <w:szCs w:val="21"/>
                      <w:lang w:val="en-US" w:eastAsia="zh-CN"/>
                    </w:rPr>
                    <w:t>种类</w:t>
                  </w:r>
                </w:p>
              </w:tc>
              <w:tc>
                <w:tcPr>
                  <w:tcW w:w="1095" w:type="pct"/>
                  <w:noWrap w:val="0"/>
                  <w:vAlign w:val="center"/>
                </w:tcPr>
                <w:p w14:paraId="0FF451B9">
                  <w:pPr>
                    <w:pStyle w:val="73"/>
                    <w:keepNext w:val="0"/>
                    <w:keepLines w:val="0"/>
                    <w:pageBreakBefore w:val="0"/>
                    <w:kinsoku/>
                    <w:wordWrap/>
                    <w:overflowPunct/>
                    <w:topLinePunct w:val="0"/>
                    <w:autoSpaceDE/>
                    <w:autoSpaceDN/>
                    <w:bidi w:val="0"/>
                    <w:spacing w:before="0" w:beforeLines="0" w:after="0" w:afterLines="0"/>
                    <w:jc w:val="both"/>
                    <w:textAlignment w:val="auto"/>
                    <w:rPr>
                      <w:b/>
                      <w:bCs/>
                      <w:color w:val="auto"/>
                      <w:sz w:val="21"/>
                      <w:szCs w:val="21"/>
                      <w:lang w:val="en-US" w:eastAsia="zh-CN"/>
                    </w:rPr>
                  </w:pPr>
                  <w:r>
                    <w:rPr>
                      <w:b/>
                      <w:bCs/>
                      <w:color w:val="auto"/>
                      <w:sz w:val="21"/>
                      <w:szCs w:val="21"/>
                      <w:lang w:val="en-US" w:eastAsia="zh-CN"/>
                    </w:rPr>
                    <w:t>产污工序</w:t>
                  </w:r>
                </w:p>
              </w:tc>
              <w:tc>
                <w:tcPr>
                  <w:tcW w:w="580" w:type="pct"/>
                  <w:noWrap w:val="0"/>
                  <w:vAlign w:val="center"/>
                </w:tcPr>
                <w:p w14:paraId="653381ED">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b/>
                      <w:bCs/>
                      <w:color w:val="auto"/>
                      <w:sz w:val="21"/>
                      <w:szCs w:val="21"/>
                      <w:lang w:val="en-US" w:eastAsia="zh-CN"/>
                    </w:rPr>
                  </w:pPr>
                  <w:r>
                    <w:rPr>
                      <w:b/>
                      <w:bCs/>
                      <w:color w:val="auto"/>
                      <w:sz w:val="21"/>
                      <w:szCs w:val="21"/>
                      <w:lang w:val="en-US" w:eastAsia="zh-CN"/>
                    </w:rPr>
                    <w:t>代号</w:t>
                  </w:r>
                </w:p>
              </w:tc>
              <w:tc>
                <w:tcPr>
                  <w:tcW w:w="1376" w:type="pct"/>
                  <w:noWrap w:val="0"/>
                  <w:vAlign w:val="center"/>
                </w:tcPr>
                <w:p w14:paraId="6EAFDAA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center"/>
                    <w:textAlignment w:val="auto"/>
                    <w:rPr>
                      <w:b/>
                      <w:bCs/>
                      <w:color w:val="auto"/>
                      <w:sz w:val="21"/>
                      <w:szCs w:val="21"/>
                      <w:lang w:val="en-US" w:eastAsia="zh-CN"/>
                    </w:rPr>
                  </w:pPr>
                  <w:r>
                    <w:rPr>
                      <w:b/>
                      <w:bCs/>
                      <w:color w:val="auto"/>
                      <w:sz w:val="21"/>
                      <w:szCs w:val="21"/>
                      <w:lang w:val="en-US" w:eastAsia="zh-CN"/>
                    </w:rPr>
                    <w:t>污染物名称</w:t>
                  </w:r>
                </w:p>
              </w:tc>
              <w:tc>
                <w:tcPr>
                  <w:tcW w:w="1507" w:type="pct"/>
                  <w:noWrap w:val="0"/>
                  <w:vAlign w:val="center"/>
                </w:tcPr>
                <w:p w14:paraId="796069FF">
                  <w:pPr>
                    <w:pStyle w:val="73"/>
                    <w:keepNext w:val="0"/>
                    <w:keepLines w:val="0"/>
                    <w:pageBreakBefore w:val="0"/>
                    <w:kinsoku/>
                    <w:wordWrap/>
                    <w:overflowPunct/>
                    <w:topLinePunct w:val="0"/>
                    <w:autoSpaceDE/>
                    <w:autoSpaceDN/>
                    <w:bidi w:val="0"/>
                    <w:spacing w:before="0" w:beforeLines="0" w:after="0" w:afterLines="0"/>
                    <w:jc w:val="center"/>
                    <w:textAlignment w:val="auto"/>
                    <w:rPr>
                      <w:b/>
                      <w:bCs/>
                      <w:color w:val="auto"/>
                      <w:sz w:val="21"/>
                      <w:szCs w:val="21"/>
                      <w:lang w:val="en-US" w:eastAsia="zh-CN"/>
                    </w:rPr>
                  </w:pPr>
                  <w:r>
                    <w:rPr>
                      <w:b/>
                      <w:bCs/>
                      <w:color w:val="auto"/>
                      <w:sz w:val="21"/>
                      <w:szCs w:val="21"/>
                      <w:lang w:val="en-US" w:eastAsia="zh-CN"/>
                    </w:rPr>
                    <w:t>主要污染因子</w:t>
                  </w:r>
                </w:p>
              </w:tc>
            </w:tr>
            <w:tr w14:paraId="3C42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14:paraId="70F5E4E9">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废气</w:t>
                  </w:r>
                </w:p>
              </w:tc>
              <w:tc>
                <w:tcPr>
                  <w:tcW w:w="1095" w:type="pct"/>
                  <w:noWrap w:val="0"/>
                  <w:vAlign w:val="center"/>
                </w:tcPr>
                <w:p w14:paraId="60EC9D5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原料入库</w:t>
                  </w:r>
                </w:p>
              </w:tc>
              <w:tc>
                <w:tcPr>
                  <w:tcW w:w="580" w:type="pct"/>
                  <w:noWrap w:val="0"/>
                  <w:vAlign w:val="center"/>
                </w:tcPr>
                <w:p w14:paraId="212B7241">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rFonts w:hint="eastAsia"/>
                      <w:color w:val="auto"/>
                      <w:sz w:val="21"/>
                      <w:szCs w:val="21"/>
                      <w:lang w:val="en-US" w:eastAsia="zh-CN"/>
                    </w:rPr>
                    <w:t>G</w:t>
                  </w:r>
                  <w:r>
                    <w:rPr>
                      <w:color w:val="auto"/>
                      <w:sz w:val="21"/>
                      <w:szCs w:val="21"/>
                      <w:lang w:val="en-US" w:eastAsia="zh-CN"/>
                    </w:rPr>
                    <w:t>1</w:t>
                  </w:r>
                </w:p>
              </w:tc>
              <w:tc>
                <w:tcPr>
                  <w:tcW w:w="1376" w:type="pct"/>
                  <w:noWrap w:val="0"/>
                  <w:vAlign w:val="center"/>
                </w:tcPr>
                <w:p w14:paraId="46C6429C">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入库废气</w:t>
                  </w:r>
                </w:p>
              </w:tc>
              <w:tc>
                <w:tcPr>
                  <w:tcW w:w="1507" w:type="pct"/>
                  <w:vMerge w:val="restart"/>
                  <w:noWrap w:val="0"/>
                  <w:vAlign w:val="center"/>
                </w:tcPr>
                <w:p w14:paraId="4D2D1512">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r>
                    <w:rPr>
                      <w:rFonts w:hint="eastAsia"/>
                      <w:color w:val="auto"/>
                      <w:sz w:val="21"/>
                      <w:szCs w:val="21"/>
                      <w:lang w:val="en-US" w:eastAsia="zh-CN"/>
                    </w:rPr>
                    <w:t>颗粒物</w:t>
                  </w:r>
                </w:p>
              </w:tc>
            </w:tr>
            <w:tr w14:paraId="6EFF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0D4D0342">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45CACF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下料</w:t>
                  </w:r>
                </w:p>
              </w:tc>
              <w:tc>
                <w:tcPr>
                  <w:tcW w:w="580" w:type="pct"/>
                  <w:noWrap w:val="0"/>
                  <w:vAlign w:val="center"/>
                </w:tcPr>
                <w:p w14:paraId="5939D67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G2</w:t>
                  </w:r>
                </w:p>
              </w:tc>
              <w:tc>
                <w:tcPr>
                  <w:tcW w:w="1376" w:type="pct"/>
                  <w:noWrap w:val="0"/>
                  <w:vAlign w:val="center"/>
                </w:tcPr>
                <w:p w14:paraId="63554529">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下料废气</w:t>
                  </w:r>
                </w:p>
              </w:tc>
              <w:tc>
                <w:tcPr>
                  <w:tcW w:w="1507" w:type="pct"/>
                  <w:vMerge w:val="continue"/>
                  <w:noWrap w:val="0"/>
                  <w:vAlign w:val="center"/>
                </w:tcPr>
                <w:p w14:paraId="52FC0A18">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5E8E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0CCB80CD">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1F357D5D">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混料、投料</w:t>
                  </w:r>
                </w:p>
              </w:tc>
              <w:tc>
                <w:tcPr>
                  <w:tcW w:w="580" w:type="pct"/>
                  <w:noWrap w:val="0"/>
                  <w:vAlign w:val="center"/>
                </w:tcPr>
                <w:p w14:paraId="2433956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G3、G10</w:t>
                  </w:r>
                </w:p>
              </w:tc>
              <w:tc>
                <w:tcPr>
                  <w:tcW w:w="1376" w:type="pct"/>
                  <w:noWrap w:val="0"/>
                  <w:vAlign w:val="center"/>
                </w:tcPr>
                <w:p w14:paraId="0EDD4248">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混料粉尘、投料粉尘</w:t>
                  </w:r>
                </w:p>
              </w:tc>
              <w:tc>
                <w:tcPr>
                  <w:tcW w:w="1507" w:type="pct"/>
                  <w:vMerge w:val="continue"/>
                  <w:noWrap w:val="0"/>
                  <w:vAlign w:val="center"/>
                </w:tcPr>
                <w:p w14:paraId="14C2116D">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3FAD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691411C">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0CD7392">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熔化</w:t>
                  </w:r>
                </w:p>
              </w:tc>
              <w:tc>
                <w:tcPr>
                  <w:tcW w:w="580" w:type="pct"/>
                  <w:noWrap w:val="0"/>
                  <w:vAlign w:val="center"/>
                </w:tcPr>
                <w:p w14:paraId="703657FB">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G4</w:t>
                  </w:r>
                </w:p>
              </w:tc>
              <w:tc>
                <w:tcPr>
                  <w:tcW w:w="1376" w:type="pct"/>
                  <w:noWrap w:val="0"/>
                  <w:vAlign w:val="center"/>
                </w:tcPr>
                <w:p w14:paraId="478479B5">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熔化废气</w:t>
                  </w:r>
                </w:p>
              </w:tc>
              <w:tc>
                <w:tcPr>
                  <w:tcW w:w="1507" w:type="pct"/>
                  <w:vMerge w:val="restart"/>
                  <w:noWrap w:val="0"/>
                  <w:vAlign w:val="center"/>
                </w:tcPr>
                <w:p w14:paraId="0C9904A9">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r>
                    <w:rPr>
                      <w:rFonts w:hint="eastAsia"/>
                      <w:color w:val="auto"/>
                      <w:sz w:val="21"/>
                      <w:szCs w:val="21"/>
                      <w:lang w:val="en-US" w:eastAsia="zh-CN"/>
                    </w:rPr>
                    <w:t>颗粒物、</w:t>
                  </w:r>
                  <w:r>
                    <w:rPr>
                      <w:color w:val="auto"/>
                      <w:sz w:val="21"/>
                      <w:szCs w:val="21"/>
                      <w:lang w:val="en-US" w:eastAsia="zh-CN"/>
                    </w:rPr>
                    <w:t>SO</w:t>
                  </w:r>
                  <w:r>
                    <w:rPr>
                      <w:color w:val="auto"/>
                      <w:sz w:val="21"/>
                      <w:szCs w:val="21"/>
                      <w:vertAlign w:val="subscript"/>
                      <w:lang w:val="en-US" w:eastAsia="zh-CN"/>
                    </w:rPr>
                    <w:t>2</w:t>
                  </w:r>
                  <w:r>
                    <w:rPr>
                      <w:rFonts w:hint="eastAsia"/>
                      <w:color w:val="auto"/>
                      <w:sz w:val="21"/>
                      <w:szCs w:val="21"/>
                      <w:lang w:val="en-US" w:eastAsia="zh-CN"/>
                    </w:rPr>
                    <w:t>、</w:t>
                  </w:r>
                  <w:r>
                    <w:rPr>
                      <w:color w:val="auto"/>
                      <w:sz w:val="21"/>
                      <w:szCs w:val="21"/>
                      <w:lang w:val="en-US" w:eastAsia="zh-CN"/>
                    </w:rPr>
                    <w:t>NOx</w:t>
                  </w:r>
                </w:p>
              </w:tc>
            </w:tr>
            <w:tr w14:paraId="2461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62EDCD0">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16B89193">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成型</w:t>
                  </w:r>
                </w:p>
              </w:tc>
              <w:tc>
                <w:tcPr>
                  <w:tcW w:w="580" w:type="pct"/>
                  <w:noWrap w:val="0"/>
                  <w:vAlign w:val="center"/>
                </w:tcPr>
                <w:p w14:paraId="2044A1AB">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G5</w:t>
                  </w:r>
                </w:p>
              </w:tc>
              <w:tc>
                <w:tcPr>
                  <w:tcW w:w="1376" w:type="pct"/>
                  <w:noWrap w:val="0"/>
                  <w:vAlign w:val="center"/>
                </w:tcPr>
                <w:p w14:paraId="343F516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成型燃烧废气</w:t>
                  </w:r>
                </w:p>
              </w:tc>
              <w:tc>
                <w:tcPr>
                  <w:tcW w:w="1507" w:type="pct"/>
                  <w:vMerge w:val="continue"/>
                  <w:noWrap w:val="0"/>
                  <w:vAlign w:val="center"/>
                </w:tcPr>
                <w:p w14:paraId="7711035E">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4C72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5A0A1A0C">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AA587E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烘口</w:t>
                  </w:r>
                </w:p>
              </w:tc>
              <w:tc>
                <w:tcPr>
                  <w:tcW w:w="580" w:type="pct"/>
                  <w:noWrap w:val="0"/>
                  <w:vAlign w:val="center"/>
                </w:tcPr>
                <w:p w14:paraId="1922A5DD">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G6</w:t>
                  </w:r>
                </w:p>
              </w:tc>
              <w:tc>
                <w:tcPr>
                  <w:tcW w:w="1376" w:type="pct"/>
                  <w:noWrap w:val="0"/>
                  <w:vAlign w:val="center"/>
                </w:tcPr>
                <w:p w14:paraId="5C9E54BE">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烘口废气</w:t>
                  </w:r>
                </w:p>
              </w:tc>
              <w:tc>
                <w:tcPr>
                  <w:tcW w:w="1507" w:type="pct"/>
                  <w:vMerge w:val="continue"/>
                  <w:noWrap w:val="0"/>
                  <w:vAlign w:val="center"/>
                </w:tcPr>
                <w:p w14:paraId="2F3AE287">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7628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04A750DD">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21161BC">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抛光</w:t>
                  </w:r>
                </w:p>
              </w:tc>
              <w:tc>
                <w:tcPr>
                  <w:tcW w:w="580" w:type="pct"/>
                  <w:noWrap w:val="0"/>
                  <w:vAlign w:val="center"/>
                </w:tcPr>
                <w:p w14:paraId="5F6AAB1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G7</w:t>
                  </w:r>
                </w:p>
              </w:tc>
              <w:tc>
                <w:tcPr>
                  <w:tcW w:w="1376" w:type="pct"/>
                  <w:noWrap w:val="0"/>
                  <w:vAlign w:val="center"/>
                </w:tcPr>
                <w:p w14:paraId="4078F9DE">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抛光废气</w:t>
                  </w:r>
                </w:p>
              </w:tc>
              <w:tc>
                <w:tcPr>
                  <w:tcW w:w="1507" w:type="pct"/>
                  <w:vMerge w:val="continue"/>
                  <w:noWrap w:val="0"/>
                  <w:vAlign w:val="top"/>
                </w:tcPr>
                <w:p w14:paraId="2A7D2473">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6CBE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6B13C456">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0119165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退火</w:t>
                  </w:r>
                </w:p>
              </w:tc>
              <w:tc>
                <w:tcPr>
                  <w:tcW w:w="580" w:type="pct"/>
                  <w:noWrap w:val="0"/>
                  <w:vAlign w:val="center"/>
                </w:tcPr>
                <w:p w14:paraId="1B2B78EF">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G8</w:t>
                  </w:r>
                </w:p>
              </w:tc>
              <w:tc>
                <w:tcPr>
                  <w:tcW w:w="1376" w:type="pct"/>
                  <w:noWrap w:val="0"/>
                  <w:vAlign w:val="center"/>
                </w:tcPr>
                <w:p w14:paraId="742815BD">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退火废气</w:t>
                  </w:r>
                </w:p>
              </w:tc>
              <w:tc>
                <w:tcPr>
                  <w:tcW w:w="1507" w:type="pct"/>
                  <w:vMerge w:val="continue"/>
                  <w:noWrap w:val="0"/>
                  <w:vAlign w:val="top"/>
                </w:tcPr>
                <w:p w14:paraId="4AE675B7">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p>
              </w:tc>
            </w:tr>
            <w:tr w14:paraId="4C00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31B612F4">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4F267E58">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备用柴油机房发电</w:t>
                  </w:r>
                </w:p>
              </w:tc>
              <w:tc>
                <w:tcPr>
                  <w:tcW w:w="580" w:type="pct"/>
                  <w:noWrap w:val="0"/>
                  <w:vAlign w:val="center"/>
                </w:tcPr>
                <w:p w14:paraId="1436C250">
                  <w:pPr>
                    <w:pStyle w:val="73"/>
                    <w:keepNext w:val="0"/>
                    <w:keepLines w:val="0"/>
                    <w:pageBreakBefore w:val="0"/>
                    <w:kinsoku/>
                    <w:wordWrap/>
                    <w:overflowPunct/>
                    <w:topLinePunct w:val="0"/>
                    <w:autoSpaceDE/>
                    <w:autoSpaceDN/>
                    <w:bidi w:val="0"/>
                    <w:spacing w:before="0" w:beforeLines="0" w:after="0" w:afterLines="0"/>
                    <w:jc w:val="both"/>
                    <w:textAlignment w:val="auto"/>
                    <w:rPr>
                      <w:rFonts w:hint="default"/>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660A7B8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发电废气</w:t>
                  </w:r>
                </w:p>
              </w:tc>
              <w:tc>
                <w:tcPr>
                  <w:tcW w:w="1507" w:type="pct"/>
                  <w:noWrap w:val="0"/>
                  <w:vAlign w:val="top"/>
                </w:tcPr>
                <w:p w14:paraId="654E120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eastAsia"/>
                      <w:color w:val="auto"/>
                      <w:sz w:val="21"/>
                      <w:szCs w:val="21"/>
                      <w:lang w:val="en-US" w:eastAsia="zh-CN"/>
                    </w:rPr>
                  </w:pPr>
                  <w:r>
                    <w:rPr>
                      <w:rFonts w:ascii="宋体" w:hAnsi="宋体" w:eastAsia="宋体" w:cs="宋体"/>
                      <w:b w:val="0"/>
                      <w:bCs w:val="0"/>
                      <w:color w:val="auto"/>
                      <w:sz w:val="21"/>
                      <w:szCs w:val="21"/>
                    </w:rPr>
                    <w:t>碳烟颗粒物（</w:t>
                  </w:r>
                  <w:r>
                    <w:rPr>
                      <w:rFonts w:ascii="TimesNewRomanPSMT" w:hAnsi="TimesNewRomanPSMT" w:eastAsia="TimesNewRomanPSMT" w:cs="TimesNewRomanPSMT"/>
                      <w:b w:val="0"/>
                      <w:bCs w:val="0"/>
                      <w:color w:val="auto"/>
                      <w:sz w:val="21"/>
                      <w:szCs w:val="21"/>
                    </w:rPr>
                    <w:t>PM</w:t>
                  </w:r>
                  <w:r>
                    <w:rPr>
                      <w:rFonts w:ascii="宋体" w:hAnsi="宋体" w:eastAsia="宋体" w:cs="宋体"/>
                      <w:b w:val="0"/>
                      <w:bCs w:val="0"/>
                      <w:color w:val="auto"/>
                      <w:sz w:val="21"/>
                      <w:szCs w:val="21"/>
                    </w:rPr>
                    <w:t>）、烃类（</w:t>
                  </w:r>
                  <w:r>
                    <w:rPr>
                      <w:rFonts w:hint="default" w:ascii="TimesNewRomanPSMT" w:hAnsi="TimesNewRomanPSMT" w:eastAsia="TimesNewRomanPSMT" w:cs="TimesNewRomanPSMT"/>
                      <w:b w:val="0"/>
                      <w:bCs w:val="0"/>
                      <w:color w:val="auto"/>
                      <w:sz w:val="21"/>
                      <w:szCs w:val="21"/>
                    </w:rPr>
                    <w:t>HC</w:t>
                  </w:r>
                  <w:r>
                    <w:rPr>
                      <w:rFonts w:ascii="宋体" w:hAnsi="宋体" w:eastAsia="宋体" w:cs="宋体"/>
                      <w:b w:val="0"/>
                      <w:bCs w:val="0"/>
                      <w:color w:val="auto"/>
                      <w:sz w:val="21"/>
                      <w:szCs w:val="21"/>
                    </w:rPr>
                    <w:t>）、</w:t>
                  </w:r>
                  <w:r>
                    <w:rPr>
                      <w:rFonts w:hint="default" w:ascii="TimesNewRomanPSMT" w:hAnsi="TimesNewRomanPSMT" w:eastAsia="TimesNewRomanPSMT" w:cs="TimesNewRomanPSMT"/>
                      <w:b w:val="0"/>
                      <w:bCs w:val="0"/>
                      <w:color w:val="auto"/>
                      <w:sz w:val="21"/>
                      <w:szCs w:val="21"/>
                    </w:rPr>
                    <w:t>CO</w:t>
                  </w:r>
                  <w:r>
                    <w:rPr>
                      <w:rFonts w:ascii="宋体" w:hAnsi="宋体" w:eastAsia="宋体" w:cs="宋体"/>
                      <w:b w:val="0"/>
                      <w:bCs w:val="0"/>
                      <w:color w:val="auto"/>
                      <w:sz w:val="21"/>
                      <w:szCs w:val="21"/>
                    </w:rPr>
                    <w:t>和</w:t>
                  </w:r>
                  <w:r>
                    <w:rPr>
                      <w:rFonts w:hint="default" w:ascii="TimesNewRomanPSMT" w:hAnsi="TimesNewRomanPSMT" w:eastAsia="TimesNewRomanPSMT" w:cs="TimesNewRomanPSMT"/>
                      <w:b w:val="0"/>
                      <w:bCs w:val="0"/>
                      <w:color w:val="auto"/>
                      <w:sz w:val="21"/>
                      <w:szCs w:val="21"/>
                    </w:rPr>
                    <w:t>N</w:t>
                  </w:r>
                  <w:r>
                    <w:rPr>
                      <w:rFonts w:hint="eastAsia" w:ascii="TimesNewRomanPSMT" w:hAnsi="TimesNewRomanPSMT" w:eastAsia="宋体" w:cs="TimesNewRomanPSMT"/>
                      <w:b w:val="0"/>
                      <w:bCs w:val="0"/>
                      <w:color w:val="auto"/>
                      <w:sz w:val="21"/>
                      <w:szCs w:val="21"/>
                      <w:lang w:val="en-US" w:eastAsia="zh-CN"/>
                    </w:rPr>
                    <w:t>O</w:t>
                  </w:r>
                  <w:r>
                    <w:rPr>
                      <w:rFonts w:hint="default" w:ascii="TimesNewRomanPSMT" w:hAnsi="TimesNewRomanPSMT" w:eastAsia="TimesNewRomanPSMT" w:cs="TimesNewRomanPSMT"/>
                      <w:b w:val="0"/>
                      <w:bCs w:val="0"/>
                      <w:color w:val="auto"/>
                      <w:sz w:val="21"/>
                      <w:szCs w:val="21"/>
                    </w:rPr>
                    <w:t>x</w:t>
                  </w:r>
                  <w:r>
                    <w:rPr>
                      <w:rFonts w:ascii="宋体" w:hAnsi="宋体" w:eastAsia="宋体" w:cs="宋体"/>
                      <w:b w:val="0"/>
                      <w:bCs w:val="0"/>
                      <w:color w:val="auto"/>
                      <w:sz w:val="21"/>
                      <w:szCs w:val="21"/>
                    </w:rPr>
                    <w:t>等</w:t>
                  </w:r>
                </w:p>
              </w:tc>
            </w:tr>
            <w:tr w14:paraId="1841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693374D2">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057E22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玻璃破碎</w:t>
                  </w:r>
                </w:p>
              </w:tc>
              <w:tc>
                <w:tcPr>
                  <w:tcW w:w="580" w:type="pct"/>
                  <w:noWrap w:val="0"/>
                  <w:vAlign w:val="center"/>
                </w:tcPr>
                <w:p w14:paraId="17E9FD43">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G9</w:t>
                  </w:r>
                </w:p>
              </w:tc>
              <w:tc>
                <w:tcPr>
                  <w:tcW w:w="1376" w:type="pct"/>
                  <w:noWrap w:val="0"/>
                  <w:vAlign w:val="center"/>
                </w:tcPr>
                <w:p w14:paraId="466D865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破碎粉尘</w:t>
                  </w:r>
                </w:p>
              </w:tc>
              <w:tc>
                <w:tcPr>
                  <w:tcW w:w="1507" w:type="pct"/>
                  <w:noWrap w:val="0"/>
                  <w:vAlign w:val="center"/>
                </w:tcPr>
                <w:p w14:paraId="2F8942A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颗粒物</w:t>
                  </w:r>
                </w:p>
              </w:tc>
            </w:tr>
            <w:tr w14:paraId="2D5D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6BDAE7A6">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69D594CF">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食堂油烟</w:t>
                  </w:r>
                </w:p>
              </w:tc>
              <w:tc>
                <w:tcPr>
                  <w:tcW w:w="580" w:type="pct"/>
                  <w:noWrap w:val="0"/>
                  <w:vAlign w:val="center"/>
                </w:tcPr>
                <w:p w14:paraId="431EA657">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0E9A6D5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食堂油烟</w:t>
                  </w:r>
                </w:p>
              </w:tc>
              <w:tc>
                <w:tcPr>
                  <w:tcW w:w="1507" w:type="pct"/>
                  <w:noWrap w:val="0"/>
                  <w:vAlign w:val="center"/>
                </w:tcPr>
                <w:p w14:paraId="2B63DDCC">
                  <w:pPr>
                    <w:pStyle w:val="73"/>
                    <w:keepNext w:val="0"/>
                    <w:keepLines w:val="0"/>
                    <w:pageBreakBefore w:val="0"/>
                    <w:kinsoku/>
                    <w:wordWrap/>
                    <w:overflowPunct/>
                    <w:topLinePunct w:val="0"/>
                    <w:autoSpaceDE/>
                    <w:autoSpaceDN/>
                    <w:bidi w:val="0"/>
                    <w:spacing w:before="0" w:beforeLines="0" w:after="0" w:afterLines="0"/>
                    <w:jc w:val="center"/>
                    <w:textAlignment w:val="auto"/>
                    <w:rPr>
                      <w:rFonts w:hint="eastAsia"/>
                      <w:color w:val="auto"/>
                      <w:sz w:val="21"/>
                      <w:szCs w:val="21"/>
                      <w:lang w:val="en-US" w:eastAsia="zh-CN"/>
                    </w:rPr>
                  </w:pPr>
                  <w:r>
                    <w:rPr>
                      <w:rFonts w:hint="eastAsia"/>
                      <w:color w:val="auto"/>
                      <w:sz w:val="21"/>
                      <w:szCs w:val="21"/>
                      <w:lang w:val="en-US" w:eastAsia="zh-CN"/>
                    </w:rPr>
                    <w:t>油烟</w:t>
                  </w:r>
                </w:p>
              </w:tc>
            </w:tr>
            <w:tr w14:paraId="53AE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4B10C81A">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78B7995C">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氨水储罐</w:t>
                  </w:r>
                </w:p>
              </w:tc>
              <w:tc>
                <w:tcPr>
                  <w:tcW w:w="580" w:type="pct"/>
                  <w:noWrap w:val="0"/>
                  <w:vAlign w:val="center"/>
                </w:tcPr>
                <w:p w14:paraId="63B6D632">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0605F88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氨气</w:t>
                  </w:r>
                </w:p>
              </w:tc>
              <w:tc>
                <w:tcPr>
                  <w:tcW w:w="1507" w:type="pct"/>
                  <w:noWrap w:val="0"/>
                  <w:vAlign w:val="center"/>
                </w:tcPr>
                <w:p w14:paraId="302D5C6B">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氨、臭气浓度</w:t>
                  </w:r>
                </w:p>
              </w:tc>
            </w:tr>
            <w:tr w14:paraId="399D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14:paraId="0EB4A36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废水</w:t>
                  </w:r>
                </w:p>
              </w:tc>
              <w:tc>
                <w:tcPr>
                  <w:tcW w:w="1095" w:type="pct"/>
                  <w:noWrap w:val="0"/>
                  <w:vAlign w:val="center"/>
                </w:tcPr>
                <w:p w14:paraId="0F2AEF4B">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员工生活办公</w:t>
                  </w:r>
                </w:p>
              </w:tc>
              <w:tc>
                <w:tcPr>
                  <w:tcW w:w="580" w:type="pct"/>
                  <w:noWrap w:val="0"/>
                  <w:vAlign w:val="center"/>
                </w:tcPr>
                <w:p w14:paraId="03C5FB8A">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w:t>
                  </w:r>
                </w:p>
              </w:tc>
              <w:tc>
                <w:tcPr>
                  <w:tcW w:w="1376" w:type="pct"/>
                  <w:noWrap w:val="0"/>
                  <w:vAlign w:val="center"/>
                </w:tcPr>
                <w:p w14:paraId="2D28842B">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生活污水</w:t>
                  </w:r>
                  <w:r>
                    <w:rPr>
                      <w:rFonts w:hint="eastAsia"/>
                      <w:color w:val="auto"/>
                      <w:sz w:val="21"/>
                      <w:szCs w:val="21"/>
                      <w:lang w:val="en-US" w:eastAsia="zh-CN"/>
                    </w:rPr>
                    <w:t>、食堂废水</w:t>
                  </w:r>
                </w:p>
              </w:tc>
              <w:tc>
                <w:tcPr>
                  <w:tcW w:w="1507" w:type="pct"/>
                  <w:noWrap w:val="0"/>
                  <w:vAlign w:val="center"/>
                </w:tcPr>
                <w:p w14:paraId="4B68728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COD、BOD</w:t>
                  </w:r>
                  <w:r>
                    <w:rPr>
                      <w:color w:val="auto"/>
                      <w:sz w:val="21"/>
                      <w:szCs w:val="21"/>
                      <w:vertAlign w:val="subscript"/>
                      <w:lang w:val="en-US" w:eastAsia="zh-CN"/>
                    </w:rPr>
                    <w:t>5</w:t>
                  </w:r>
                  <w:r>
                    <w:rPr>
                      <w:color w:val="auto"/>
                      <w:sz w:val="21"/>
                      <w:szCs w:val="21"/>
                      <w:lang w:val="en-US" w:eastAsia="zh-CN"/>
                    </w:rPr>
                    <w:t>、NH</w:t>
                  </w:r>
                  <w:r>
                    <w:rPr>
                      <w:color w:val="auto"/>
                      <w:sz w:val="21"/>
                      <w:szCs w:val="21"/>
                      <w:vertAlign w:val="subscript"/>
                      <w:lang w:val="en-US" w:eastAsia="zh-CN"/>
                    </w:rPr>
                    <w:t>3</w:t>
                  </w:r>
                  <w:r>
                    <w:rPr>
                      <w:color w:val="auto"/>
                      <w:sz w:val="21"/>
                      <w:szCs w:val="21"/>
                      <w:lang w:val="en-US" w:eastAsia="zh-CN"/>
                    </w:rPr>
                    <w:t>-N、SS</w:t>
                  </w:r>
                  <w:r>
                    <w:rPr>
                      <w:rFonts w:hint="eastAsia"/>
                      <w:color w:val="auto"/>
                      <w:sz w:val="21"/>
                      <w:szCs w:val="21"/>
                      <w:lang w:val="en-US" w:eastAsia="zh-CN"/>
                    </w:rPr>
                    <w:t>、动植物油</w:t>
                  </w:r>
                </w:p>
              </w:tc>
            </w:tr>
            <w:tr w14:paraId="48ED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E673962">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26B9BBEF">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间接循环冷却水系统</w:t>
                  </w:r>
                </w:p>
              </w:tc>
              <w:tc>
                <w:tcPr>
                  <w:tcW w:w="580" w:type="pct"/>
                  <w:noWrap w:val="0"/>
                  <w:vAlign w:val="center"/>
                </w:tcPr>
                <w:p w14:paraId="0D393593">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5E1F29D2">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507" w:type="pct"/>
                  <w:noWrap w:val="0"/>
                  <w:vAlign w:val="center"/>
                </w:tcPr>
                <w:p w14:paraId="42F1D98D">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w:t>
                  </w:r>
                </w:p>
              </w:tc>
            </w:tr>
            <w:tr w14:paraId="3161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62E3BD31">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4DFA1124">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车辆冲洗</w:t>
                  </w:r>
                </w:p>
              </w:tc>
              <w:tc>
                <w:tcPr>
                  <w:tcW w:w="580" w:type="pct"/>
                  <w:noWrap w:val="0"/>
                  <w:vAlign w:val="center"/>
                </w:tcPr>
                <w:p w14:paraId="0A086091">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376" w:type="pct"/>
                  <w:noWrap w:val="0"/>
                  <w:vAlign w:val="center"/>
                </w:tcPr>
                <w:p w14:paraId="61C92645">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车辆冲洗废水</w:t>
                  </w:r>
                </w:p>
              </w:tc>
              <w:tc>
                <w:tcPr>
                  <w:tcW w:w="1507" w:type="pct"/>
                  <w:noWrap w:val="0"/>
                  <w:vAlign w:val="center"/>
                </w:tcPr>
                <w:p w14:paraId="72F6E45D">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循环使用不外排</w:t>
                  </w:r>
                </w:p>
              </w:tc>
            </w:tr>
            <w:tr w14:paraId="1225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14:paraId="6189EC22">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固废</w:t>
                  </w:r>
                </w:p>
              </w:tc>
              <w:tc>
                <w:tcPr>
                  <w:tcW w:w="1095" w:type="pct"/>
                  <w:noWrap w:val="0"/>
                  <w:vAlign w:val="center"/>
                </w:tcPr>
                <w:p w14:paraId="1AA33B4F">
                  <w:pPr>
                    <w:pStyle w:val="73"/>
                    <w:keepNext w:val="0"/>
                    <w:keepLines w:val="0"/>
                    <w:pageBreakBefore w:val="0"/>
                    <w:kinsoku/>
                    <w:wordWrap/>
                    <w:overflowPunct/>
                    <w:topLinePunct w:val="0"/>
                    <w:autoSpaceDE/>
                    <w:autoSpaceDN/>
                    <w:bidi w:val="0"/>
                    <w:spacing w:before="0" w:beforeLines="0" w:after="0" w:afterLines="0"/>
                    <w:jc w:val="center"/>
                    <w:textAlignment w:val="auto"/>
                    <w:rPr>
                      <w:rFonts w:hint="default"/>
                      <w:color w:val="auto"/>
                      <w:sz w:val="21"/>
                      <w:szCs w:val="21"/>
                      <w:lang w:val="en-US" w:eastAsia="zh-CN"/>
                    </w:rPr>
                  </w:pPr>
                  <w:r>
                    <w:rPr>
                      <w:rFonts w:hint="eastAsia"/>
                      <w:color w:val="auto"/>
                      <w:sz w:val="21"/>
                      <w:szCs w:val="21"/>
                      <w:lang w:val="en-US" w:eastAsia="zh-CN"/>
                    </w:rPr>
                    <w:t>原料使用</w:t>
                  </w:r>
                </w:p>
              </w:tc>
              <w:tc>
                <w:tcPr>
                  <w:tcW w:w="580" w:type="pct"/>
                  <w:noWrap w:val="0"/>
                  <w:vAlign w:val="center"/>
                </w:tcPr>
                <w:p w14:paraId="3FD6BA03">
                  <w:pPr>
                    <w:pStyle w:val="73"/>
                    <w:keepNext w:val="0"/>
                    <w:keepLines w:val="0"/>
                    <w:pageBreakBefore w:val="0"/>
                    <w:widowControl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60B524E2">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sz w:val="21"/>
                      <w:szCs w:val="21"/>
                      <w:lang w:val="en-US" w:eastAsia="zh-CN"/>
                    </w:rPr>
                  </w:pPr>
                  <w:r>
                    <w:rPr>
                      <w:rFonts w:hint="eastAsia"/>
                      <w:color w:val="auto"/>
                      <w:sz w:val="21"/>
                      <w:szCs w:val="21"/>
                      <w:lang w:val="en-US" w:eastAsia="zh-CN"/>
                    </w:rPr>
                    <w:t>废包装袋</w:t>
                  </w:r>
                </w:p>
              </w:tc>
              <w:tc>
                <w:tcPr>
                  <w:tcW w:w="1507" w:type="pct"/>
                  <w:noWrap w:val="0"/>
                  <w:vAlign w:val="center"/>
                </w:tcPr>
                <w:p w14:paraId="043EFF1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left"/>
                    <w:textAlignment w:val="auto"/>
                    <w:rPr>
                      <w:rFonts w:hint="default"/>
                      <w:color w:val="auto"/>
                      <w:sz w:val="21"/>
                      <w:szCs w:val="21"/>
                      <w:lang w:val="en-US" w:eastAsia="zh-CN"/>
                    </w:rPr>
                  </w:pPr>
                  <w:r>
                    <w:rPr>
                      <w:rFonts w:hint="eastAsia"/>
                      <w:color w:val="auto"/>
                      <w:sz w:val="21"/>
                      <w:szCs w:val="21"/>
                      <w:lang w:val="en-US" w:eastAsia="zh-CN"/>
                    </w:rPr>
                    <w:t>纯碱、澄清剂、长石等原辅料</w:t>
                  </w:r>
                </w:p>
              </w:tc>
            </w:tr>
            <w:tr w14:paraId="1ACA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7D9FB89B">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199A2BF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检验</w:t>
                  </w:r>
                </w:p>
              </w:tc>
              <w:tc>
                <w:tcPr>
                  <w:tcW w:w="580" w:type="pct"/>
                  <w:noWrap w:val="0"/>
                  <w:vAlign w:val="center"/>
                </w:tcPr>
                <w:p w14:paraId="4A5BCA56">
                  <w:pPr>
                    <w:pStyle w:val="73"/>
                    <w:keepNext w:val="0"/>
                    <w:keepLines w:val="0"/>
                    <w:pageBreakBefore w:val="0"/>
                    <w:widowControl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21"/>
                      <w:szCs w:val="21"/>
                      <w:lang w:val="en-US" w:eastAsia="zh-CN"/>
                    </w:rPr>
                  </w:pPr>
                  <w:r>
                    <w:rPr>
                      <w:rFonts w:hint="eastAsia"/>
                      <w:color w:val="auto"/>
                      <w:sz w:val="21"/>
                      <w:szCs w:val="21"/>
                      <w:lang w:val="en-US" w:eastAsia="zh-CN"/>
                    </w:rPr>
                    <w:t>S</w:t>
                  </w:r>
                  <w:r>
                    <w:rPr>
                      <w:color w:val="auto"/>
                      <w:sz w:val="21"/>
                      <w:szCs w:val="21"/>
                      <w:lang w:val="en-US" w:eastAsia="zh-CN"/>
                    </w:rPr>
                    <w:t>1</w:t>
                  </w:r>
                </w:p>
              </w:tc>
              <w:tc>
                <w:tcPr>
                  <w:tcW w:w="1376" w:type="pct"/>
                  <w:noWrap w:val="0"/>
                  <w:vAlign w:val="center"/>
                </w:tcPr>
                <w:p w14:paraId="5376A04A">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不合格产品</w:t>
                  </w:r>
                </w:p>
              </w:tc>
              <w:tc>
                <w:tcPr>
                  <w:tcW w:w="1507" w:type="pct"/>
                  <w:noWrap w:val="0"/>
                  <w:vAlign w:val="center"/>
                </w:tcPr>
                <w:p w14:paraId="30A86A0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玻璃</w:t>
                  </w:r>
                </w:p>
              </w:tc>
            </w:tr>
            <w:tr w14:paraId="5AFE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1" w:type="pct"/>
                  <w:vMerge w:val="continue"/>
                  <w:noWrap w:val="0"/>
                  <w:vAlign w:val="center"/>
                </w:tcPr>
                <w:p w14:paraId="5859CD2D">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2F3AD19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设备维修维护</w:t>
                  </w:r>
                </w:p>
              </w:tc>
              <w:tc>
                <w:tcPr>
                  <w:tcW w:w="580" w:type="pct"/>
                  <w:noWrap w:val="0"/>
                  <w:vAlign w:val="center"/>
                </w:tcPr>
                <w:p w14:paraId="1FFFE989">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color w:val="auto"/>
                      <w:sz w:val="21"/>
                      <w:szCs w:val="21"/>
                    </w:rPr>
                  </w:pPr>
                  <w:r>
                    <w:rPr>
                      <w:color w:val="auto"/>
                      <w:sz w:val="21"/>
                      <w:szCs w:val="21"/>
                    </w:rPr>
                    <w:t>/</w:t>
                  </w:r>
                </w:p>
              </w:tc>
              <w:tc>
                <w:tcPr>
                  <w:tcW w:w="1376" w:type="pct"/>
                  <w:noWrap w:val="0"/>
                  <w:vAlign w:val="center"/>
                </w:tcPr>
                <w:p w14:paraId="2049F463">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color w:val="auto"/>
                      <w:sz w:val="21"/>
                      <w:szCs w:val="21"/>
                    </w:rPr>
                  </w:pPr>
                  <w:r>
                    <w:rPr>
                      <w:color w:val="auto"/>
                      <w:sz w:val="21"/>
                      <w:szCs w:val="21"/>
                    </w:rPr>
                    <w:t>废</w:t>
                  </w:r>
                  <w:r>
                    <w:rPr>
                      <w:rFonts w:hint="eastAsia"/>
                      <w:color w:val="auto"/>
                      <w:sz w:val="21"/>
                      <w:szCs w:val="21"/>
                    </w:rPr>
                    <w:t>机油</w:t>
                  </w:r>
                </w:p>
              </w:tc>
              <w:tc>
                <w:tcPr>
                  <w:tcW w:w="1507" w:type="pct"/>
                  <w:noWrap w:val="0"/>
                  <w:vAlign w:val="center"/>
                </w:tcPr>
                <w:p w14:paraId="5224632D">
                  <w:pPr>
                    <w:keepNext w:val="0"/>
                    <w:keepLines w:val="0"/>
                    <w:pageBreakBefore w:val="0"/>
                    <w:kinsoku/>
                    <w:wordWrap/>
                    <w:overflowPunct/>
                    <w:topLinePunct w:val="0"/>
                    <w:autoSpaceDE/>
                    <w:autoSpaceDN/>
                    <w:bidi w:val="0"/>
                    <w:jc w:val="center"/>
                    <w:textAlignment w:val="auto"/>
                    <w:rPr>
                      <w:color w:val="auto"/>
                      <w:sz w:val="21"/>
                      <w:szCs w:val="21"/>
                    </w:rPr>
                  </w:pPr>
                  <w:r>
                    <w:rPr>
                      <w:color w:val="auto"/>
                      <w:sz w:val="21"/>
                      <w:szCs w:val="21"/>
                    </w:rPr>
                    <w:t>废</w:t>
                  </w:r>
                  <w:r>
                    <w:rPr>
                      <w:rFonts w:hint="eastAsia"/>
                      <w:color w:val="auto"/>
                      <w:sz w:val="21"/>
                      <w:szCs w:val="21"/>
                    </w:rPr>
                    <w:t>机油</w:t>
                  </w:r>
                </w:p>
              </w:tc>
            </w:tr>
            <w:tr w14:paraId="6052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F83D579">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7CD5359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设备维修维护</w:t>
                  </w:r>
                </w:p>
              </w:tc>
              <w:tc>
                <w:tcPr>
                  <w:tcW w:w="580" w:type="pct"/>
                  <w:noWrap w:val="0"/>
                  <w:vAlign w:val="top"/>
                </w:tcPr>
                <w:p w14:paraId="4F0BBC6D">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color w:val="auto"/>
                      <w:sz w:val="21"/>
                      <w:szCs w:val="21"/>
                    </w:rPr>
                  </w:pPr>
                  <w:r>
                    <w:rPr>
                      <w:color w:val="auto"/>
                      <w:sz w:val="21"/>
                      <w:szCs w:val="21"/>
                    </w:rPr>
                    <w:t>/</w:t>
                  </w:r>
                </w:p>
              </w:tc>
              <w:tc>
                <w:tcPr>
                  <w:tcW w:w="1376" w:type="pct"/>
                  <w:noWrap w:val="0"/>
                  <w:vAlign w:val="center"/>
                </w:tcPr>
                <w:p w14:paraId="03A749F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auto"/>
                    <w:rPr>
                      <w:color w:val="auto"/>
                      <w:kern w:val="0"/>
                      <w:sz w:val="21"/>
                      <w:szCs w:val="21"/>
                    </w:rPr>
                  </w:pPr>
                  <w:r>
                    <w:rPr>
                      <w:color w:val="auto"/>
                      <w:kern w:val="0"/>
                      <w:sz w:val="21"/>
                      <w:szCs w:val="21"/>
                    </w:rPr>
                    <w:t>废油桶</w:t>
                  </w:r>
                </w:p>
              </w:tc>
              <w:tc>
                <w:tcPr>
                  <w:tcW w:w="1507" w:type="pct"/>
                  <w:noWrap w:val="0"/>
                  <w:vAlign w:val="center"/>
                </w:tcPr>
                <w:p w14:paraId="56DDF528">
                  <w:pPr>
                    <w:keepNext w:val="0"/>
                    <w:keepLines w:val="0"/>
                    <w:pageBreakBefore w:val="0"/>
                    <w:widowControl/>
                    <w:kinsoku/>
                    <w:wordWrap/>
                    <w:overflowPunct/>
                    <w:topLinePunct w:val="0"/>
                    <w:autoSpaceDE/>
                    <w:autoSpaceDN/>
                    <w:bidi w:val="0"/>
                    <w:jc w:val="center"/>
                    <w:textAlignment w:val="auto"/>
                    <w:rPr>
                      <w:color w:val="auto"/>
                      <w:kern w:val="0"/>
                      <w:sz w:val="21"/>
                      <w:szCs w:val="21"/>
                    </w:rPr>
                  </w:pPr>
                  <w:r>
                    <w:rPr>
                      <w:color w:val="auto"/>
                      <w:kern w:val="0"/>
                      <w:sz w:val="21"/>
                      <w:szCs w:val="21"/>
                    </w:rPr>
                    <w:t>废油桶</w:t>
                  </w:r>
                </w:p>
              </w:tc>
            </w:tr>
            <w:tr w14:paraId="5300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49019A07">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39B5EE2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废气处理</w:t>
                  </w:r>
                </w:p>
              </w:tc>
              <w:tc>
                <w:tcPr>
                  <w:tcW w:w="580" w:type="pct"/>
                  <w:noWrap w:val="0"/>
                  <w:vAlign w:val="top"/>
                </w:tcPr>
                <w:p w14:paraId="026FBB3C">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54D497F1">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废催化剂</w:t>
                  </w:r>
                </w:p>
              </w:tc>
              <w:tc>
                <w:tcPr>
                  <w:tcW w:w="1507" w:type="pct"/>
                  <w:noWrap w:val="0"/>
                  <w:vAlign w:val="center"/>
                </w:tcPr>
                <w:p w14:paraId="64621D55">
                  <w:pPr>
                    <w:keepNext w:val="0"/>
                    <w:keepLines w:val="0"/>
                    <w:pageBreakBefore w:val="0"/>
                    <w:widowControl/>
                    <w:kinsoku/>
                    <w:wordWrap/>
                    <w:overflowPunct/>
                    <w:topLinePunct w:val="0"/>
                    <w:autoSpaceDE/>
                    <w:autoSpaceDN/>
                    <w:bidi w:val="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重金属</w:t>
                  </w:r>
                </w:p>
              </w:tc>
            </w:tr>
            <w:tr w14:paraId="3B9F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7589ED16">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4E94387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废气除湿</w:t>
                  </w:r>
                </w:p>
              </w:tc>
              <w:tc>
                <w:tcPr>
                  <w:tcW w:w="580" w:type="pct"/>
                  <w:noWrap w:val="0"/>
                  <w:vAlign w:val="top"/>
                </w:tcPr>
                <w:p w14:paraId="01D03499">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376" w:type="pct"/>
                  <w:noWrap w:val="0"/>
                  <w:vAlign w:val="center"/>
                </w:tcPr>
                <w:p w14:paraId="44F62211">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除湿剂</w:t>
                  </w:r>
                </w:p>
              </w:tc>
              <w:tc>
                <w:tcPr>
                  <w:tcW w:w="1507" w:type="pct"/>
                  <w:noWrap w:val="0"/>
                  <w:vAlign w:val="center"/>
                </w:tcPr>
                <w:p w14:paraId="252D8225">
                  <w:pPr>
                    <w:keepNext w:val="0"/>
                    <w:keepLines w:val="0"/>
                    <w:pageBreakBefore w:val="0"/>
                    <w:widowControl/>
                    <w:kinsoku/>
                    <w:wordWrap/>
                    <w:overflowPunct/>
                    <w:topLinePunct w:val="0"/>
                    <w:autoSpaceDE/>
                    <w:autoSpaceDN/>
                    <w:bidi w:val="0"/>
                    <w:jc w:val="center"/>
                    <w:textAlignment w:val="auto"/>
                    <w:rPr>
                      <w:rFonts w:hint="eastAsia"/>
                      <w:color w:val="auto"/>
                      <w:kern w:val="0"/>
                      <w:sz w:val="21"/>
                      <w:szCs w:val="21"/>
                      <w:lang w:val="en-US" w:eastAsia="zh-CN"/>
                    </w:rPr>
                  </w:pPr>
                  <w:r>
                    <w:rPr>
                      <w:rFonts w:hint="eastAsia"/>
                      <w:color w:val="auto"/>
                      <w:kern w:val="0"/>
                      <w:sz w:val="21"/>
                      <w:szCs w:val="21"/>
                      <w:lang w:val="en-US" w:eastAsia="zh-CN"/>
                    </w:rPr>
                    <w:t>氢氧化钙</w:t>
                  </w:r>
                </w:p>
              </w:tc>
            </w:tr>
            <w:tr w14:paraId="31BE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6D891D5E">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p>
              </w:tc>
              <w:tc>
                <w:tcPr>
                  <w:tcW w:w="1095" w:type="pct"/>
                  <w:noWrap w:val="0"/>
                  <w:vAlign w:val="center"/>
                </w:tcPr>
                <w:p w14:paraId="0385DB1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left="0" w:leftChars="0" w:firstLine="0" w:firstLineChars="0"/>
                    <w:jc w:val="center"/>
                    <w:textAlignment w:val="auto"/>
                    <w:rPr>
                      <w:color w:val="auto"/>
                      <w:sz w:val="21"/>
                      <w:szCs w:val="21"/>
                      <w:lang w:val="en-US" w:eastAsia="zh-CN"/>
                    </w:rPr>
                  </w:pPr>
                  <w:r>
                    <w:rPr>
                      <w:color w:val="auto"/>
                      <w:sz w:val="21"/>
                      <w:szCs w:val="21"/>
                      <w:lang w:val="en-US" w:eastAsia="zh-CN"/>
                    </w:rPr>
                    <w:t>员工生活办公</w:t>
                  </w:r>
                </w:p>
              </w:tc>
              <w:tc>
                <w:tcPr>
                  <w:tcW w:w="580" w:type="pct"/>
                  <w:noWrap w:val="0"/>
                  <w:vAlign w:val="center"/>
                </w:tcPr>
                <w:p w14:paraId="1118CC86">
                  <w:pPr>
                    <w:pStyle w:val="73"/>
                    <w:keepNext w:val="0"/>
                    <w:keepLines w:val="0"/>
                    <w:pageBreakBefore w:val="0"/>
                    <w:widowControl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21"/>
                      <w:szCs w:val="21"/>
                      <w:lang w:val="en-US" w:eastAsia="zh-CN"/>
                    </w:rPr>
                  </w:pPr>
                  <w:r>
                    <w:rPr>
                      <w:color w:val="auto"/>
                      <w:sz w:val="21"/>
                      <w:szCs w:val="21"/>
                      <w:lang w:val="en-US" w:eastAsia="zh-CN"/>
                    </w:rPr>
                    <w:t>/</w:t>
                  </w:r>
                </w:p>
              </w:tc>
              <w:tc>
                <w:tcPr>
                  <w:tcW w:w="1376" w:type="pct"/>
                  <w:noWrap w:val="0"/>
                  <w:vAlign w:val="center"/>
                </w:tcPr>
                <w:p w14:paraId="3CB57716">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sz w:val="21"/>
                      <w:szCs w:val="21"/>
                      <w:lang w:val="en-US" w:eastAsia="zh-CN"/>
                    </w:rPr>
                  </w:pPr>
                  <w:r>
                    <w:rPr>
                      <w:color w:val="auto"/>
                      <w:sz w:val="21"/>
                      <w:szCs w:val="21"/>
                      <w:lang w:val="en-US" w:eastAsia="zh-CN"/>
                    </w:rPr>
                    <w:t>生活垃圾</w:t>
                  </w:r>
                </w:p>
              </w:tc>
              <w:tc>
                <w:tcPr>
                  <w:tcW w:w="1507" w:type="pct"/>
                  <w:noWrap w:val="0"/>
                  <w:vAlign w:val="center"/>
                </w:tcPr>
                <w:p w14:paraId="65ED2B76">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snapToGrid w:val="0"/>
                      <w:color w:val="auto"/>
                      <w:sz w:val="21"/>
                      <w:szCs w:val="21"/>
                      <w:lang w:val="en-US" w:eastAsia="zh-CN"/>
                    </w:rPr>
                  </w:pPr>
                  <w:r>
                    <w:rPr>
                      <w:snapToGrid w:val="0"/>
                      <w:color w:val="auto"/>
                      <w:sz w:val="21"/>
                      <w:szCs w:val="21"/>
                      <w:lang w:val="en-US" w:eastAsia="zh-CN"/>
                    </w:rPr>
                    <w:t>废纸、袋装物、杂物等</w:t>
                  </w:r>
                </w:p>
              </w:tc>
            </w:tr>
            <w:tr w14:paraId="5B24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noWrap w:val="0"/>
                  <w:vAlign w:val="center"/>
                </w:tcPr>
                <w:p w14:paraId="52797EB0">
                  <w:pPr>
                    <w:pStyle w:val="73"/>
                    <w:keepNext w:val="0"/>
                    <w:keepLines w:val="0"/>
                    <w:pageBreakBefore w:val="0"/>
                    <w:kinsoku/>
                    <w:wordWrap/>
                    <w:overflowPunct/>
                    <w:topLinePunct w:val="0"/>
                    <w:autoSpaceDE/>
                    <w:autoSpaceDN/>
                    <w:bidi w:val="0"/>
                    <w:spacing w:before="0" w:beforeLines="0" w:after="0" w:afterLines="0"/>
                    <w:ind w:left="0" w:leftChars="0" w:firstLine="0" w:firstLineChars="0"/>
                    <w:jc w:val="center"/>
                    <w:textAlignment w:val="auto"/>
                    <w:rPr>
                      <w:color w:val="auto"/>
                      <w:sz w:val="21"/>
                      <w:szCs w:val="21"/>
                      <w:lang w:val="en-US" w:eastAsia="zh-CN"/>
                    </w:rPr>
                  </w:pPr>
                  <w:r>
                    <w:rPr>
                      <w:color w:val="auto"/>
                      <w:sz w:val="21"/>
                      <w:szCs w:val="21"/>
                      <w:lang w:val="en-US" w:eastAsia="zh-CN"/>
                    </w:rPr>
                    <w:t>噪声</w:t>
                  </w:r>
                </w:p>
              </w:tc>
              <w:tc>
                <w:tcPr>
                  <w:tcW w:w="4558" w:type="pct"/>
                  <w:gridSpan w:val="4"/>
                  <w:noWrap w:val="0"/>
                  <w:vAlign w:val="top"/>
                </w:tcPr>
                <w:p w14:paraId="64E08906">
                  <w:pPr>
                    <w:pStyle w:val="73"/>
                    <w:keepNext w:val="0"/>
                    <w:keepLines w:val="0"/>
                    <w:pageBreakBefore w:val="0"/>
                    <w:kinsoku/>
                    <w:wordWrap/>
                    <w:overflowPunct/>
                    <w:topLinePunct w:val="0"/>
                    <w:autoSpaceDE/>
                    <w:autoSpaceDN/>
                    <w:bidi w:val="0"/>
                    <w:spacing w:before="0" w:beforeLines="0" w:after="0" w:afterLines="0"/>
                    <w:jc w:val="center"/>
                    <w:textAlignment w:val="auto"/>
                    <w:rPr>
                      <w:color w:val="auto"/>
                      <w:sz w:val="21"/>
                      <w:szCs w:val="21"/>
                      <w:lang w:val="en-US" w:eastAsia="zh-CN"/>
                    </w:rPr>
                  </w:pPr>
                  <w:r>
                    <w:rPr>
                      <w:color w:val="auto"/>
                      <w:sz w:val="21"/>
                      <w:szCs w:val="21"/>
                      <w:lang w:val="en-US" w:eastAsia="zh-CN"/>
                    </w:rPr>
                    <w:t>N：主要是设备运行时产生的噪声。</w:t>
                  </w:r>
                </w:p>
              </w:tc>
            </w:tr>
          </w:tbl>
          <w:p w14:paraId="2AEC5997">
            <w:pPr>
              <w:pStyle w:val="84"/>
              <w:ind w:left="0" w:leftChars="0" w:firstLine="0" w:firstLineChars="0"/>
              <w:rPr>
                <w:rFonts w:hint="eastAsia"/>
                <w:bCs w:val="0"/>
                <w:color w:val="auto"/>
                <w:lang w:val="en-US" w:eastAsia="zh-CN"/>
              </w:rPr>
            </w:pPr>
          </w:p>
        </w:tc>
      </w:tr>
      <w:tr w14:paraId="1C03B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19" w:hRule="atLeast"/>
          <w:jc w:val="center"/>
        </w:trPr>
        <w:tc>
          <w:tcPr>
            <w:tcW w:w="823" w:type="dxa"/>
            <w:noWrap w:val="0"/>
            <w:vAlign w:val="center"/>
          </w:tcPr>
          <w:p w14:paraId="322C9591">
            <w:pPr>
              <w:pStyle w:val="30"/>
              <w:adjustRightInd w:val="0"/>
              <w:snapToGrid w:val="0"/>
              <w:spacing w:before="0" w:beforeAutospacing="0" w:after="0" w:afterAutospacing="0"/>
              <w:jc w:val="center"/>
              <w:rPr>
                <w:rFonts w:cs="宋体"/>
                <w:color w:val="auto"/>
                <w:sz w:val="21"/>
                <w:szCs w:val="21"/>
                <w:lang w:val="en-US" w:eastAsia="zh-CN"/>
              </w:rPr>
            </w:pPr>
            <w:r>
              <w:rPr>
                <w:rFonts w:hint="eastAsia" w:cs="宋体"/>
                <w:bCs/>
                <w:color w:val="auto"/>
                <w:kern w:val="2"/>
                <w:sz w:val="21"/>
                <w:szCs w:val="21"/>
                <w:lang w:val="en-US" w:eastAsia="zh-CN"/>
              </w:rPr>
              <w:t>与项目有关的原有环境污染问题</w:t>
            </w:r>
          </w:p>
        </w:tc>
        <w:tc>
          <w:tcPr>
            <w:tcW w:w="8161" w:type="dxa"/>
            <w:noWrap w:val="0"/>
            <w:vAlign w:val="top"/>
          </w:tcPr>
          <w:p w14:paraId="243C990D">
            <w:pPr>
              <w:pStyle w:val="84"/>
              <w:ind w:firstLine="422"/>
              <w:rPr>
                <w:b/>
                <w:bCs w:val="0"/>
                <w:color w:val="auto"/>
                <w:lang w:val="en-US" w:eastAsia="zh-CN"/>
              </w:rPr>
            </w:pPr>
            <w:r>
              <w:rPr>
                <w:rFonts w:hint="eastAsia"/>
                <w:b/>
                <w:bCs w:val="0"/>
                <w:color w:val="auto"/>
                <w:lang w:val="en-US" w:eastAsia="zh-CN"/>
              </w:rPr>
              <w:t>1、现有工程环保手续履行情况</w:t>
            </w:r>
          </w:p>
          <w:p w14:paraId="5C050333">
            <w:pPr>
              <w:spacing w:line="360" w:lineRule="auto"/>
              <w:ind w:firstLine="420" w:firstLineChars="200"/>
              <w:rPr>
                <w:color w:val="auto"/>
                <w:sz w:val="21"/>
                <w:szCs w:val="21"/>
                <w:lang w:val="en-US" w:eastAsia="zh-CN"/>
              </w:rPr>
            </w:pPr>
            <w:r>
              <w:rPr>
                <w:rFonts w:hint="eastAsia"/>
                <w:color w:val="auto"/>
                <w:sz w:val="21"/>
                <w:szCs w:val="21"/>
                <w:lang w:val="en-US" w:eastAsia="zh-CN"/>
              </w:rPr>
              <w:t>安徽廖氏玻璃科技有限公司的原有项目为“安徽德联玻璃制品有限责任公司安徽德联玻璃制品厂项目”，项目于</w:t>
            </w:r>
            <w:r>
              <w:rPr>
                <w:color w:val="auto"/>
                <w:kern w:val="0"/>
                <w:sz w:val="21"/>
                <w:szCs w:val="21"/>
              </w:rPr>
              <w:t>于2017年7月4日在淮南市谢家集区发展和改革委员会备案（谢发改[2017]75号）。</w:t>
            </w:r>
            <w:r>
              <w:rPr>
                <w:rFonts w:hint="eastAsia"/>
                <w:color w:val="auto"/>
                <w:kern w:val="0"/>
                <w:sz w:val="21"/>
                <w:szCs w:val="21"/>
                <w:lang w:val="en-US" w:eastAsia="zh-CN"/>
              </w:rPr>
              <w:t>2018年3月5日项目取得了</w:t>
            </w:r>
            <w:r>
              <w:rPr>
                <w:rFonts w:hint="eastAsia" w:ascii="Times New Roman" w:hAnsi="Times New Roman" w:eastAsia="宋体" w:cs="Times New Roman"/>
                <w:bCs/>
                <w:color w:val="auto"/>
                <w:sz w:val="21"/>
                <w:szCs w:val="21"/>
                <w:lang w:val="en-US" w:eastAsia="zh-CN"/>
              </w:rPr>
              <w:t>原淮南市环境保护局出具的“关于安徽德联玻璃制品厂项目环境影响报告表的批复（淮环审复［2018］20号，详见附件4），</w:t>
            </w:r>
            <w:r>
              <w:rPr>
                <w:rFonts w:hint="eastAsia"/>
                <w:color w:val="auto"/>
                <w:sz w:val="21"/>
                <w:szCs w:val="21"/>
                <w:lang w:val="en-US" w:eastAsia="zh-CN"/>
              </w:rPr>
              <w:t>项目于2022年7月1日项目主体发生变更，项目于2024年</w:t>
            </w:r>
            <w:r>
              <w:rPr>
                <w:rFonts w:hint="eastAsia"/>
                <w:color w:val="auto"/>
                <w:sz w:val="21"/>
                <w:szCs w:val="21"/>
                <w:highlight w:val="none"/>
                <w:lang w:val="en-US" w:eastAsia="zh-CN"/>
              </w:rPr>
              <w:t>6月22日</w:t>
            </w:r>
            <w:r>
              <w:rPr>
                <w:rFonts w:hint="eastAsia"/>
                <w:color w:val="auto"/>
                <w:sz w:val="21"/>
                <w:szCs w:val="21"/>
                <w:lang w:val="en-US" w:eastAsia="zh-CN"/>
              </w:rPr>
              <w:t>进行自主环保验收。</w:t>
            </w:r>
          </w:p>
          <w:p w14:paraId="4535EDAD">
            <w:pPr>
              <w:pStyle w:val="84"/>
              <w:rPr>
                <w:rFonts w:hint="eastAsia"/>
                <w:color w:val="auto"/>
                <w:lang w:val="en-US" w:eastAsia="zh-CN"/>
              </w:rPr>
            </w:pPr>
            <w:r>
              <w:rPr>
                <w:rFonts w:hint="eastAsia"/>
                <w:color w:val="auto"/>
                <w:lang w:val="en-US" w:eastAsia="zh-CN"/>
              </w:rPr>
              <w:t>根据《固定污染源排污许可分类管理名录（2019版）》（生态环境部令2019第11号），</w:t>
            </w:r>
            <w:r>
              <w:rPr>
                <w:rFonts w:hint="eastAsia"/>
                <w:color w:val="auto"/>
                <w:sz w:val="21"/>
                <w:szCs w:val="21"/>
                <w:lang w:val="en-US" w:eastAsia="zh-CN"/>
              </w:rPr>
              <w:t>安徽廖氏玻璃科技有限公司</w:t>
            </w:r>
            <w:r>
              <w:rPr>
                <w:rFonts w:hint="eastAsia"/>
                <w:color w:val="auto"/>
                <w:lang w:val="en-US" w:eastAsia="zh-CN"/>
              </w:rPr>
              <w:t>现有工程属于简化管理，已于2022年10月9日履行简化管理书序。证书编号：</w:t>
            </w:r>
            <w:r>
              <w:rPr>
                <w:rFonts w:hint="eastAsia" w:ascii="Times New Roman" w:hAnsi="Times New Roman"/>
                <w:color w:val="auto"/>
                <w:lang w:val="en-US" w:eastAsia="zh-CN"/>
              </w:rPr>
              <w:t>91340400MA2N5AMY4N</w:t>
            </w:r>
            <w:r>
              <w:rPr>
                <w:rFonts w:hint="eastAsia"/>
                <w:color w:val="auto"/>
                <w:lang w:val="en-US" w:eastAsia="zh-CN"/>
              </w:rPr>
              <w:t>。</w:t>
            </w:r>
          </w:p>
          <w:p w14:paraId="225E9CB4">
            <w:pPr>
              <w:pStyle w:val="86"/>
              <w:rPr>
                <w:color w:val="auto"/>
              </w:rPr>
            </w:pPr>
            <w:r>
              <w:rPr>
                <w:rFonts w:hint="eastAsia"/>
                <w:color w:val="auto"/>
              </w:rPr>
              <w:t>表2-</w:t>
            </w:r>
            <w:r>
              <w:rPr>
                <w:rFonts w:hint="eastAsia"/>
                <w:color w:val="auto"/>
                <w:lang w:val="en-US" w:eastAsia="zh-CN"/>
              </w:rPr>
              <w:t>11</w:t>
            </w:r>
            <w:r>
              <w:rPr>
                <w:color w:val="auto"/>
              </w:rPr>
              <w:t xml:space="preserve"> </w:t>
            </w:r>
            <w:r>
              <w:rPr>
                <w:rFonts w:hint="eastAsia"/>
                <w:color w:val="auto"/>
              </w:rPr>
              <w:t xml:space="preserve">  现有工程环境保护“三同时”执行情况汇总表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1333"/>
              <w:gridCol w:w="1150"/>
              <w:gridCol w:w="1269"/>
              <w:gridCol w:w="1418"/>
              <w:gridCol w:w="993"/>
            </w:tblGrid>
            <w:tr w14:paraId="0CFD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dxa"/>
                  <w:vMerge w:val="restart"/>
                  <w:noWrap w:val="0"/>
                  <w:vAlign w:val="center"/>
                </w:tcPr>
                <w:p w14:paraId="221D7602">
                  <w:pPr>
                    <w:jc w:val="center"/>
                    <w:rPr>
                      <w:color w:val="auto"/>
                      <w:sz w:val="18"/>
                      <w:szCs w:val="18"/>
                    </w:rPr>
                  </w:pPr>
                  <w:r>
                    <w:rPr>
                      <w:color w:val="auto"/>
                      <w:sz w:val="18"/>
                      <w:szCs w:val="18"/>
                    </w:rPr>
                    <w:t>项目名称</w:t>
                  </w:r>
                </w:p>
              </w:tc>
              <w:tc>
                <w:tcPr>
                  <w:tcW w:w="3752" w:type="dxa"/>
                  <w:gridSpan w:val="3"/>
                  <w:noWrap w:val="0"/>
                  <w:vAlign w:val="center"/>
                </w:tcPr>
                <w:p w14:paraId="0455E453">
                  <w:pPr>
                    <w:jc w:val="center"/>
                    <w:rPr>
                      <w:color w:val="auto"/>
                      <w:sz w:val="18"/>
                      <w:szCs w:val="18"/>
                    </w:rPr>
                  </w:pPr>
                  <w:r>
                    <w:rPr>
                      <w:color w:val="auto"/>
                      <w:sz w:val="18"/>
                      <w:szCs w:val="18"/>
                    </w:rPr>
                    <w:t>环境影响评价</w:t>
                  </w:r>
                </w:p>
              </w:tc>
              <w:tc>
                <w:tcPr>
                  <w:tcW w:w="1418" w:type="dxa"/>
                  <w:vMerge w:val="restart"/>
                  <w:noWrap w:val="0"/>
                  <w:vAlign w:val="center"/>
                </w:tcPr>
                <w:p w14:paraId="50FAB90D">
                  <w:pPr>
                    <w:jc w:val="center"/>
                    <w:rPr>
                      <w:color w:val="auto"/>
                      <w:sz w:val="18"/>
                      <w:szCs w:val="18"/>
                    </w:rPr>
                  </w:pPr>
                  <w:r>
                    <w:rPr>
                      <w:color w:val="auto"/>
                      <w:sz w:val="18"/>
                      <w:szCs w:val="18"/>
                    </w:rPr>
                    <w:t>竣工环境保护验收</w:t>
                  </w:r>
                </w:p>
              </w:tc>
              <w:tc>
                <w:tcPr>
                  <w:tcW w:w="993" w:type="dxa"/>
                  <w:vMerge w:val="restart"/>
                  <w:noWrap w:val="0"/>
                  <w:vAlign w:val="center"/>
                </w:tcPr>
                <w:p w14:paraId="279CBD28">
                  <w:pPr>
                    <w:jc w:val="center"/>
                    <w:rPr>
                      <w:color w:val="auto"/>
                      <w:sz w:val="18"/>
                      <w:szCs w:val="18"/>
                    </w:rPr>
                  </w:pPr>
                  <w:r>
                    <w:rPr>
                      <w:color w:val="auto"/>
                      <w:sz w:val="18"/>
                      <w:szCs w:val="18"/>
                    </w:rPr>
                    <w:t>备注</w:t>
                  </w:r>
                </w:p>
              </w:tc>
            </w:tr>
            <w:tr w14:paraId="311E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dxa"/>
                  <w:vMerge w:val="continue"/>
                  <w:noWrap w:val="0"/>
                  <w:vAlign w:val="center"/>
                </w:tcPr>
                <w:p w14:paraId="22139293">
                  <w:pPr>
                    <w:jc w:val="center"/>
                    <w:rPr>
                      <w:color w:val="auto"/>
                      <w:sz w:val="18"/>
                      <w:szCs w:val="18"/>
                    </w:rPr>
                  </w:pPr>
                </w:p>
              </w:tc>
              <w:tc>
                <w:tcPr>
                  <w:tcW w:w="1333" w:type="dxa"/>
                  <w:noWrap w:val="0"/>
                  <w:vAlign w:val="center"/>
                </w:tcPr>
                <w:p w14:paraId="757E428B">
                  <w:pPr>
                    <w:jc w:val="center"/>
                    <w:rPr>
                      <w:color w:val="auto"/>
                      <w:sz w:val="18"/>
                      <w:szCs w:val="18"/>
                    </w:rPr>
                  </w:pPr>
                  <w:r>
                    <w:rPr>
                      <w:color w:val="auto"/>
                      <w:sz w:val="18"/>
                      <w:szCs w:val="18"/>
                    </w:rPr>
                    <w:t>审批单位</w:t>
                  </w:r>
                </w:p>
              </w:tc>
              <w:tc>
                <w:tcPr>
                  <w:tcW w:w="1150" w:type="dxa"/>
                  <w:noWrap w:val="0"/>
                  <w:vAlign w:val="center"/>
                </w:tcPr>
                <w:p w14:paraId="738BC3C8">
                  <w:pPr>
                    <w:jc w:val="center"/>
                    <w:rPr>
                      <w:color w:val="auto"/>
                      <w:sz w:val="18"/>
                      <w:szCs w:val="18"/>
                    </w:rPr>
                  </w:pPr>
                  <w:r>
                    <w:rPr>
                      <w:color w:val="auto"/>
                      <w:sz w:val="18"/>
                      <w:szCs w:val="18"/>
                    </w:rPr>
                    <w:t>批准文号</w:t>
                  </w:r>
                </w:p>
              </w:tc>
              <w:tc>
                <w:tcPr>
                  <w:tcW w:w="1269" w:type="dxa"/>
                  <w:noWrap w:val="0"/>
                  <w:vAlign w:val="center"/>
                </w:tcPr>
                <w:p w14:paraId="73FCA699">
                  <w:pPr>
                    <w:jc w:val="center"/>
                    <w:rPr>
                      <w:color w:val="auto"/>
                      <w:sz w:val="18"/>
                      <w:szCs w:val="18"/>
                    </w:rPr>
                  </w:pPr>
                  <w:r>
                    <w:rPr>
                      <w:color w:val="auto"/>
                      <w:sz w:val="18"/>
                      <w:szCs w:val="18"/>
                    </w:rPr>
                    <w:t>时间</w:t>
                  </w:r>
                </w:p>
              </w:tc>
              <w:tc>
                <w:tcPr>
                  <w:tcW w:w="1418" w:type="dxa"/>
                  <w:vMerge w:val="continue"/>
                  <w:noWrap w:val="0"/>
                  <w:vAlign w:val="center"/>
                </w:tcPr>
                <w:p w14:paraId="3BBF4F95">
                  <w:pPr>
                    <w:jc w:val="center"/>
                    <w:rPr>
                      <w:color w:val="auto"/>
                      <w:sz w:val="18"/>
                      <w:szCs w:val="18"/>
                    </w:rPr>
                  </w:pPr>
                </w:p>
              </w:tc>
              <w:tc>
                <w:tcPr>
                  <w:tcW w:w="993" w:type="dxa"/>
                  <w:vMerge w:val="continue"/>
                  <w:noWrap w:val="0"/>
                  <w:vAlign w:val="center"/>
                </w:tcPr>
                <w:p w14:paraId="100A73BD">
                  <w:pPr>
                    <w:jc w:val="center"/>
                    <w:rPr>
                      <w:color w:val="auto"/>
                      <w:sz w:val="18"/>
                      <w:szCs w:val="18"/>
                    </w:rPr>
                  </w:pPr>
                </w:p>
              </w:tc>
            </w:tr>
            <w:tr w14:paraId="09CD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dxa"/>
                  <w:noWrap w:val="0"/>
                  <w:vAlign w:val="center"/>
                </w:tcPr>
                <w:p w14:paraId="52C86CB4">
                  <w:pPr>
                    <w:jc w:val="center"/>
                    <w:rPr>
                      <w:color w:val="auto"/>
                      <w:sz w:val="18"/>
                      <w:szCs w:val="18"/>
                    </w:rPr>
                  </w:pPr>
                  <w:r>
                    <w:rPr>
                      <w:rFonts w:hint="eastAsia"/>
                      <w:color w:val="auto"/>
                      <w:sz w:val="18"/>
                      <w:szCs w:val="18"/>
                      <w:lang w:val="en-US" w:eastAsia="zh-CN"/>
                    </w:rPr>
                    <w:t>安徽德联玻璃制品有限责任公司安徽德联玻璃制品厂项目</w:t>
                  </w:r>
                </w:p>
              </w:tc>
              <w:tc>
                <w:tcPr>
                  <w:tcW w:w="1333" w:type="dxa"/>
                  <w:noWrap w:val="0"/>
                  <w:vAlign w:val="center"/>
                </w:tcPr>
                <w:p w14:paraId="1C8EEB5E">
                  <w:pPr>
                    <w:jc w:val="center"/>
                    <w:rPr>
                      <w:rFonts w:hint="eastAsia"/>
                      <w:color w:val="auto"/>
                      <w:sz w:val="18"/>
                      <w:szCs w:val="18"/>
                    </w:rPr>
                  </w:pPr>
                  <w:r>
                    <w:rPr>
                      <w:rFonts w:hint="eastAsia"/>
                      <w:color w:val="auto"/>
                      <w:sz w:val="18"/>
                      <w:szCs w:val="18"/>
                    </w:rPr>
                    <w:t>原</w:t>
                  </w:r>
                  <w:r>
                    <w:rPr>
                      <w:rFonts w:hint="eastAsia"/>
                      <w:color w:val="auto"/>
                      <w:sz w:val="18"/>
                      <w:szCs w:val="18"/>
                      <w:lang w:val="en-US" w:eastAsia="zh-CN"/>
                    </w:rPr>
                    <w:t>淮南市环境保护局</w:t>
                  </w:r>
                </w:p>
              </w:tc>
              <w:tc>
                <w:tcPr>
                  <w:tcW w:w="1150" w:type="dxa"/>
                  <w:noWrap w:val="0"/>
                  <w:vAlign w:val="center"/>
                </w:tcPr>
                <w:p w14:paraId="274948E7">
                  <w:pPr>
                    <w:jc w:val="center"/>
                    <w:rPr>
                      <w:rFonts w:hint="eastAsia"/>
                      <w:color w:val="auto"/>
                      <w:sz w:val="18"/>
                      <w:szCs w:val="18"/>
                    </w:rPr>
                  </w:pPr>
                  <w:r>
                    <w:rPr>
                      <w:rFonts w:hint="eastAsia" w:ascii="Times New Roman" w:hAnsi="Times New Roman" w:eastAsia="宋体" w:cs="Times New Roman"/>
                      <w:bCs/>
                      <w:color w:val="auto"/>
                      <w:sz w:val="18"/>
                      <w:szCs w:val="18"/>
                      <w:lang w:val="en-US" w:eastAsia="zh-CN"/>
                    </w:rPr>
                    <w:t>淮环审复［208］20号</w:t>
                  </w:r>
                </w:p>
              </w:tc>
              <w:tc>
                <w:tcPr>
                  <w:tcW w:w="1269" w:type="dxa"/>
                  <w:noWrap w:val="0"/>
                  <w:vAlign w:val="center"/>
                </w:tcPr>
                <w:p w14:paraId="1DAA57FD">
                  <w:pPr>
                    <w:jc w:val="center"/>
                    <w:rPr>
                      <w:color w:val="auto"/>
                      <w:sz w:val="18"/>
                      <w:szCs w:val="18"/>
                    </w:rPr>
                  </w:pPr>
                  <w:r>
                    <w:rPr>
                      <w:rFonts w:hint="eastAsia"/>
                      <w:color w:val="auto"/>
                      <w:sz w:val="18"/>
                      <w:szCs w:val="18"/>
                    </w:rPr>
                    <w:t>2</w:t>
                  </w:r>
                  <w:r>
                    <w:rPr>
                      <w:color w:val="auto"/>
                      <w:sz w:val="18"/>
                      <w:szCs w:val="18"/>
                    </w:rPr>
                    <w:t>01</w:t>
                  </w:r>
                  <w:r>
                    <w:rPr>
                      <w:rFonts w:hint="eastAsia"/>
                      <w:color w:val="auto"/>
                      <w:sz w:val="18"/>
                      <w:szCs w:val="18"/>
                      <w:lang w:val="en-US" w:eastAsia="zh-CN"/>
                    </w:rPr>
                    <w:t>8</w:t>
                  </w:r>
                  <w:r>
                    <w:rPr>
                      <w:rFonts w:hint="eastAsia"/>
                      <w:color w:val="auto"/>
                      <w:sz w:val="18"/>
                      <w:szCs w:val="18"/>
                    </w:rPr>
                    <w:t>年</w:t>
                  </w:r>
                  <w:r>
                    <w:rPr>
                      <w:rFonts w:hint="eastAsia"/>
                      <w:color w:val="auto"/>
                      <w:sz w:val="18"/>
                      <w:szCs w:val="18"/>
                      <w:lang w:val="en-US" w:eastAsia="zh-CN"/>
                    </w:rPr>
                    <w:t>3</w:t>
                  </w:r>
                  <w:r>
                    <w:rPr>
                      <w:rFonts w:hint="eastAsia"/>
                      <w:color w:val="auto"/>
                      <w:sz w:val="18"/>
                      <w:szCs w:val="18"/>
                    </w:rPr>
                    <w:t>月</w:t>
                  </w:r>
                  <w:r>
                    <w:rPr>
                      <w:rFonts w:hint="eastAsia"/>
                      <w:color w:val="auto"/>
                      <w:sz w:val="18"/>
                      <w:szCs w:val="18"/>
                      <w:lang w:val="en-US" w:eastAsia="zh-CN"/>
                    </w:rPr>
                    <w:t>5</w:t>
                  </w:r>
                  <w:r>
                    <w:rPr>
                      <w:rFonts w:hint="eastAsia"/>
                      <w:color w:val="auto"/>
                      <w:sz w:val="18"/>
                      <w:szCs w:val="18"/>
                    </w:rPr>
                    <w:t>日</w:t>
                  </w:r>
                </w:p>
              </w:tc>
              <w:tc>
                <w:tcPr>
                  <w:tcW w:w="1418" w:type="dxa"/>
                  <w:noWrap w:val="0"/>
                  <w:vAlign w:val="center"/>
                </w:tcPr>
                <w:p w14:paraId="26173760">
                  <w:pPr>
                    <w:jc w:val="center"/>
                    <w:rPr>
                      <w:rFonts w:hint="default" w:eastAsia="宋体"/>
                      <w:color w:val="auto"/>
                      <w:sz w:val="18"/>
                      <w:szCs w:val="18"/>
                      <w:lang w:val="en-US" w:eastAsia="zh-CN"/>
                    </w:rPr>
                  </w:pPr>
                  <w:r>
                    <w:rPr>
                      <w:rFonts w:hint="eastAsia"/>
                      <w:color w:val="auto"/>
                      <w:sz w:val="18"/>
                      <w:szCs w:val="18"/>
                      <w:highlight w:val="none"/>
                      <w:lang w:val="en-US" w:eastAsia="zh-CN"/>
                    </w:rPr>
                    <w:t>2024年6月22日</w:t>
                  </w:r>
                </w:p>
              </w:tc>
              <w:tc>
                <w:tcPr>
                  <w:tcW w:w="993" w:type="dxa"/>
                  <w:noWrap w:val="0"/>
                  <w:vAlign w:val="center"/>
                </w:tcPr>
                <w:p w14:paraId="3B072F10">
                  <w:pPr>
                    <w:jc w:val="center"/>
                    <w:rPr>
                      <w:color w:val="auto"/>
                      <w:sz w:val="18"/>
                      <w:szCs w:val="18"/>
                    </w:rPr>
                  </w:pPr>
                  <w:r>
                    <w:rPr>
                      <w:rFonts w:hint="eastAsia"/>
                      <w:color w:val="auto"/>
                      <w:sz w:val="18"/>
                      <w:szCs w:val="18"/>
                      <w:lang w:val="en-US" w:eastAsia="zh-CN"/>
                    </w:rPr>
                    <w:t>已</w:t>
                  </w:r>
                  <w:r>
                    <w:rPr>
                      <w:rFonts w:hint="eastAsia"/>
                      <w:color w:val="auto"/>
                      <w:sz w:val="18"/>
                      <w:szCs w:val="18"/>
                    </w:rPr>
                    <w:t>验收</w:t>
                  </w:r>
                </w:p>
              </w:tc>
            </w:tr>
          </w:tbl>
          <w:p w14:paraId="61CC6B6D">
            <w:pPr>
              <w:pStyle w:val="84"/>
              <w:ind w:firstLine="422"/>
              <w:rPr>
                <w:b/>
                <w:bCs w:val="0"/>
                <w:color w:val="auto"/>
                <w:lang w:val="en-US" w:eastAsia="zh-CN"/>
              </w:rPr>
            </w:pPr>
            <w:r>
              <w:rPr>
                <w:rFonts w:hint="eastAsia"/>
                <w:b/>
                <w:bCs w:val="0"/>
                <w:color w:val="auto"/>
                <w:lang w:val="en-US" w:eastAsia="zh-CN"/>
              </w:rPr>
              <w:t>2、现有工程污染治理设施和污染物排放总量核算</w:t>
            </w:r>
          </w:p>
          <w:p w14:paraId="40549B99">
            <w:pPr>
              <w:pStyle w:val="84"/>
              <w:rPr>
                <w:color w:val="auto"/>
                <w:lang w:val="en-US" w:eastAsia="zh-CN"/>
              </w:rPr>
            </w:pPr>
            <w:r>
              <w:rPr>
                <w:rFonts w:hint="eastAsia"/>
                <w:color w:val="auto"/>
                <w:lang w:val="en-US" w:eastAsia="zh-CN"/>
              </w:rPr>
              <w:t>根</w:t>
            </w:r>
            <w:r>
              <w:rPr>
                <w:rFonts w:hint="eastAsia" w:ascii="Times New Roman" w:hAnsi="Times New Roman" w:eastAsia="宋体" w:cs="Times New Roman"/>
                <w:bCs/>
                <w:color w:val="auto"/>
                <w:lang w:val="en-US" w:eastAsia="zh-CN"/>
              </w:rPr>
              <w:t>据《安徽廖氏玻璃科技有限公司玻璃制品厂项目竣工环境保护验收监测报告表》</w:t>
            </w:r>
            <w:r>
              <w:rPr>
                <w:rFonts w:hint="eastAsia"/>
                <w:color w:val="auto"/>
                <w:lang w:val="en-US" w:eastAsia="zh-CN"/>
              </w:rPr>
              <w:t>终验收监测数据（监测时间2</w:t>
            </w:r>
            <w:r>
              <w:rPr>
                <w:color w:val="auto"/>
                <w:lang w:val="en-US" w:eastAsia="zh-CN"/>
              </w:rPr>
              <w:t>02</w:t>
            </w:r>
            <w:r>
              <w:rPr>
                <w:rFonts w:hint="eastAsia"/>
                <w:color w:val="auto"/>
                <w:lang w:val="en-US" w:eastAsia="zh-CN"/>
              </w:rPr>
              <w:t>4年5月30日、31日），项目验收监测期间生产工况为83%。</w:t>
            </w:r>
          </w:p>
          <w:p w14:paraId="4BC16BFD">
            <w:pPr>
              <w:pStyle w:val="84"/>
              <w:rPr>
                <w:color w:val="auto"/>
                <w:lang w:val="en-US" w:eastAsia="zh-CN"/>
              </w:rPr>
            </w:pPr>
            <w:r>
              <w:rPr>
                <w:rFonts w:hint="eastAsia"/>
                <w:color w:val="auto"/>
                <w:lang w:val="en-US" w:eastAsia="zh-CN"/>
              </w:rPr>
              <w:t>（1）有组织废气治理设施及检测结果</w:t>
            </w:r>
          </w:p>
          <w:p w14:paraId="297FC4E9">
            <w:pPr>
              <w:pStyle w:val="84"/>
              <w:rPr>
                <w:color w:val="auto"/>
                <w:lang w:val="en-US" w:eastAsia="zh-CN"/>
              </w:rPr>
            </w:pPr>
            <w:r>
              <w:rPr>
                <w:color w:val="auto"/>
                <w:lang w:val="en-US" w:eastAsia="zh-CN"/>
              </w:rPr>
              <w:t>1</w:t>
            </w:r>
            <w:r>
              <w:rPr>
                <w:rFonts w:hint="eastAsia"/>
                <w:color w:val="auto"/>
                <w:lang w:val="en-US" w:eastAsia="zh-CN"/>
              </w:rPr>
              <w:t>）</w:t>
            </w:r>
            <w:bookmarkStart w:id="8" w:name="_Hlk14335676"/>
            <w:r>
              <w:rPr>
                <w:rFonts w:hint="eastAsia"/>
                <w:color w:val="auto"/>
                <w:lang w:val="en-US" w:eastAsia="zh-CN"/>
              </w:rPr>
              <w:t>熔窑废气</w:t>
            </w:r>
          </w:p>
          <w:bookmarkEnd w:id="8"/>
          <w:p w14:paraId="4D2EC7FD">
            <w:pPr>
              <w:pStyle w:val="84"/>
              <w:rPr>
                <w:color w:val="auto"/>
                <w:lang w:val="en-US" w:eastAsia="zh-CN"/>
              </w:rPr>
            </w:pPr>
            <w:r>
              <w:rPr>
                <w:rFonts w:hint="eastAsia"/>
                <w:color w:val="auto"/>
                <w:lang w:val="en-US" w:eastAsia="zh-CN"/>
              </w:rPr>
              <w:t>熔窑废气采用的热源为天然气，天然气燃烧产生燃烧废气。天然气燃烧废气经过管道直接通过55m高排气筒排放（D</w:t>
            </w:r>
            <w:r>
              <w:rPr>
                <w:color w:val="auto"/>
                <w:lang w:val="en-US" w:eastAsia="zh-CN"/>
              </w:rPr>
              <w:t>A001</w:t>
            </w:r>
            <w:r>
              <w:rPr>
                <w:rFonts w:hint="eastAsia"/>
                <w:color w:val="auto"/>
                <w:lang w:val="en-US" w:eastAsia="zh-CN"/>
              </w:rPr>
              <w:t>）；</w:t>
            </w:r>
          </w:p>
          <w:p w14:paraId="252CE7E9">
            <w:pPr>
              <w:pStyle w:val="84"/>
              <w:rPr>
                <w:rFonts w:hint="default"/>
                <w:color w:val="auto"/>
                <w:lang w:val="en-US" w:eastAsia="zh-CN"/>
              </w:rPr>
            </w:pPr>
            <w:r>
              <w:rPr>
                <w:rFonts w:hint="eastAsia"/>
                <w:color w:val="auto"/>
                <w:lang w:val="en-US" w:eastAsia="zh-CN"/>
              </w:rPr>
              <w:t>2）</w:t>
            </w:r>
            <w:bookmarkStart w:id="9" w:name="_Hlk14335721"/>
            <w:r>
              <w:rPr>
                <w:rFonts w:hint="eastAsia"/>
                <w:color w:val="auto"/>
                <w:lang w:val="en-US" w:eastAsia="zh-CN"/>
              </w:rPr>
              <w:t>混料、搅拌粉尘</w:t>
            </w:r>
          </w:p>
          <w:bookmarkEnd w:id="9"/>
          <w:p w14:paraId="20A6A058">
            <w:pPr>
              <w:pStyle w:val="84"/>
              <w:rPr>
                <w:rFonts w:hint="eastAsia"/>
                <w:color w:val="auto"/>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混料工序粉尘经</w:t>
            </w:r>
            <w:r>
              <w:rPr>
                <w:rFonts w:hint="default" w:ascii="Times New Roman" w:hAnsi="Times New Roman" w:eastAsia="宋体" w:cs="Times New Roman"/>
                <w:b w:val="0"/>
                <w:bCs w:val="0"/>
                <w:color w:val="auto"/>
                <w:kern w:val="2"/>
                <w:sz w:val="21"/>
                <w:szCs w:val="21"/>
                <w:highlight w:val="none"/>
                <w:lang w:val="en-US" w:eastAsia="zh-CN" w:bidi="ar-SA"/>
              </w:rPr>
              <w:t>集气罩收集，</w:t>
            </w:r>
            <w:r>
              <w:rPr>
                <w:rFonts w:hint="eastAsia" w:ascii="Times New Roman" w:hAnsi="Times New Roman" w:eastAsia="宋体" w:cs="Times New Roman"/>
                <w:b w:val="0"/>
                <w:bCs w:val="0"/>
                <w:color w:val="auto"/>
                <w:kern w:val="2"/>
                <w:sz w:val="21"/>
                <w:szCs w:val="21"/>
                <w:highlight w:val="none"/>
                <w:lang w:val="en-US" w:eastAsia="zh-CN" w:bidi="ar-SA"/>
              </w:rPr>
              <w:t>送</w:t>
            </w:r>
            <w:r>
              <w:rPr>
                <w:rFonts w:hint="default" w:ascii="Times New Roman" w:hAnsi="Times New Roman" w:eastAsia="宋体" w:cs="Times New Roman"/>
                <w:b w:val="0"/>
                <w:bCs w:val="0"/>
                <w:color w:val="auto"/>
                <w:kern w:val="2"/>
                <w:sz w:val="21"/>
                <w:szCs w:val="21"/>
                <w:highlight w:val="none"/>
                <w:lang w:val="en-US" w:eastAsia="zh-CN" w:bidi="ar-SA"/>
              </w:rPr>
              <w:t>袋式除尘器处理后，</w:t>
            </w:r>
            <w:r>
              <w:rPr>
                <w:rFonts w:hint="eastAsia" w:ascii="Times New Roman" w:hAnsi="Times New Roman" w:eastAsia="宋体" w:cs="Times New Roman"/>
                <w:b w:val="0"/>
                <w:bCs w:val="0"/>
                <w:color w:val="auto"/>
                <w:kern w:val="2"/>
                <w:sz w:val="21"/>
                <w:szCs w:val="21"/>
                <w:highlight w:val="none"/>
                <w:lang w:val="en-US" w:eastAsia="zh-CN" w:bidi="ar-SA"/>
              </w:rPr>
              <w:t>由15m高DA002排气筒</w:t>
            </w:r>
            <w:r>
              <w:rPr>
                <w:rFonts w:hint="default" w:ascii="Times New Roman" w:hAnsi="Times New Roman" w:eastAsia="宋体" w:cs="Times New Roman"/>
                <w:b w:val="0"/>
                <w:bCs w:val="0"/>
                <w:color w:val="auto"/>
                <w:kern w:val="2"/>
                <w:sz w:val="21"/>
                <w:szCs w:val="21"/>
                <w:highlight w:val="none"/>
                <w:lang w:val="en-US" w:eastAsia="zh-CN" w:bidi="ar-SA"/>
              </w:rPr>
              <w:t>排放</w:t>
            </w:r>
            <w:r>
              <w:rPr>
                <w:rFonts w:hint="eastAsia" w:ascii="Times New Roman" w:hAnsi="Times New Roman" w:cs="Times New Roman"/>
                <w:b w:val="0"/>
                <w:bCs w:val="0"/>
                <w:color w:val="auto"/>
                <w:kern w:val="2"/>
                <w:sz w:val="21"/>
                <w:szCs w:val="21"/>
                <w:highlight w:val="none"/>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投料</w:t>
            </w:r>
            <w:r>
              <w:rPr>
                <w:rFonts w:hint="default" w:ascii="Times New Roman" w:hAnsi="Times New Roman" w:eastAsia="宋体" w:cs="Times New Roman"/>
                <w:b w:val="0"/>
                <w:bCs w:val="0"/>
                <w:color w:val="auto"/>
                <w:kern w:val="2"/>
                <w:sz w:val="21"/>
                <w:szCs w:val="21"/>
                <w:lang w:val="en-US" w:eastAsia="zh-CN" w:bidi="ar-SA"/>
              </w:rPr>
              <w:t>工序粉尘</w:t>
            </w:r>
            <w:r>
              <w:rPr>
                <w:rFonts w:hint="eastAsia" w:ascii="Times New Roman" w:hAnsi="Times New Roman" w:eastAsia="宋体" w:cs="Times New Roman"/>
                <w:b w:val="0"/>
                <w:bCs w:val="0"/>
                <w:color w:val="auto"/>
                <w:kern w:val="2"/>
                <w:sz w:val="21"/>
                <w:szCs w:val="21"/>
                <w:lang w:val="en-US" w:eastAsia="zh-CN" w:bidi="ar-SA"/>
              </w:rPr>
              <w:t>经</w:t>
            </w:r>
            <w:r>
              <w:rPr>
                <w:rFonts w:hint="default" w:ascii="Times New Roman" w:hAnsi="Times New Roman" w:eastAsia="宋体" w:cs="Times New Roman"/>
                <w:b w:val="0"/>
                <w:bCs w:val="0"/>
                <w:color w:val="auto"/>
                <w:kern w:val="2"/>
                <w:sz w:val="21"/>
                <w:szCs w:val="21"/>
                <w:lang w:val="en-US" w:eastAsia="zh-CN" w:bidi="ar-SA"/>
              </w:rPr>
              <w:t>集气罩收集，</w:t>
            </w:r>
            <w:r>
              <w:rPr>
                <w:rFonts w:hint="eastAsia" w:ascii="Times New Roman" w:hAnsi="Times New Roman" w:eastAsia="宋体" w:cs="Times New Roman"/>
                <w:b w:val="0"/>
                <w:bCs w:val="0"/>
                <w:color w:val="auto"/>
                <w:kern w:val="2"/>
                <w:sz w:val="21"/>
                <w:szCs w:val="21"/>
                <w:lang w:val="en-US" w:eastAsia="zh-CN" w:bidi="ar-SA"/>
              </w:rPr>
              <w:t>送</w:t>
            </w:r>
            <w:r>
              <w:rPr>
                <w:rFonts w:hint="default" w:ascii="Times New Roman" w:hAnsi="Times New Roman" w:eastAsia="宋体" w:cs="Times New Roman"/>
                <w:b w:val="0"/>
                <w:bCs w:val="0"/>
                <w:color w:val="auto"/>
                <w:kern w:val="2"/>
                <w:sz w:val="21"/>
                <w:szCs w:val="21"/>
                <w:lang w:val="en-US" w:eastAsia="zh-CN" w:bidi="ar-SA"/>
              </w:rPr>
              <w:t>袋式除尘器处理后，</w:t>
            </w:r>
            <w:r>
              <w:rPr>
                <w:rFonts w:hint="eastAsia" w:ascii="Times New Roman" w:hAnsi="Times New Roman" w:eastAsia="宋体" w:cs="Times New Roman"/>
                <w:b w:val="0"/>
                <w:bCs w:val="0"/>
                <w:color w:val="auto"/>
                <w:kern w:val="2"/>
                <w:sz w:val="21"/>
                <w:szCs w:val="21"/>
                <w:lang w:val="en-US" w:eastAsia="zh-CN" w:bidi="ar-SA"/>
              </w:rPr>
              <w:t>由15m高DA003排气筒</w:t>
            </w:r>
            <w:r>
              <w:rPr>
                <w:rFonts w:hint="default" w:ascii="Times New Roman" w:hAnsi="Times New Roman" w:eastAsia="宋体" w:cs="Times New Roman"/>
                <w:b w:val="0"/>
                <w:bCs w:val="0"/>
                <w:color w:val="auto"/>
                <w:kern w:val="2"/>
                <w:sz w:val="21"/>
                <w:szCs w:val="21"/>
                <w:lang w:val="en-US" w:eastAsia="zh-CN" w:bidi="ar-SA"/>
              </w:rPr>
              <w:t>排放</w:t>
            </w:r>
            <w:r>
              <w:rPr>
                <w:rFonts w:hint="eastAsia"/>
                <w:color w:val="auto"/>
                <w:lang w:val="en-US" w:eastAsia="zh-CN"/>
              </w:rPr>
              <w:t>。</w:t>
            </w:r>
          </w:p>
          <w:p w14:paraId="7BFC0EA6">
            <w:pPr>
              <w:pStyle w:val="84"/>
              <w:rPr>
                <w:rFonts w:hint="default"/>
                <w:color w:val="auto"/>
                <w:lang w:val="en-US" w:eastAsia="zh-CN"/>
              </w:rPr>
            </w:pPr>
            <w:r>
              <w:rPr>
                <w:rFonts w:hint="eastAsia"/>
                <w:color w:val="auto"/>
                <w:lang w:val="en-US" w:eastAsia="zh-CN"/>
              </w:rPr>
              <w:t>3）</w:t>
            </w:r>
            <w:r>
              <w:rPr>
                <w:rFonts w:hint="default" w:ascii="Times New Roman" w:hAnsi="Times New Roman" w:eastAsia="宋体" w:cs="Times New Roman"/>
                <w:b w:val="0"/>
                <w:bCs w:val="0"/>
                <w:color w:val="auto"/>
                <w:kern w:val="2"/>
                <w:sz w:val="21"/>
                <w:szCs w:val="21"/>
                <w:lang w:val="en-US" w:eastAsia="zh-CN" w:bidi="ar-SA"/>
              </w:rPr>
              <w:t>食堂油烟</w:t>
            </w:r>
            <w:r>
              <w:rPr>
                <w:rFonts w:hint="eastAsia" w:ascii="Times New Roman" w:hAnsi="Times New Roman" w:eastAsia="宋体" w:cs="Times New Roman"/>
                <w:b w:val="0"/>
                <w:bCs w:val="0"/>
                <w:color w:val="auto"/>
                <w:kern w:val="2"/>
                <w:sz w:val="21"/>
                <w:szCs w:val="21"/>
                <w:lang w:val="en-US" w:eastAsia="zh-CN" w:bidi="ar-SA"/>
              </w:rPr>
              <w:t>经油烟净化器处理后排放；</w:t>
            </w:r>
          </w:p>
          <w:p w14:paraId="00F14F4F">
            <w:pPr>
              <w:pStyle w:val="86"/>
              <w:rPr>
                <w:color w:val="auto"/>
              </w:rPr>
            </w:pPr>
            <w:r>
              <w:rPr>
                <w:rFonts w:hint="eastAsia"/>
                <w:color w:val="auto"/>
              </w:rPr>
              <w:t>表</w:t>
            </w:r>
            <w:r>
              <w:rPr>
                <w:color w:val="auto"/>
              </w:rPr>
              <w:t>2</w:t>
            </w:r>
            <w:r>
              <w:rPr>
                <w:rFonts w:hint="eastAsia"/>
                <w:color w:val="auto"/>
              </w:rPr>
              <w:t>-</w:t>
            </w:r>
            <w:r>
              <w:rPr>
                <w:rFonts w:hint="eastAsia"/>
                <w:color w:val="auto"/>
                <w:lang w:val="en-US" w:eastAsia="zh-CN"/>
              </w:rPr>
              <w:t xml:space="preserve">12 </w:t>
            </w:r>
            <w:r>
              <w:rPr>
                <w:rFonts w:hint="eastAsia"/>
                <w:color w:val="auto"/>
              </w:rPr>
              <w:t xml:space="preserve"> </w:t>
            </w:r>
            <w:r>
              <w:rPr>
                <w:rFonts w:hint="eastAsia"/>
                <w:color w:val="auto"/>
                <w:lang w:val="en-US" w:eastAsia="zh-CN"/>
              </w:rPr>
              <w:t>熔窑</w:t>
            </w:r>
            <w:r>
              <w:rPr>
                <w:rFonts w:hint="eastAsia"/>
                <w:color w:val="auto"/>
              </w:rPr>
              <w:t>废气监测结果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9"/>
              <w:gridCol w:w="645"/>
              <w:gridCol w:w="720"/>
              <w:gridCol w:w="1882"/>
              <w:gridCol w:w="1336"/>
              <w:gridCol w:w="1284"/>
              <w:gridCol w:w="1339"/>
            </w:tblGrid>
            <w:tr w14:paraId="1C2A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restart"/>
                  <w:noWrap w:val="0"/>
                  <w:vAlign w:val="center"/>
                </w:tcPr>
                <w:p w14:paraId="1DE1E982">
                  <w:pPr>
                    <w:jc w:val="center"/>
                    <w:rPr>
                      <w:rFonts w:eastAsia="新宋体"/>
                      <w:color w:val="auto"/>
                      <w:sz w:val="18"/>
                      <w:szCs w:val="18"/>
                    </w:rPr>
                  </w:pPr>
                  <w:r>
                    <w:rPr>
                      <w:rFonts w:eastAsia="新宋体"/>
                      <w:color w:val="auto"/>
                      <w:sz w:val="18"/>
                      <w:szCs w:val="18"/>
                    </w:rPr>
                    <w:t>检测</w:t>
                  </w:r>
                </w:p>
                <w:p w14:paraId="1132FAC8">
                  <w:pPr>
                    <w:jc w:val="center"/>
                    <w:rPr>
                      <w:rFonts w:eastAsia="新宋体"/>
                      <w:color w:val="auto"/>
                      <w:sz w:val="18"/>
                      <w:szCs w:val="18"/>
                    </w:rPr>
                  </w:pPr>
                  <w:r>
                    <w:rPr>
                      <w:rFonts w:eastAsia="新宋体"/>
                      <w:color w:val="auto"/>
                      <w:sz w:val="18"/>
                      <w:szCs w:val="18"/>
                    </w:rPr>
                    <w:t>点位</w:t>
                  </w:r>
                </w:p>
              </w:tc>
              <w:tc>
                <w:tcPr>
                  <w:tcW w:w="645" w:type="dxa"/>
                  <w:vMerge w:val="restart"/>
                  <w:noWrap w:val="0"/>
                  <w:vAlign w:val="center"/>
                </w:tcPr>
                <w:p w14:paraId="517DB9EC">
                  <w:pPr>
                    <w:jc w:val="center"/>
                    <w:rPr>
                      <w:rFonts w:eastAsia="新宋体"/>
                      <w:color w:val="auto"/>
                      <w:sz w:val="18"/>
                      <w:szCs w:val="18"/>
                    </w:rPr>
                  </w:pPr>
                  <w:r>
                    <w:rPr>
                      <w:rFonts w:eastAsia="新宋体"/>
                      <w:color w:val="auto"/>
                      <w:sz w:val="18"/>
                      <w:szCs w:val="18"/>
                    </w:rPr>
                    <w:t>检测</w:t>
                  </w:r>
                </w:p>
                <w:p w14:paraId="0882E4C9">
                  <w:pPr>
                    <w:jc w:val="center"/>
                    <w:rPr>
                      <w:rFonts w:eastAsia="新宋体"/>
                      <w:color w:val="auto"/>
                      <w:sz w:val="18"/>
                      <w:szCs w:val="18"/>
                    </w:rPr>
                  </w:pPr>
                  <w:r>
                    <w:rPr>
                      <w:rFonts w:eastAsia="新宋体"/>
                      <w:color w:val="auto"/>
                      <w:sz w:val="18"/>
                      <w:szCs w:val="18"/>
                    </w:rPr>
                    <w:t>时间</w:t>
                  </w:r>
                </w:p>
              </w:tc>
              <w:tc>
                <w:tcPr>
                  <w:tcW w:w="2602" w:type="dxa"/>
                  <w:gridSpan w:val="2"/>
                  <w:vMerge w:val="restart"/>
                  <w:noWrap w:val="0"/>
                  <w:vAlign w:val="center"/>
                </w:tcPr>
                <w:p w14:paraId="76D5C724">
                  <w:pPr>
                    <w:jc w:val="center"/>
                    <w:rPr>
                      <w:rFonts w:eastAsia="新宋体"/>
                      <w:color w:val="auto"/>
                      <w:sz w:val="18"/>
                      <w:szCs w:val="18"/>
                    </w:rPr>
                  </w:pPr>
                  <w:r>
                    <w:rPr>
                      <w:rFonts w:eastAsia="新宋体"/>
                      <w:color w:val="auto"/>
                      <w:sz w:val="18"/>
                      <w:szCs w:val="18"/>
                    </w:rPr>
                    <w:t>检测项目</w:t>
                  </w:r>
                </w:p>
              </w:tc>
              <w:tc>
                <w:tcPr>
                  <w:tcW w:w="3959" w:type="dxa"/>
                  <w:gridSpan w:val="3"/>
                  <w:noWrap w:val="0"/>
                  <w:vAlign w:val="center"/>
                </w:tcPr>
                <w:p w14:paraId="55A88CCD">
                  <w:pPr>
                    <w:jc w:val="center"/>
                    <w:rPr>
                      <w:rFonts w:eastAsia="新宋体"/>
                      <w:color w:val="auto"/>
                      <w:sz w:val="18"/>
                      <w:szCs w:val="18"/>
                    </w:rPr>
                  </w:pPr>
                  <w:r>
                    <w:rPr>
                      <w:rFonts w:eastAsia="新宋体"/>
                      <w:color w:val="auto"/>
                      <w:sz w:val="18"/>
                      <w:szCs w:val="18"/>
                    </w:rPr>
                    <w:t>检测结果</w:t>
                  </w:r>
                </w:p>
              </w:tc>
            </w:tr>
            <w:tr w14:paraId="61BB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42F539A9">
                  <w:pPr>
                    <w:jc w:val="center"/>
                    <w:rPr>
                      <w:rFonts w:eastAsia="新宋体"/>
                      <w:color w:val="auto"/>
                      <w:sz w:val="18"/>
                      <w:szCs w:val="18"/>
                    </w:rPr>
                  </w:pPr>
                </w:p>
              </w:tc>
              <w:tc>
                <w:tcPr>
                  <w:tcW w:w="645" w:type="dxa"/>
                  <w:vMerge w:val="continue"/>
                  <w:noWrap w:val="0"/>
                  <w:vAlign w:val="center"/>
                </w:tcPr>
                <w:p w14:paraId="06262D44">
                  <w:pPr>
                    <w:jc w:val="center"/>
                    <w:rPr>
                      <w:rFonts w:eastAsia="新宋体"/>
                      <w:color w:val="auto"/>
                      <w:sz w:val="18"/>
                      <w:szCs w:val="18"/>
                    </w:rPr>
                  </w:pPr>
                </w:p>
              </w:tc>
              <w:tc>
                <w:tcPr>
                  <w:tcW w:w="2602" w:type="dxa"/>
                  <w:gridSpan w:val="2"/>
                  <w:vMerge w:val="continue"/>
                  <w:noWrap w:val="0"/>
                  <w:vAlign w:val="center"/>
                </w:tcPr>
                <w:p w14:paraId="4E5F0F3D">
                  <w:pPr>
                    <w:jc w:val="center"/>
                    <w:rPr>
                      <w:rFonts w:eastAsia="新宋体"/>
                      <w:color w:val="auto"/>
                      <w:sz w:val="18"/>
                      <w:szCs w:val="18"/>
                    </w:rPr>
                  </w:pPr>
                </w:p>
              </w:tc>
              <w:tc>
                <w:tcPr>
                  <w:tcW w:w="1336" w:type="dxa"/>
                  <w:noWrap w:val="0"/>
                  <w:vAlign w:val="center"/>
                </w:tcPr>
                <w:p w14:paraId="4F4EC4BE">
                  <w:pPr>
                    <w:jc w:val="center"/>
                    <w:rPr>
                      <w:rFonts w:eastAsia="新宋体"/>
                      <w:color w:val="auto"/>
                      <w:sz w:val="18"/>
                      <w:szCs w:val="18"/>
                    </w:rPr>
                  </w:pPr>
                  <w:r>
                    <w:rPr>
                      <w:rFonts w:eastAsia="新宋体"/>
                      <w:color w:val="auto"/>
                      <w:sz w:val="18"/>
                      <w:szCs w:val="18"/>
                    </w:rPr>
                    <w:t>Ⅰ</w:t>
                  </w:r>
                </w:p>
              </w:tc>
              <w:tc>
                <w:tcPr>
                  <w:tcW w:w="1284" w:type="dxa"/>
                  <w:noWrap w:val="0"/>
                  <w:vAlign w:val="center"/>
                </w:tcPr>
                <w:p w14:paraId="586EA997">
                  <w:pPr>
                    <w:jc w:val="center"/>
                    <w:rPr>
                      <w:rFonts w:eastAsia="新宋体"/>
                      <w:color w:val="auto"/>
                      <w:sz w:val="18"/>
                      <w:szCs w:val="18"/>
                    </w:rPr>
                  </w:pPr>
                  <w:r>
                    <w:rPr>
                      <w:rFonts w:eastAsia="新宋体"/>
                      <w:color w:val="auto"/>
                      <w:sz w:val="18"/>
                      <w:szCs w:val="18"/>
                    </w:rPr>
                    <w:t>Ⅱ</w:t>
                  </w:r>
                </w:p>
              </w:tc>
              <w:tc>
                <w:tcPr>
                  <w:tcW w:w="1339" w:type="dxa"/>
                  <w:noWrap w:val="0"/>
                  <w:vAlign w:val="center"/>
                </w:tcPr>
                <w:p w14:paraId="7964FDA1">
                  <w:pPr>
                    <w:jc w:val="center"/>
                    <w:rPr>
                      <w:rFonts w:eastAsia="新宋体"/>
                      <w:color w:val="auto"/>
                      <w:sz w:val="18"/>
                      <w:szCs w:val="18"/>
                    </w:rPr>
                  </w:pPr>
                  <w:r>
                    <w:rPr>
                      <w:rFonts w:eastAsia="新宋体"/>
                      <w:color w:val="auto"/>
                      <w:sz w:val="18"/>
                      <w:szCs w:val="18"/>
                    </w:rPr>
                    <w:t>Ⅲ</w:t>
                  </w:r>
                </w:p>
              </w:tc>
            </w:tr>
            <w:tr w14:paraId="6B8A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restart"/>
                  <w:noWrap w:val="0"/>
                  <w:vAlign w:val="center"/>
                </w:tcPr>
                <w:p w14:paraId="4E2BA635">
                  <w:pPr>
                    <w:jc w:val="center"/>
                    <w:rPr>
                      <w:rFonts w:hint="eastAsia" w:eastAsia="宋体"/>
                      <w:color w:val="auto"/>
                      <w:sz w:val="18"/>
                      <w:szCs w:val="18"/>
                      <w:lang w:eastAsia="zh-CN"/>
                    </w:rPr>
                  </w:pPr>
                  <w:r>
                    <w:rPr>
                      <w:color w:val="auto"/>
                      <w:sz w:val="18"/>
                      <w:szCs w:val="18"/>
                    </w:rPr>
                    <w:t>排气筒出口</w:t>
                  </w:r>
                </w:p>
                <w:p w14:paraId="07B79667">
                  <w:pPr>
                    <w:jc w:val="center"/>
                    <w:rPr>
                      <w:color w:val="auto"/>
                      <w:sz w:val="18"/>
                      <w:szCs w:val="18"/>
                    </w:rPr>
                  </w:pPr>
                  <w:r>
                    <w:rPr>
                      <w:rFonts w:hint="eastAsia"/>
                      <w:color w:val="auto"/>
                      <w:sz w:val="18"/>
                      <w:szCs w:val="18"/>
                    </w:rPr>
                    <w:t>DA001</w:t>
                  </w:r>
                </w:p>
              </w:tc>
              <w:tc>
                <w:tcPr>
                  <w:tcW w:w="645" w:type="dxa"/>
                  <w:vMerge w:val="restart"/>
                  <w:noWrap w:val="0"/>
                  <w:vAlign w:val="center"/>
                </w:tcPr>
                <w:p w14:paraId="4CFC7C0F">
                  <w:pPr>
                    <w:widowControl/>
                    <w:adjustRightInd w:val="0"/>
                    <w:snapToGrid w:val="0"/>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30</w:t>
                  </w:r>
                  <w:r>
                    <w:rPr>
                      <w:color w:val="auto"/>
                      <w:sz w:val="18"/>
                      <w:szCs w:val="18"/>
                    </w:rPr>
                    <w:t>日</w:t>
                  </w:r>
                </w:p>
              </w:tc>
              <w:tc>
                <w:tcPr>
                  <w:tcW w:w="2602" w:type="dxa"/>
                  <w:gridSpan w:val="2"/>
                  <w:noWrap w:val="0"/>
                  <w:vAlign w:val="center"/>
                </w:tcPr>
                <w:p w14:paraId="078173E8">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6" w:type="dxa"/>
                  <w:noWrap w:val="0"/>
                  <w:vAlign w:val="center"/>
                </w:tcPr>
                <w:p w14:paraId="0A2F0287">
                  <w:pPr>
                    <w:jc w:val="center"/>
                    <w:rPr>
                      <w:rFonts w:hint="default" w:eastAsia="新宋体"/>
                      <w:color w:val="auto"/>
                      <w:sz w:val="18"/>
                      <w:szCs w:val="18"/>
                      <w:lang w:val="en-US" w:eastAsia="zh-CN"/>
                    </w:rPr>
                  </w:pPr>
                  <w:r>
                    <w:rPr>
                      <w:rFonts w:hint="eastAsia" w:eastAsia="新宋体"/>
                      <w:color w:val="auto"/>
                      <w:sz w:val="18"/>
                      <w:szCs w:val="18"/>
                      <w:lang w:val="en-US" w:eastAsia="zh-CN"/>
                    </w:rPr>
                    <w:t>30753</w:t>
                  </w:r>
                </w:p>
              </w:tc>
              <w:tc>
                <w:tcPr>
                  <w:tcW w:w="1284" w:type="dxa"/>
                  <w:noWrap w:val="0"/>
                  <w:vAlign w:val="center"/>
                </w:tcPr>
                <w:p w14:paraId="119D7F1E">
                  <w:pPr>
                    <w:jc w:val="center"/>
                    <w:rPr>
                      <w:rFonts w:hint="default" w:eastAsia="新宋体"/>
                      <w:color w:val="auto"/>
                      <w:sz w:val="18"/>
                      <w:szCs w:val="18"/>
                      <w:lang w:val="en-US" w:eastAsia="zh-CN"/>
                    </w:rPr>
                  </w:pPr>
                  <w:r>
                    <w:rPr>
                      <w:rFonts w:hint="eastAsia" w:eastAsia="新宋体"/>
                      <w:color w:val="auto"/>
                      <w:sz w:val="18"/>
                      <w:szCs w:val="18"/>
                      <w:lang w:val="en-US" w:eastAsia="zh-CN"/>
                    </w:rPr>
                    <w:t>31364</w:t>
                  </w:r>
                </w:p>
              </w:tc>
              <w:tc>
                <w:tcPr>
                  <w:tcW w:w="1339" w:type="dxa"/>
                  <w:noWrap w:val="0"/>
                  <w:vAlign w:val="center"/>
                </w:tcPr>
                <w:p w14:paraId="17C4924A">
                  <w:pPr>
                    <w:jc w:val="center"/>
                    <w:rPr>
                      <w:rFonts w:hint="default" w:eastAsia="新宋体"/>
                      <w:color w:val="auto"/>
                      <w:sz w:val="18"/>
                      <w:szCs w:val="18"/>
                      <w:lang w:val="en-US" w:eastAsia="zh-CN"/>
                    </w:rPr>
                  </w:pPr>
                  <w:r>
                    <w:rPr>
                      <w:rFonts w:hint="eastAsia" w:eastAsia="新宋体"/>
                      <w:color w:val="auto"/>
                      <w:sz w:val="18"/>
                      <w:szCs w:val="18"/>
                      <w:lang w:val="en-US" w:eastAsia="zh-CN"/>
                    </w:rPr>
                    <w:t>30268</w:t>
                  </w:r>
                </w:p>
              </w:tc>
            </w:tr>
            <w:tr w14:paraId="580B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06AFA24F">
                  <w:pPr>
                    <w:jc w:val="center"/>
                    <w:rPr>
                      <w:color w:val="auto"/>
                      <w:sz w:val="18"/>
                      <w:szCs w:val="18"/>
                    </w:rPr>
                  </w:pPr>
                </w:p>
              </w:tc>
              <w:tc>
                <w:tcPr>
                  <w:tcW w:w="645" w:type="dxa"/>
                  <w:vMerge w:val="continue"/>
                  <w:noWrap w:val="0"/>
                  <w:vAlign w:val="center"/>
                </w:tcPr>
                <w:p w14:paraId="6846AC9B">
                  <w:pPr>
                    <w:widowControl/>
                    <w:adjustRightInd w:val="0"/>
                    <w:snapToGrid w:val="0"/>
                    <w:jc w:val="center"/>
                    <w:rPr>
                      <w:rFonts w:eastAsia="新宋体"/>
                      <w:color w:val="auto"/>
                      <w:sz w:val="18"/>
                      <w:szCs w:val="18"/>
                    </w:rPr>
                  </w:pPr>
                </w:p>
              </w:tc>
              <w:tc>
                <w:tcPr>
                  <w:tcW w:w="720" w:type="dxa"/>
                  <w:vMerge w:val="restart"/>
                  <w:noWrap w:val="0"/>
                  <w:vAlign w:val="center"/>
                </w:tcPr>
                <w:p w14:paraId="16560E02">
                  <w:pPr>
                    <w:jc w:val="center"/>
                    <w:rPr>
                      <w:rFonts w:eastAsia="新宋体"/>
                      <w:color w:val="auto"/>
                      <w:sz w:val="18"/>
                      <w:szCs w:val="18"/>
                    </w:rPr>
                  </w:pPr>
                  <w:r>
                    <w:rPr>
                      <w:rFonts w:hint="eastAsia" w:eastAsia="新宋体"/>
                      <w:color w:val="auto"/>
                      <w:sz w:val="18"/>
                      <w:szCs w:val="18"/>
                    </w:rPr>
                    <w:t>颗粒物</w:t>
                  </w:r>
                </w:p>
              </w:tc>
              <w:tc>
                <w:tcPr>
                  <w:tcW w:w="1882" w:type="dxa"/>
                  <w:noWrap w:val="0"/>
                  <w:vAlign w:val="center"/>
                </w:tcPr>
                <w:p w14:paraId="0043CE63">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1517F61C">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3.8</w:t>
                  </w:r>
                </w:p>
              </w:tc>
              <w:tc>
                <w:tcPr>
                  <w:tcW w:w="1284" w:type="dxa"/>
                  <w:noWrap w:val="0"/>
                  <w:vAlign w:val="center"/>
                </w:tcPr>
                <w:p w14:paraId="72A252A4">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3.3</w:t>
                  </w:r>
                </w:p>
              </w:tc>
              <w:tc>
                <w:tcPr>
                  <w:tcW w:w="1339" w:type="dxa"/>
                  <w:noWrap w:val="0"/>
                  <w:vAlign w:val="center"/>
                </w:tcPr>
                <w:p w14:paraId="2195C25C">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3.1</w:t>
                  </w:r>
                </w:p>
              </w:tc>
            </w:tr>
            <w:tr w14:paraId="227C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892E5E9">
                  <w:pPr>
                    <w:jc w:val="center"/>
                    <w:rPr>
                      <w:rFonts w:eastAsia="新宋体"/>
                      <w:color w:val="auto"/>
                      <w:sz w:val="18"/>
                      <w:szCs w:val="18"/>
                    </w:rPr>
                  </w:pPr>
                </w:p>
              </w:tc>
              <w:tc>
                <w:tcPr>
                  <w:tcW w:w="645" w:type="dxa"/>
                  <w:vMerge w:val="continue"/>
                  <w:noWrap w:val="0"/>
                  <w:vAlign w:val="center"/>
                </w:tcPr>
                <w:p w14:paraId="3B44A37C">
                  <w:pPr>
                    <w:jc w:val="center"/>
                    <w:rPr>
                      <w:rFonts w:eastAsia="新宋体"/>
                      <w:color w:val="auto"/>
                      <w:sz w:val="18"/>
                      <w:szCs w:val="18"/>
                    </w:rPr>
                  </w:pPr>
                </w:p>
              </w:tc>
              <w:tc>
                <w:tcPr>
                  <w:tcW w:w="720" w:type="dxa"/>
                  <w:vMerge w:val="continue"/>
                  <w:noWrap w:val="0"/>
                  <w:vAlign w:val="center"/>
                </w:tcPr>
                <w:p w14:paraId="2B73EC7E">
                  <w:pPr>
                    <w:jc w:val="center"/>
                    <w:rPr>
                      <w:rFonts w:eastAsia="新宋体"/>
                      <w:color w:val="auto"/>
                      <w:sz w:val="18"/>
                      <w:szCs w:val="18"/>
                    </w:rPr>
                  </w:pPr>
                </w:p>
              </w:tc>
              <w:tc>
                <w:tcPr>
                  <w:tcW w:w="1882" w:type="dxa"/>
                  <w:noWrap w:val="0"/>
                  <w:vAlign w:val="center"/>
                </w:tcPr>
                <w:p w14:paraId="69E74520">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27E266BD">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6.5</w:t>
                  </w:r>
                </w:p>
              </w:tc>
              <w:tc>
                <w:tcPr>
                  <w:tcW w:w="1284" w:type="dxa"/>
                  <w:noWrap w:val="0"/>
                  <w:vAlign w:val="center"/>
                </w:tcPr>
                <w:p w14:paraId="5CE1CAA7">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5.9</w:t>
                  </w:r>
                </w:p>
              </w:tc>
              <w:tc>
                <w:tcPr>
                  <w:tcW w:w="1339" w:type="dxa"/>
                  <w:noWrap w:val="0"/>
                  <w:vAlign w:val="center"/>
                </w:tcPr>
                <w:p w14:paraId="2931CE94">
                  <w:pPr>
                    <w:pStyle w:val="73"/>
                    <w:keepNext w:val="0"/>
                    <w:keepLines w:val="0"/>
                    <w:pageBreakBefore w:val="0"/>
                    <w:kinsoku/>
                    <w:wordWrap/>
                    <w:overflowPunct/>
                    <w:topLinePunct w:val="0"/>
                    <w:autoSpaceDE/>
                    <w:autoSpaceDN/>
                    <w:bidi w:val="0"/>
                    <w:adjustRightInd w:val="0"/>
                    <w:snapToGrid w:val="0"/>
                    <w:spacing w:before="0" w:beforeLines="0" w:after="0" w:afterLines="0" w:line="240" w:lineRule="atLeast"/>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5.3</w:t>
                  </w:r>
                </w:p>
              </w:tc>
            </w:tr>
            <w:tr w14:paraId="72A7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AE12363">
                  <w:pPr>
                    <w:jc w:val="center"/>
                    <w:rPr>
                      <w:rFonts w:eastAsia="新宋体"/>
                      <w:color w:val="auto"/>
                      <w:sz w:val="18"/>
                      <w:szCs w:val="18"/>
                    </w:rPr>
                  </w:pPr>
                </w:p>
              </w:tc>
              <w:tc>
                <w:tcPr>
                  <w:tcW w:w="645" w:type="dxa"/>
                  <w:vMerge w:val="continue"/>
                  <w:noWrap w:val="0"/>
                  <w:vAlign w:val="center"/>
                </w:tcPr>
                <w:p w14:paraId="6C1EA7C9">
                  <w:pPr>
                    <w:jc w:val="center"/>
                    <w:rPr>
                      <w:rFonts w:eastAsia="新宋体"/>
                      <w:color w:val="auto"/>
                      <w:sz w:val="18"/>
                      <w:szCs w:val="18"/>
                    </w:rPr>
                  </w:pPr>
                </w:p>
              </w:tc>
              <w:tc>
                <w:tcPr>
                  <w:tcW w:w="720" w:type="dxa"/>
                  <w:vMerge w:val="continue"/>
                  <w:noWrap w:val="0"/>
                  <w:vAlign w:val="center"/>
                </w:tcPr>
                <w:p w14:paraId="42B07C96">
                  <w:pPr>
                    <w:jc w:val="center"/>
                    <w:rPr>
                      <w:rFonts w:eastAsia="新宋体"/>
                      <w:color w:val="auto"/>
                      <w:sz w:val="18"/>
                      <w:szCs w:val="18"/>
                    </w:rPr>
                  </w:pPr>
                </w:p>
              </w:tc>
              <w:tc>
                <w:tcPr>
                  <w:tcW w:w="1882" w:type="dxa"/>
                  <w:noWrap w:val="0"/>
                  <w:vAlign w:val="center"/>
                </w:tcPr>
                <w:p w14:paraId="079F05E8">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4255D068">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default" w:eastAsia="宋体"/>
                      <w:color w:val="auto"/>
                      <w:sz w:val="18"/>
                      <w:szCs w:val="18"/>
                      <w:lang w:val="en-US" w:eastAsia="zh-CN"/>
                    </w:rPr>
                  </w:pPr>
                  <w:r>
                    <w:rPr>
                      <w:rFonts w:hint="eastAsia"/>
                      <w:color w:val="auto"/>
                      <w:sz w:val="18"/>
                      <w:szCs w:val="18"/>
                      <w:lang w:val="en-US" w:eastAsia="zh-CN"/>
                    </w:rPr>
                    <w:t>0.117</w:t>
                  </w:r>
                </w:p>
              </w:tc>
              <w:tc>
                <w:tcPr>
                  <w:tcW w:w="1284" w:type="dxa"/>
                  <w:noWrap w:val="0"/>
                  <w:vAlign w:val="center"/>
                </w:tcPr>
                <w:p w14:paraId="11234C6B">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eastAsia="宋体"/>
                      <w:color w:val="auto"/>
                      <w:sz w:val="18"/>
                      <w:szCs w:val="18"/>
                      <w:lang w:eastAsia="zh-CN"/>
                    </w:rPr>
                  </w:pPr>
                  <w:r>
                    <w:rPr>
                      <w:color w:val="auto"/>
                      <w:sz w:val="18"/>
                      <w:szCs w:val="18"/>
                    </w:rPr>
                    <w:t>0.10</w:t>
                  </w:r>
                  <w:r>
                    <w:rPr>
                      <w:rFonts w:hint="eastAsia"/>
                      <w:color w:val="auto"/>
                      <w:sz w:val="18"/>
                      <w:szCs w:val="18"/>
                      <w:lang w:val="en-US" w:eastAsia="zh-CN"/>
                    </w:rPr>
                    <w:t>4</w:t>
                  </w:r>
                </w:p>
              </w:tc>
              <w:tc>
                <w:tcPr>
                  <w:tcW w:w="1339" w:type="dxa"/>
                  <w:noWrap w:val="0"/>
                  <w:vAlign w:val="center"/>
                </w:tcPr>
                <w:p w14:paraId="1F524623">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094</w:t>
                  </w:r>
                </w:p>
              </w:tc>
            </w:tr>
            <w:tr w14:paraId="3759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0477E37C">
                  <w:pPr>
                    <w:jc w:val="center"/>
                    <w:rPr>
                      <w:rFonts w:eastAsia="新宋体"/>
                      <w:color w:val="auto"/>
                      <w:sz w:val="18"/>
                      <w:szCs w:val="18"/>
                    </w:rPr>
                  </w:pPr>
                </w:p>
              </w:tc>
              <w:tc>
                <w:tcPr>
                  <w:tcW w:w="645" w:type="dxa"/>
                  <w:vMerge w:val="continue"/>
                  <w:noWrap w:val="0"/>
                  <w:vAlign w:val="center"/>
                </w:tcPr>
                <w:p w14:paraId="70F16B1C">
                  <w:pPr>
                    <w:jc w:val="center"/>
                    <w:rPr>
                      <w:rFonts w:eastAsia="新宋体"/>
                      <w:color w:val="auto"/>
                      <w:sz w:val="18"/>
                      <w:szCs w:val="18"/>
                    </w:rPr>
                  </w:pPr>
                </w:p>
              </w:tc>
              <w:tc>
                <w:tcPr>
                  <w:tcW w:w="720" w:type="dxa"/>
                  <w:vMerge w:val="restart"/>
                  <w:noWrap w:val="0"/>
                  <w:vAlign w:val="center"/>
                </w:tcPr>
                <w:p w14:paraId="410194D7">
                  <w:pPr>
                    <w:jc w:val="center"/>
                    <w:rPr>
                      <w:rFonts w:eastAsia="新宋体"/>
                      <w:color w:val="auto"/>
                      <w:sz w:val="18"/>
                      <w:szCs w:val="18"/>
                    </w:rPr>
                  </w:pPr>
                  <w:r>
                    <w:rPr>
                      <w:rFonts w:hint="eastAsia" w:eastAsia="新宋体"/>
                      <w:color w:val="auto"/>
                      <w:sz w:val="18"/>
                      <w:szCs w:val="18"/>
                    </w:rPr>
                    <w:t>SO</w:t>
                  </w:r>
                  <w:r>
                    <w:rPr>
                      <w:rFonts w:hint="eastAsia" w:eastAsia="新宋体"/>
                      <w:color w:val="auto"/>
                      <w:sz w:val="18"/>
                      <w:szCs w:val="18"/>
                      <w:vertAlign w:val="subscript"/>
                    </w:rPr>
                    <w:t>2</w:t>
                  </w:r>
                </w:p>
              </w:tc>
              <w:tc>
                <w:tcPr>
                  <w:tcW w:w="1882" w:type="dxa"/>
                  <w:noWrap w:val="0"/>
                  <w:vAlign w:val="center"/>
                </w:tcPr>
                <w:p w14:paraId="3EF1E368">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6095088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5</w:t>
                  </w:r>
                </w:p>
              </w:tc>
              <w:tc>
                <w:tcPr>
                  <w:tcW w:w="1284" w:type="dxa"/>
                  <w:noWrap w:val="0"/>
                  <w:vAlign w:val="center"/>
                </w:tcPr>
                <w:p w14:paraId="441CDA8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4</w:t>
                  </w:r>
                </w:p>
              </w:tc>
              <w:tc>
                <w:tcPr>
                  <w:tcW w:w="1339" w:type="dxa"/>
                  <w:noWrap w:val="0"/>
                  <w:vAlign w:val="center"/>
                </w:tcPr>
                <w:p w14:paraId="06AB3D7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4</w:t>
                  </w:r>
                </w:p>
              </w:tc>
            </w:tr>
            <w:tr w14:paraId="5A50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409F31B8">
                  <w:pPr>
                    <w:jc w:val="center"/>
                    <w:rPr>
                      <w:rFonts w:eastAsia="新宋体"/>
                      <w:color w:val="auto"/>
                      <w:sz w:val="18"/>
                      <w:szCs w:val="18"/>
                    </w:rPr>
                  </w:pPr>
                </w:p>
              </w:tc>
              <w:tc>
                <w:tcPr>
                  <w:tcW w:w="645" w:type="dxa"/>
                  <w:vMerge w:val="continue"/>
                  <w:noWrap w:val="0"/>
                  <w:vAlign w:val="center"/>
                </w:tcPr>
                <w:p w14:paraId="0C1DF595">
                  <w:pPr>
                    <w:jc w:val="center"/>
                    <w:rPr>
                      <w:rFonts w:eastAsia="新宋体"/>
                      <w:color w:val="auto"/>
                      <w:sz w:val="18"/>
                      <w:szCs w:val="18"/>
                    </w:rPr>
                  </w:pPr>
                </w:p>
              </w:tc>
              <w:tc>
                <w:tcPr>
                  <w:tcW w:w="720" w:type="dxa"/>
                  <w:vMerge w:val="continue"/>
                  <w:noWrap w:val="0"/>
                  <w:vAlign w:val="center"/>
                </w:tcPr>
                <w:p w14:paraId="5CBDABE5">
                  <w:pPr>
                    <w:jc w:val="center"/>
                    <w:rPr>
                      <w:rFonts w:eastAsia="新宋体"/>
                      <w:color w:val="auto"/>
                      <w:sz w:val="18"/>
                      <w:szCs w:val="18"/>
                    </w:rPr>
                  </w:pPr>
                </w:p>
              </w:tc>
              <w:tc>
                <w:tcPr>
                  <w:tcW w:w="1882" w:type="dxa"/>
                  <w:noWrap w:val="0"/>
                  <w:vAlign w:val="center"/>
                </w:tcPr>
                <w:p w14:paraId="69A6EF3B">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633E9A4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9</w:t>
                  </w:r>
                </w:p>
              </w:tc>
              <w:tc>
                <w:tcPr>
                  <w:tcW w:w="1284" w:type="dxa"/>
                  <w:noWrap w:val="0"/>
                  <w:vAlign w:val="center"/>
                </w:tcPr>
                <w:p w14:paraId="646C9BD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7</w:t>
                  </w:r>
                </w:p>
              </w:tc>
              <w:tc>
                <w:tcPr>
                  <w:tcW w:w="1339" w:type="dxa"/>
                  <w:noWrap w:val="0"/>
                  <w:vAlign w:val="center"/>
                </w:tcPr>
                <w:p w14:paraId="538A610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eastAsia="宋体" w:cs="Times New Roman"/>
                      <w:color w:val="auto"/>
                      <w:sz w:val="18"/>
                      <w:szCs w:val="18"/>
                      <w:lang w:val="en-US" w:eastAsia="zh-CN"/>
                    </w:rPr>
                    <w:t>7</w:t>
                  </w:r>
                </w:p>
              </w:tc>
            </w:tr>
            <w:tr w14:paraId="07FE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1DF1B1F3">
                  <w:pPr>
                    <w:jc w:val="center"/>
                    <w:rPr>
                      <w:rFonts w:eastAsia="新宋体"/>
                      <w:color w:val="auto"/>
                      <w:sz w:val="18"/>
                      <w:szCs w:val="18"/>
                    </w:rPr>
                  </w:pPr>
                </w:p>
              </w:tc>
              <w:tc>
                <w:tcPr>
                  <w:tcW w:w="645" w:type="dxa"/>
                  <w:vMerge w:val="continue"/>
                  <w:noWrap w:val="0"/>
                  <w:vAlign w:val="center"/>
                </w:tcPr>
                <w:p w14:paraId="276498A1">
                  <w:pPr>
                    <w:jc w:val="center"/>
                    <w:rPr>
                      <w:rFonts w:eastAsia="新宋体"/>
                      <w:color w:val="auto"/>
                      <w:sz w:val="18"/>
                      <w:szCs w:val="18"/>
                    </w:rPr>
                  </w:pPr>
                </w:p>
              </w:tc>
              <w:tc>
                <w:tcPr>
                  <w:tcW w:w="720" w:type="dxa"/>
                  <w:vMerge w:val="continue"/>
                  <w:noWrap w:val="0"/>
                  <w:vAlign w:val="center"/>
                </w:tcPr>
                <w:p w14:paraId="0EAAAF3E">
                  <w:pPr>
                    <w:jc w:val="center"/>
                    <w:rPr>
                      <w:rFonts w:eastAsia="新宋体"/>
                      <w:color w:val="auto"/>
                      <w:sz w:val="18"/>
                      <w:szCs w:val="18"/>
                    </w:rPr>
                  </w:pPr>
                </w:p>
              </w:tc>
              <w:tc>
                <w:tcPr>
                  <w:tcW w:w="1882" w:type="dxa"/>
                  <w:noWrap w:val="0"/>
                  <w:vAlign w:val="center"/>
                </w:tcPr>
                <w:p w14:paraId="05E38191">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4819A47C">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154</w:t>
                  </w:r>
                </w:p>
              </w:tc>
              <w:tc>
                <w:tcPr>
                  <w:tcW w:w="1284" w:type="dxa"/>
                  <w:noWrap w:val="0"/>
                  <w:vAlign w:val="center"/>
                </w:tcPr>
                <w:p w14:paraId="0B23036E">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125</w:t>
                  </w:r>
                </w:p>
              </w:tc>
              <w:tc>
                <w:tcPr>
                  <w:tcW w:w="1339" w:type="dxa"/>
                  <w:noWrap w:val="0"/>
                  <w:vAlign w:val="center"/>
                </w:tcPr>
                <w:p w14:paraId="6108D956">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212</w:t>
                  </w:r>
                </w:p>
              </w:tc>
            </w:tr>
            <w:tr w14:paraId="75C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00367597">
                  <w:pPr>
                    <w:jc w:val="center"/>
                    <w:rPr>
                      <w:rFonts w:eastAsia="新宋体"/>
                      <w:color w:val="auto"/>
                      <w:sz w:val="18"/>
                      <w:szCs w:val="18"/>
                    </w:rPr>
                  </w:pPr>
                </w:p>
              </w:tc>
              <w:tc>
                <w:tcPr>
                  <w:tcW w:w="645" w:type="dxa"/>
                  <w:vMerge w:val="continue"/>
                  <w:noWrap w:val="0"/>
                  <w:vAlign w:val="center"/>
                </w:tcPr>
                <w:p w14:paraId="196F5F15">
                  <w:pPr>
                    <w:jc w:val="center"/>
                    <w:rPr>
                      <w:rFonts w:eastAsia="新宋体"/>
                      <w:color w:val="auto"/>
                      <w:sz w:val="18"/>
                      <w:szCs w:val="18"/>
                    </w:rPr>
                  </w:pPr>
                </w:p>
              </w:tc>
              <w:tc>
                <w:tcPr>
                  <w:tcW w:w="720" w:type="dxa"/>
                  <w:vMerge w:val="restart"/>
                  <w:noWrap w:val="0"/>
                  <w:vAlign w:val="center"/>
                </w:tcPr>
                <w:p w14:paraId="314E5633">
                  <w:pPr>
                    <w:jc w:val="center"/>
                    <w:rPr>
                      <w:rFonts w:eastAsia="新宋体"/>
                      <w:color w:val="auto"/>
                      <w:sz w:val="18"/>
                      <w:szCs w:val="18"/>
                    </w:rPr>
                  </w:pPr>
                  <w:r>
                    <w:rPr>
                      <w:color w:val="auto"/>
                      <w:sz w:val="18"/>
                      <w:szCs w:val="18"/>
                    </w:rPr>
                    <w:t>NO</w:t>
                  </w:r>
                  <w:r>
                    <w:rPr>
                      <w:color w:val="auto"/>
                      <w:sz w:val="18"/>
                      <w:szCs w:val="18"/>
                      <w:vertAlign w:val="subscript"/>
                    </w:rPr>
                    <w:t>X</w:t>
                  </w:r>
                </w:p>
              </w:tc>
              <w:tc>
                <w:tcPr>
                  <w:tcW w:w="1882" w:type="dxa"/>
                  <w:noWrap w:val="0"/>
                  <w:vAlign w:val="center"/>
                </w:tcPr>
                <w:p w14:paraId="5EB371F2">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7319202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17.5</w:t>
                  </w:r>
                </w:p>
              </w:tc>
              <w:tc>
                <w:tcPr>
                  <w:tcW w:w="1284" w:type="dxa"/>
                  <w:noWrap w:val="0"/>
                  <w:vAlign w:val="center"/>
                </w:tcPr>
                <w:p w14:paraId="5ADB9C9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12.6</w:t>
                  </w:r>
                </w:p>
              </w:tc>
              <w:tc>
                <w:tcPr>
                  <w:tcW w:w="1339" w:type="dxa"/>
                  <w:noWrap w:val="0"/>
                  <w:vAlign w:val="center"/>
                </w:tcPr>
                <w:p w14:paraId="6B16ADF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9.8</w:t>
                  </w:r>
                </w:p>
              </w:tc>
            </w:tr>
            <w:tr w14:paraId="1560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BE32035">
                  <w:pPr>
                    <w:jc w:val="center"/>
                    <w:rPr>
                      <w:rFonts w:eastAsia="新宋体"/>
                      <w:color w:val="auto"/>
                      <w:sz w:val="18"/>
                      <w:szCs w:val="18"/>
                    </w:rPr>
                  </w:pPr>
                </w:p>
              </w:tc>
              <w:tc>
                <w:tcPr>
                  <w:tcW w:w="645" w:type="dxa"/>
                  <w:vMerge w:val="continue"/>
                  <w:noWrap w:val="0"/>
                  <w:vAlign w:val="center"/>
                </w:tcPr>
                <w:p w14:paraId="06195909">
                  <w:pPr>
                    <w:jc w:val="center"/>
                    <w:rPr>
                      <w:rFonts w:eastAsia="新宋体"/>
                      <w:color w:val="auto"/>
                      <w:sz w:val="18"/>
                      <w:szCs w:val="18"/>
                    </w:rPr>
                  </w:pPr>
                </w:p>
              </w:tc>
              <w:tc>
                <w:tcPr>
                  <w:tcW w:w="720" w:type="dxa"/>
                  <w:vMerge w:val="continue"/>
                  <w:noWrap w:val="0"/>
                  <w:vAlign w:val="center"/>
                </w:tcPr>
                <w:p w14:paraId="0713C447">
                  <w:pPr>
                    <w:jc w:val="center"/>
                    <w:rPr>
                      <w:rFonts w:eastAsia="新宋体"/>
                      <w:color w:val="auto"/>
                      <w:sz w:val="18"/>
                      <w:szCs w:val="18"/>
                    </w:rPr>
                  </w:pPr>
                </w:p>
              </w:tc>
              <w:tc>
                <w:tcPr>
                  <w:tcW w:w="1882" w:type="dxa"/>
                  <w:noWrap w:val="0"/>
                  <w:vAlign w:val="center"/>
                </w:tcPr>
                <w:p w14:paraId="2589E5DD">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7F7BFB6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30</w:t>
                  </w:r>
                </w:p>
              </w:tc>
              <w:tc>
                <w:tcPr>
                  <w:tcW w:w="1284" w:type="dxa"/>
                  <w:noWrap w:val="0"/>
                  <w:vAlign w:val="center"/>
                </w:tcPr>
                <w:p w14:paraId="450DB4F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22</w:t>
                  </w:r>
                </w:p>
              </w:tc>
              <w:tc>
                <w:tcPr>
                  <w:tcW w:w="1339" w:type="dxa"/>
                  <w:noWrap w:val="0"/>
                  <w:vAlign w:val="center"/>
                </w:tcPr>
                <w:p w14:paraId="0A5E726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kern w:val="0"/>
                      <w:sz w:val="18"/>
                      <w:szCs w:val="18"/>
                    </w:rPr>
                  </w:pPr>
                  <w:r>
                    <w:rPr>
                      <w:rFonts w:hint="eastAsia" w:ascii="Times New Roman" w:hAnsi="Times New Roman" w:eastAsia="宋体" w:cs="Times New Roman"/>
                      <w:color w:val="auto"/>
                      <w:sz w:val="18"/>
                      <w:szCs w:val="18"/>
                      <w:lang w:val="en-US" w:eastAsia="zh-CN"/>
                    </w:rPr>
                    <w:t>17</w:t>
                  </w:r>
                </w:p>
              </w:tc>
            </w:tr>
            <w:tr w14:paraId="28E3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53646E43">
                  <w:pPr>
                    <w:jc w:val="center"/>
                    <w:rPr>
                      <w:rFonts w:eastAsia="新宋体"/>
                      <w:color w:val="auto"/>
                      <w:sz w:val="18"/>
                      <w:szCs w:val="18"/>
                    </w:rPr>
                  </w:pPr>
                </w:p>
              </w:tc>
              <w:tc>
                <w:tcPr>
                  <w:tcW w:w="645" w:type="dxa"/>
                  <w:vMerge w:val="continue"/>
                  <w:noWrap w:val="0"/>
                  <w:vAlign w:val="center"/>
                </w:tcPr>
                <w:p w14:paraId="6F3366B3">
                  <w:pPr>
                    <w:jc w:val="center"/>
                    <w:rPr>
                      <w:rFonts w:eastAsia="新宋体"/>
                      <w:color w:val="auto"/>
                      <w:sz w:val="18"/>
                      <w:szCs w:val="18"/>
                    </w:rPr>
                  </w:pPr>
                </w:p>
              </w:tc>
              <w:tc>
                <w:tcPr>
                  <w:tcW w:w="720" w:type="dxa"/>
                  <w:vMerge w:val="continue"/>
                  <w:noWrap w:val="0"/>
                  <w:vAlign w:val="center"/>
                </w:tcPr>
                <w:p w14:paraId="72CE3576">
                  <w:pPr>
                    <w:jc w:val="center"/>
                    <w:rPr>
                      <w:rFonts w:eastAsia="新宋体"/>
                      <w:color w:val="auto"/>
                      <w:sz w:val="18"/>
                      <w:szCs w:val="18"/>
                    </w:rPr>
                  </w:pPr>
                </w:p>
              </w:tc>
              <w:tc>
                <w:tcPr>
                  <w:tcW w:w="1882" w:type="dxa"/>
                  <w:noWrap w:val="0"/>
                  <w:vAlign w:val="center"/>
                </w:tcPr>
                <w:p w14:paraId="33367A72">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008E191C">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0.538</w:t>
                  </w:r>
                </w:p>
              </w:tc>
              <w:tc>
                <w:tcPr>
                  <w:tcW w:w="1284" w:type="dxa"/>
                  <w:noWrap w:val="0"/>
                  <w:vAlign w:val="center"/>
                </w:tcPr>
                <w:p w14:paraId="792ABCDF">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0.395</w:t>
                  </w:r>
                </w:p>
              </w:tc>
              <w:tc>
                <w:tcPr>
                  <w:tcW w:w="1339" w:type="dxa"/>
                  <w:noWrap w:val="0"/>
                  <w:vAlign w:val="center"/>
                </w:tcPr>
                <w:p w14:paraId="4D5985F1">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0.297</w:t>
                  </w:r>
                </w:p>
              </w:tc>
            </w:tr>
            <w:tr w14:paraId="38FB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40B470DC">
                  <w:pPr>
                    <w:jc w:val="center"/>
                    <w:rPr>
                      <w:rFonts w:eastAsia="新宋体"/>
                      <w:color w:val="auto"/>
                      <w:sz w:val="18"/>
                      <w:szCs w:val="18"/>
                    </w:rPr>
                  </w:pPr>
                </w:p>
              </w:tc>
              <w:tc>
                <w:tcPr>
                  <w:tcW w:w="645" w:type="dxa"/>
                  <w:vMerge w:val="continue"/>
                  <w:noWrap w:val="0"/>
                  <w:vAlign w:val="center"/>
                </w:tcPr>
                <w:p w14:paraId="20AE07C1">
                  <w:pPr>
                    <w:jc w:val="center"/>
                    <w:rPr>
                      <w:rFonts w:eastAsia="新宋体"/>
                      <w:color w:val="auto"/>
                      <w:sz w:val="18"/>
                      <w:szCs w:val="18"/>
                    </w:rPr>
                  </w:pPr>
                </w:p>
              </w:tc>
              <w:tc>
                <w:tcPr>
                  <w:tcW w:w="720" w:type="dxa"/>
                  <w:vMerge w:val="restart"/>
                  <w:noWrap w:val="0"/>
                  <w:vAlign w:val="center"/>
                </w:tcPr>
                <w:p w14:paraId="29B93E1C">
                  <w:pPr>
                    <w:jc w:val="center"/>
                    <w:rPr>
                      <w:rFonts w:hint="default" w:eastAsia="新宋体"/>
                      <w:color w:val="auto"/>
                      <w:sz w:val="18"/>
                      <w:szCs w:val="18"/>
                      <w:lang w:val="en-US" w:eastAsia="zh-CN"/>
                    </w:rPr>
                  </w:pPr>
                  <w:r>
                    <w:rPr>
                      <w:rFonts w:hint="eastAsia" w:eastAsia="新宋体"/>
                      <w:color w:val="auto"/>
                      <w:sz w:val="18"/>
                      <w:szCs w:val="18"/>
                      <w:lang w:val="en-US" w:eastAsia="zh-CN"/>
                    </w:rPr>
                    <w:t>氨</w:t>
                  </w:r>
                </w:p>
              </w:tc>
              <w:tc>
                <w:tcPr>
                  <w:tcW w:w="1882" w:type="dxa"/>
                  <w:noWrap w:val="0"/>
                  <w:vAlign w:val="center"/>
                </w:tcPr>
                <w:p w14:paraId="272C376E">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528A63A8">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1.51</w:t>
                  </w:r>
                </w:p>
              </w:tc>
              <w:tc>
                <w:tcPr>
                  <w:tcW w:w="1284" w:type="dxa"/>
                  <w:noWrap w:val="0"/>
                  <w:vAlign w:val="center"/>
                </w:tcPr>
                <w:p w14:paraId="62EC0039">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1.63</w:t>
                  </w:r>
                </w:p>
              </w:tc>
              <w:tc>
                <w:tcPr>
                  <w:tcW w:w="1339" w:type="dxa"/>
                  <w:noWrap w:val="0"/>
                  <w:vAlign w:val="center"/>
                </w:tcPr>
                <w:p w14:paraId="1480BEA6">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1.78</w:t>
                  </w:r>
                </w:p>
              </w:tc>
            </w:tr>
            <w:tr w14:paraId="08BC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199FD1D2">
                  <w:pPr>
                    <w:jc w:val="center"/>
                    <w:rPr>
                      <w:rFonts w:eastAsia="新宋体"/>
                      <w:color w:val="auto"/>
                      <w:sz w:val="18"/>
                      <w:szCs w:val="18"/>
                    </w:rPr>
                  </w:pPr>
                </w:p>
              </w:tc>
              <w:tc>
                <w:tcPr>
                  <w:tcW w:w="645" w:type="dxa"/>
                  <w:vMerge w:val="continue"/>
                  <w:noWrap w:val="0"/>
                  <w:vAlign w:val="center"/>
                </w:tcPr>
                <w:p w14:paraId="227D59EB">
                  <w:pPr>
                    <w:jc w:val="center"/>
                    <w:rPr>
                      <w:rFonts w:eastAsia="新宋体"/>
                      <w:color w:val="auto"/>
                      <w:sz w:val="18"/>
                      <w:szCs w:val="18"/>
                    </w:rPr>
                  </w:pPr>
                </w:p>
              </w:tc>
              <w:tc>
                <w:tcPr>
                  <w:tcW w:w="720" w:type="dxa"/>
                  <w:vMerge w:val="continue"/>
                  <w:noWrap w:val="0"/>
                  <w:vAlign w:val="center"/>
                </w:tcPr>
                <w:p w14:paraId="5E5D8B6C">
                  <w:pPr>
                    <w:jc w:val="center"/>
                    <w:rPr>
                      <w:rFonts w:eastAsia="新宋体"/>
                      <w:color w:val="auto"/>
                      <w:sz w:val="18"/>
                      <w:szCs w:val="18"/>
                    </w:rPr>
                  </w:pPr>
                </w:p>
              </w:tc>
              <w:tc>
                <w:tcPr>
                  <w:tcW w:w="1882" w:type="dxa"/>
                  <w:noWrap w:val="0"/>
                  <w:vAlign w:val="center"/>
                </w:tcPr>
                <w:p w14:paraId="3439A649">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2F05DF72">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2.58</w:t>
                  </w:r>
                </w:p>
              </w:tc>
              <w:tc>
                <w:tcPr>
                  <w:tcW w:w="1284" w:type="dxa"/>
                  <w:noWrap w:val="0"/>
                  <w:vAlign w:val="center"/>
                </w:tcPr>
                <w:p w14:paraId="0CCBF4B2">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2.90</w:t>
                  </w:r>
                </w:p>
              </w:tc>
              <w:tc>
                <w:tcPr>
                  <w:tcW w:w="1339" w:type="dxa"/>
                  <w:noWrap w:val="0"/>
                  <w:vAlign w:val="center"/>
                </w:tcPr>
                <w:p w14:paraId="5A06DD28">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3.04</w:t>
                  </w:r>
                </w:p>
              </w:tc>
            </w:tr>
            <w:tr w14:paraId="4459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7279F011">
                  <w:pPr>
                    <w:jc w:val="center"/>
                    <w:rPr>
                      <w:rFonts w:eastAsia="新宋体"/>
                      <w:color w:val="auto"/>
                      <w:sz w:val="18"/>
                      <w:szCs w:val="18"/>
                    </w:rPr>
                  </w:pPr>
                </w:p>
              </w:tc>
              <w:tc>
                <w:tcPr>
                  <w:tcW w:w="645" w:type="dxa"/>
                  <w:vMerge w:val="continue"/>
                  <w:noWrap w:val="0"/>
                  <w:vAlign w:val="center"/>
                </w:tcPr>
                <w:p w14:paraId="4AF2CC23">
                  <w:pPr>
                    <w:jc w:val="center"/>
                    <w:rPr>
                      <w:rFonts w:eastAsia="新宋体"/>
                      <w:color w:val="auto"/>
                      <w:sz w:val="18"/>
                      <w:szCs w:val="18"/>
                    </w:rPr>
                  </w:pPr>
                </w:p>
              </w:tc>
              <w:tc>
                <w:tcPr>
                  <w:tcW w:w="720" w:type="dxa"/>
                  <w:vMerge w:val="continue"/>
                  <w:noWrap w:val="0"/>
                  <w:vAlign w:val="center"/>
                </w:tcPr>
                <w:p w14:paraId="580C36AB">
                  <w:pPr>
                    <w:jc w:val="center"/>
                    <w:rPr>
                      <w:rFonts w:eastAsia="新宋体"/>
                      <w:color w:val="auto"/>
                      <w:sz w:val="18"/>
                      <w:szCs w:val="18"/>
                    </w:rPr>
                  </w:pPr>
                </w:p>
              </w:tc>
              <w:tc>
                <w:tcPr>
                  <w:tcW w:w="1882" w:type="dxa"/>
                  <w:noWrap w:val="0"/>
                  <w:vAlign w:val="center"/>
                </w:tcPr>
                <w:p w14:paraId="5C97688E">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4D8EAD29">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0.046</w:t>
                  </w:r>
                </w:p>
              </w:tc>
              <w:tc>
                <w:tcPr>
                  <w:tcW w:w="1284" w:type="dxa"/>
                  <w:noWrap w:val="0"/>
                  <w:vAlign w:val="center"/>
                </w:tcPr>
                <w:p w14:paraId="6B69E478">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0.091</w:t>
                  </w:r>
                </w:p>
              </w:tc>
              <w:tc>
                <w:tcPr>
                  <w:tcW w:w="1339" w:type="dxa"/>
                  <w:noWrap w:val="0"/>
                  <w:vAlign w:val="center"/>
                </w:tcPr>
                <w:p w14:paraId="25621665">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0.054</w:t>
                  </w:r>
                </w:p>
              </w:tc>
            </w:tr>
            <w:tr w14:paraId="7386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1EFE60D3">
                  <w:pPr>
                    <w:jc w:val="center"/>
                    <w:rPr>
                      <w:rFonts w:eastAsia="新宋体"/>
                      <w:color w:val="auto"/>
                      <w:sz w:val="18"/>
                      <w:szCs w:val="18"/>
                    </w:rPr>
                  </w:pPr>
                </w:p>
              </w:tc>
              <w:tc>
                <w:tcPr>
                  <w:tcW w:w="645" w:type="dxa"/>
                  <w:vMerge w:val="restart"/>
                  <w:noWrap w:val="0"/>
                  <w:vAlign w:val="center"/>
                </w:tcPr>
                <w:p w14:paraId="7704AF0E">
                  <w:pPr>
                    <w:widowControl/>
                    <w:adjustRightInd w:val="0"/>
                    <w:snapToGrid w:val="0"/>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31</w:t>
                  </w:r>
                  <w:r>
                    <w:rPr>
                      <w:color w:val="auto"/>
                      <w:sz w:val="18"/>
                      <w:szCs w:val="18"/>
                    </w:rPr>
                    <w:t>日</w:t>
                  </w:r>
                </w:p>
              </w:tc>
              <w:tc>
                <w:tcPr>
                  <w:tcW w:w="2602" w:type="dxa"/>
                  <w:gridSpan w:val="2"/>
                  <w:noWrap w:val="0"/>
                  <w:vAlign w:val="center"/>
                </w:tcPr>
                <w:p w14:paraId="22D1CE60">
                  <w:pPr>
                    <w:jc w:val="center"/>
                    <w:rPr>
                      <w:rFonts w:hint="default" w:eastAsia="新宋体"/>
                      <w:color w:val="auto"/>
                      <w:sz w:val="18"/>
                      <w:szCs w:val="18"/>
                      <w:lang w:val="en-US" w:eastAsia="zh-CN"/>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6" w:type="dxa"/>
                  <w:noWrap w:val="0"/>
                  <w:vAlign w:val="center"/>
                </w:tcPr>
                <w:p w14:paraId="728072BD">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30501</w:t>
                  </w:r>
                </w:p>
              </w:tc>
              <w:tc>
                <w:tcPr>
                  <w:tcW w:w="1284" w:type="dxa"/>
                  <w:noWrap w:val="0"/>
                  <w:vAlign w:val="center"/>
                </w:tcPr>
                <w:p w14:paraId="79C7D0AA">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29962</w:t>
                  </w:r>
                </w:p>
              </w:tc>
              <w:tc>
                <w:tcPr>
                  <w:tcW w:w="1339" w:type="dxa"/>
                  <w:noWrap w:val="0"/>
                  <w:vAlign w:val="center"/>
                </w:tcPr>
                <w:p w14:paraId="25202F52">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30832</w:t>
                  </w:r>
                </w:p>
              </w:tc>
            </w:tr>
            <w:tr w14:paraId="7417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58A24DC1">
                  <w:pPr>
                    <w:jc w:val="center"/>
                    <w:rPr>
                      <w:rFonts w:eastAsia="新宋体"/>
                      <w:color w:val="auto"/>
                      <w:sz w:val="18"/>
                      <w:szCs w:val="18"/>
                    </w:rPr>
                  </w:pPr>
                </w:p>
              </w:tc>
              <w:tc>
                <w:tcPr>
                  <w:tcW w:w="645" w:type="dxa"/>
                  <w:vMerge w:val="continue"/>
                  <w:noWrap w:val="0"/>
                  <w:vAlign w:val="center"/>
                </w:tcPr>
                <w:p w14:paraId="6CB81958">
                  <w:pPr>
                    <w:widowControl/>
                    <w:adjustRightInd w:val="0"/>
                    <w:snapToGrid w:val="0"/>
                    <w:jc w:val="center"/>
                    <w:rPr>
                      <w:rFonts w:eastAsia="新宋体"/>
                      <w:color w:val="auto"/>
                      <w:sz w:val="18"/>
                      <w:szCs w:val="18"/>
                    </w:rPr>
                  </w:pPr>
                </w:p>
              </w:tc>
              <w:tc>
                <w:tcPr>
                  <w:tcW w:w="720" w:type="dxa"/>
                  <w:vMerge w:val="restart"/>
                  <w:noWrap w:val="0"/>
                  <w:vAlign w:val="center"/>
                </w:tcPr>
                <w:p w14:paraId="14F86398">
                  <w:pPr>
                    <w:jc w:val="center"/>
                    <w:rPr>
                      <w:rFonts w:eastAsia="新宋体"/>
                      <w:color w:val="auto"/>
                      <w:sz w:val="18"/>
                      <w:szCs w:val="18"/>
                    </w:rPr>
                  </w:pPr>
                  <w:r>
                    <w:rPr>
                      <w:rFonts w:hint="eastAsia" w:eastAsia="新宋体"/>
                      <w:color w:val="auto"/>
                      <w:sz w:val="18"/>
                      <w:szCs w:val="18"/>
                    </w:rPr>
                    <w:t>颗粒物</w:t>
                  </w:r>
                </w:p>
              </w:tc>
              <w:tc>
                <w:tcPr>
                  <w:tcW w:w="1882" w:type="dxa"/>
                  <w:noWrap w:val="0"/>
                  <w:vAlign w:val="center"/>
                </w:tcPr>
                <w:p w14:paraId="55AF6606">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06F5A88E">
                  <w:pPr>
                    <w:jc w:val="center"/>
                    <w:rPr>
                      <w:rFonts w:hint="default" w:eastAsia="宋体"/>
                      <w:color w:val="auto"/>
                      <w:sz w:val="18"/>
                      <w:szCs w:val="18"/>
                      <w:lang w:val="en-US" w:eastAsia="zh-CN"/>
                    </w:rPr>
                  </w:pPr>
                  <w:r>
                    <w:rPr>
                      <w:rFonts w:hint="eastAsia"/>
                      <w:color w:val="auto"/>
                      <w:sz w:val="18"/>
                      <w:szCs w:val="18"/>
                      <w:lang w:val="en-US" w:eastAsia="zh-CN"/>
                    </w:rPr>
                    <w:t>2.6</w:t>
                  </w:r>
                </w:p>
              </w:tc>
              <w:tc>
                <w:tcPr>
                  <w:tcW w:w="1284" w:type="dxa"/>
                  <w:noWrap w:val="0"/>
                  <w:vAlign w:val="center"/>
                </w:tcPr>
                <w:p w14:paraId="11A8496E">
                  <w:pPr>
                    <w:jc w:val="center"/>
                    <w:rPr>
                      <w:rFonts w:hint="default" w:eastAsia="宋体"/>
                      <w:color w:val="auto"/>
                      <w:sz w:val="18"/>
                      <w:szCs w:val="18"/>
                      <w:lang w:val="en-US" w:eastAsia="zh-CN"/>
                    </w:rPr>
                  </w:pPr>
                  <w:r>
                    <w:rPr>
                      <w:rFonts w:hint="eastAsia"/>
                      <w:color w:val="auto"/>
                      <w:sz w:val="18"/>
                      <w:szCs w:val="18"/>
                      <w:lang w:val="en-US" w:eastAsia="zh-CN"/>
                    </w:rPr>
                    <w:t>3.5</w:t>
                  </w:r>
                </w:p>
              </w:tc>
              <w:tc>
                <w:tcPr>
                  <w:tcW w:w="1339" w:type="dxa"/>
                  <w:noWrap w:val="0"/>
                  <w:vAlign w:val="center"/>
                </w:tcPr>
                <w:p w14:paraId="1C60E822">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2.9</w:t>
                  </w:r>
                </w:p>
              </w:tc>
            </w:tr>
            <w:tr w14:paraId="73F3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05D55ED3">
                  <w:pPr>
                    <w:jc w:val="center"/>
                    <w:rPr>
                      <w:rFonts w:eastAsia="新宋体"/>
                      <w:color w:val="auto"/>
                      <w:sz w:val="18"/>
                      <w:szCs w:val="18"/>
                    </w:rPr>
                  </w:pPr>
                </w:p>
              </w:tc>
              <w:tc>
                <w:tcPr>
                  <w:tcW w:w="645" w:type="dxa"/>
                  <w:vMerge w:val="continue"/>
                  <w:noWrap w:val="0"/>
                  <w:vAlign w:val="center"/>
                </w:tcPr>
                <w:p w14:paraId="26018FA6">
                  <w:pPr>
                    <w:jc w:val="center"/>
                    <w:rPr>
                      <w:rFonts w:eastAsia="新宋体"/>
                      <w:color w:val="auto"/>
                      <w:sz w:val="18"/>
                      <w:szCs w:val="18"/>
                    </w:rPr>
                  </w:pPr>
                </w:p>
              </w:tc>
              <w:tc>
                <w:tcPr>
                  <w:tcW w:w="720" w:type="dxa"/>
                  <w:vMerge w:val="continue"/>
                  <w:noWrap w:val="0"/>
                  <w:vAlign w:val="center"/>
                </w:tcPr>
                <w:p w14:paraId="70AB12C8">
                  <w:pPr>
                    <w:jc w:val="center"/>
                    <w:rPr>
                      <w:rFonts w:eastAsia="新宋体"/>
                      <w:color w:val="auto"/>
                      <w:sz w:val="18"/>
                      <w:szCs w:val="18"/>
                    </w:rPr>
                  </w:pPr>
                </w:p>
              </w:tc>
              <w:tc>
                <w:tcPr>
                  <w:tcW w:w="1882" w:type="dxa"/>
                  <w:noWrap w:val="0"/>
                  <w:vAlign w:val="center"/>
                </w:tcPr>
                <w:p w14:paraId="5F41309F">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229FF5DA">
                  <w:pPr>
                    <w:jc w:val="center"/>
                    <w:rPr>
                      <w:rFonts w:hint="default" w:eastAsia="宋体"/>
                      <w:color w:val="auto"/>
                      <w:sz w:val="18"/>
                      <w:szCs w:val="18"/>
                      <w:lang w:val="en-US" w:eastAsia="zh-CN"/>
                    </w:rPr>
                  </w:pPr>
                  <w:r>
                    <w:rPr>
                      <w:rFonts w:hint="eastAsia"/>
                      <w:color w:val="auto"/>
                      <w:sz w:val="18"/>
                      <w:szCs w:val="18"/>
                      <w:lang w:val="en-US" w:eastAsia="zh-CN"/>
                    </w:rPr>
                    <w:t>4.7</w:t>
                  </w:r>
                </w:p>
              </w:tc>
              <w:tc>
                <w:tcPr>
                  <w:tcW w:w="1284" w:type="dxa"/>
                  <w:noWrap w:val="0"/>
                  <w:vAlign w:val="center"/>
                </w:tcPr>
                <w:p w14:paraId="7CBD8243">
                  <w:pPr>
                    <w:jc w:val="center"/>
                    <w:rPr>
                      <w:rFonts w:hint="default" w:eastAsia="宋体"/>
                      <w:color w:val="auto"/>
                      <w:sz w:val="18"/>
                      <w:szCs w:val="18"/>
                      <w:lang w:val="en-US" w:eastAsia="zh-CN"/>
                    </w:rPr>
                  </w:pPr>
                  <w:r>
                    <w:rPr>
                      <w:rFonts w:hint="eastAsia"/>
                      <w:color w:val="auto"/>
                      <w:sz w:val="18"/>
                      <w:szCs w:val="18"/>
                      <w:lang w:val="en-US" w:eastAsia="zh-CN"/>
                    </w:rPr>
                    <w:t>6.7</w:t>
                  </w:r>
                </w:p>
              </w:tc>
              <w:tc>
                <w:tcPr>
                  <w:tcW w:w="1339" w:type="dxa"/>
                  <w:noWrap w:val="0"/>
                  <w:vAlign w:val="center"/>
                </w:tcPr>
                <w:p w14:paraId="3A6CCC7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5.4</w:t>
                  </w:r>
                </w:p>
              </w:tc>
            </w:tr>
            <w:tr w14:paraId="20F9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66373E56">
                  <w:pPr>
                    <w:jc w:val="center"/>
                    <w:rPr>
                      <w:rFonts w:eastAsia="新宋体"/>
                      <w:color w:val="auto"/>
                      <w:sz w:val="18"/>
                      <w:szCs w:val="18"/>
                    </w:rPr>
                  </w:pPr>
                </w:p>
              </w:tc>
              <w:tc>
                <w:tcPr>
                  <w:tcW w:w="645" w:type="dxa"/>
                  <w:vMerge w:val="continue"/>
                  <w:noWrap w:val="0"/>
                  <w:vAlign w:val="center"/>
                </w:tcPr>
                <w:p w14:paraId="38627EB7">
                  <w:pPr>
                    <w:jc w:val="center"/>
                    <w:rPr>
                      <w:rFonts w:eastAsia="新宋体"/>
                      <w:color w:val="auto"/>
                      <w:sz w:val="18"/>
                      <w:szCs w:val="18"/>
                    </w:rPr>
                  </w:pPr>
                </w:p>
              </w:tc>
              <w:tc>
                <w:tcPr>
                  <w:tcW w:w="720" w:type="dxa"/>
                  <w:vMerge w:val="continue"/>
                  <w:noWrap w:val="0"/>
                  <w:vAlign w:val="center"/>
                </w:tcPr>
                <w:p w14:paraId="06594855">
                  <w:pPr>
                    <w:jc w:val="center"/>
                    <w:rPr>
                      <w:rFonts w:eastAsia="新宋体"/>
                      <w:color w:val="auto"/>
                      <w:sz w:val="18"/>
                      <w:szCs w:val="18"/>
                    </w:rPr>
                  </w:pPr>
                </w:p>
              </w:tc>
              <w:tc>
                <w:tcPr>
                  <w:tcW w:w="1882" w:type="dxa"/>
                  <w:noWrap w:val="0"/>
                  <w:vAlign w:val="center"/>
                </w:tcPr>
                <w:p w14:paraId="494DA39C">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5D586CB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0.079</w:t>
                  </w:r>
                </w:p>
              </w:tc>
              <w:tc>
                <w:tcPr>
                  <w:tcW w:w="1284" w:type="dxa"/>
                  <w:noWrap w:val="0"/>
                  <w:vAlign w:val="center"/>
                </w:tcPr>
                <w:p w14:paraId="4AF28917">
                  <w:pPr>
                    <w:widowControl/>
                    <w:jc w:val="center"/>
                    <w:textAlignment w:val="center"/>
                    <w:rPr>
                      <w:rFonts w:hint="eastAsia" w:eastAsia="宋体"/>
                      <w:color w:val="auto"/>
                      <w:sz w:val="18"/>
                      <w:szCs w:val="18"/>
                      <w:lang w:val="en-US" w:eastAsia="zh-CN"/>
                    </w:rPr>
                  </w:pPr>
                  <w:r>
                    <w:rPr>
                      <w:color w:val="auto"/>
                      <w:sz w:val="18"/>
                      <w:szCs w:val="18"/>
                    </w:rPr>
                    <w:t>0.10</w:t>
                  </w:r>
                  <w:r>
                    <w:rPr>
                      <w:rFonts w:hint="eastAsia"/>
                      <w:color w:val="auto"/>
                      <w:sz w:val="18"/>
                      <w:szCs w:val="18"/>
                      <w:lang w:val="en-US" w:eastAsia="zh-CN"/>
                    </w:rPr>
                    <w:t>5</w:t>
                  </w:r>
                </w:p>
              </w:tc>
              <w:tc>
                <w:tcPr>
                  <w:tcW w:w="1339" w:type="dxa"/>
                  <w:noWrap w:val="0"/>
                  <w:vAlign w:val="center"/>
                </w:tcPr>
                <w:p w14:paraId="006FFCE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0.089</w:t>
                  </w:r>
                </w:p>
              </w:tc>
            </w:tr>
            <w:tr w14:paraId="40C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728ED0B">
                  <w:pPr>
                    <w:jc w:val="center"/>
                    <w:rPr>
                      <w:rFonts w:eastAsia="新宋体"/>
                      <w:color w:val="auto"/>
                      <w:sz w:val="18"/>
                      <w:szCs w:val="18"/>
                    </w:rPr>
                  </w:pPr>
                </w:p>
              </w:tc>
              <w:tc>
                <w:tcPr>
                  <w:tcW w:w="645" w:type="dxa"/>
                  <w:vMerge w:val="continue"/>
                  <w:noWrap w:val="0"/>
                  <w:vAlign w:val="center"/>
                </w:tcPr>
                <w:p w14:paraId="433F6439">
                  <w:pPr>
                    <w:jc w:val="center"/>
                    <w:rPr>
                      <w:rFonts w:eastAsia="新宋体"/>
                      <w:color w:val="auto"/>
                      <w:sz w:val="18"/>
                      <w:szCs w:val="18"/>
                    </w:rPr>
                  </w:pPr>
                </w:p>
              </w:tc>
              <w:tc>
                <w:tcPr>
                  <w:tcW w:w="720" w:type="dxa"/>
                  <w:vMerge w:val="restart"/>
                  <w:noWrap w:val="0"/>
                  <w:vAlign w:val="center"/>
                </w:tcPr>
                <w:p w14:paraId="490058C1">
                  <w:pPr>
                    <w:jc w:val="center"/>
                    <w:rPr>
                      <w:rFonts w:eastAsia="新宋体"/>
                      <w:color w:val="auto"/>
                      <w:sz w:val="18"/>
                      <w:szCs w:val="18"/>
                    </w:rPr>
                  </w:pPr>
                  <w:r>
                    <w:rPr>
                      <w:rFonts w:hint="eastAsia" w:eastAsia="新宋体"/>
                      <w:color w:val="auto"/>
                      <w:sz w:val="18"/>
                      <w:szCs w:val="18"/>
                    </w:rPr>
                    <w:t>SO</w:t>
                  </w:r>
                  <w:r>
                    <w:rPr>
                      <w:rFonts w:hint="eastAsia" w:eastAsia="新宋体"/>
                      <w:color w:val="auto"/>
                      <w:sz w:val="18"/>
                      <w:szCs w:val="18"/>
                      <w:vertAlign w:val="subscript"/>
                    </w:rPr>
                    <w:t>2</w:t>
                  </w:r>
                </w:p>
              </w:tc>
              <w:tc>
                <w:tcPr>
                  <w:tcW w:w="1882" w:type="dxa"/>
                  <w:noWrap w:val="0"/>
                  <w:vAlign w:val="center"/>
                </w:tcPr>
                <w:p w14:paraId="2958F0F8">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44336B9F">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4</w:t>
                  </w:r>
                </w:p>
              </w:tc>
              <w:tc>
                <w:tcPr>
                  <w:tcW w:w="1284" w:type="dxa"/>
                  <w:noWrap w:val="0"/>
                  <w:vAlign w:val="center"/>
                </w:tcPr>
                <w:p w14:paraId="6F0BA9C3">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w:t>
                  </w:r>
                </w:p>
              </w:tc>
              <w:tc>
                <w:tcPr>
                  <w:tcW w:w="1339" w:type="dxa"/>
                  <w:noWrap w:val="0"/>
                  <w:vAlign w:val="center"/>
                </w:tcPr>
                <w:p w14:paraId="49E47937">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4</w:t>
                  </w:r>
                </w:p>
              </w:tc>
            </w:tr>
            <w:tr w14:paraId="1FFA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FD89C14">
                  <w:pPr>
                    <w:jc w:val="center"/>
                    <w:rPr>
                      <w:rFonts w:eastAsia="新宋体"/>
                      <w:color w:val="auto"/>
                      <w:sz w:val="18"/>
                      <w:szCs w:val="18"/>
                    </w:rPr>
                  </w:pPr>
                </w:p>
              </w:tc>
              <w:tc>
                <w:tcPr>
                  <w:tcW w:w="645" w:type="dxa"/>
                  <w:vMerge w:val="continue"/>
                  <w:noWrap w:val="0"/>
                  <w:vAlign w:val="center"/>
                </w:tcPr>
                <w:p w14:paraId="14FD3F65">
                  <w:pPr>
                    <w:jc w:val="center"/>
                    <w:rPr>
                      <w:rFonts w:eastAsia="新宋体"/>
                      <w:color w:val="auto"/>
                      <w:sz w:val="18"/>
                      <w:szCs w:val="18"/>
                    </w:rPr>
                  </w:pPr>
                </w:p>
              </w:tc>
              <w:tc>
                <w:tcPr>
                  <w:tcW w:w="720" w:type="dxa"/>
                  <w:vMerge w:val="continue"/>
                  <w:noWrap w:val="0"/>
                  <w:vAlign w:val="center"/>
                </w:tcPr>
                <w:p w14:paraId="67E9531C">
                  <w:pPr>
                    <w:jc w:val="center"/>
                    <w:rPr>
                      <w:rFonts w:eastAsia="新宋体"/>
                      <w:color w:val="auto"/>
                      <w:sz w:val="18"/>
                      <w:szCs w:val="18"/>
                    </w:rPr>
                  </w:pPr>
                </w:p>
              </w:tc>
              <w:tc>
                <w:tcPr>
                  <w:tcW w:w="1882" w:type="dxa"/>
                  <w:noWrap w:val="0"/>
                  <w:vAlign w:val="center"/>
                </w:tcPr>
                <w:p w14:paraId="0D709663">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37C6D777">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7</w:t>
                  </w:r>
                </w:p>
              </w:tc>
              <w:tc>
                <w:tcPr>
                  <w:tcW w:w="1284" w:type="dxa"/>
                  <w:noWrap w:val="0"/>
                  <w:vAlign w:val="center"/>
                </w:tcPr>
                <w:p w14:paraId="630B2A72">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1339" w:type="dxa"/>
                  <w:noWrap w:val="0"/>
                  <w:vAlign w:val="center"/>
                </w:tcPr>
                <w:p w14:paraId="31CA7C9D">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7</w:t>
                  </w:r>
                </w:p>
              </w:tc>
            </w:tr>
            <w:tr w14:paraId="74CD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405F57CC">
                  <w:pPr>
                    <w:jc w:val="center"/>
                    <w:rPr>
                      <w:rFonts w:eastAsia="新宋体"/>
                      <w:color w:val="auto"/>
                      <w:sz w:val="18"/>
                      <w:szCs w:val="18"/>
                    </w:rPr>
                  </w:pPr>
                </w:p>
              </w:tc>
              <w:tc>
                <w:tcPr>
                  <w:tcW w:w="645" w:type="dxa"/>
                  <w:vMerge w:val="continue"/>
                  <w:noWrap w:val="0"/>
                  <w:vAlign w:val="center"/>
                </w:tcPr>
                <w:p w14:paraId="6EB35EA7">
                  <w:pPr>
                    <w:jc w:val="center"/>
                    <w:rPr>
                      <w:rFonts w:eastAsia="新宋体"/>
                      <w:color w:val="auto"/>
                      <w:sz w:val="18"/>
                      <w:szCs w:val="18"/>
                    </w:rPr>
                  </w:pPr>
                </w:p>
              </w:tc>
              <w:tc>
                <w:tcPr>
                  <w:tcW w:w="720" w:type="dxa"/>
                  <w:vMerge w:val="continue"/>
                  <w:noWrap w:val="0"/>
                  <w:vAlign w:val="center"/>
                </w:tcPr>
                <w:p w14:paraId="30E5CE72">
                  <w:pPr>
                    <w:jc w:val="center"/>
                    <w:rPr>
                      <w:rFonts w:eastAsia="新宋体"/>
                      <w:color w:val="auto"/>
                      <w:sz w:val="18"/>
                      <w:szCs w:val="18"/>
                    </w:rPr>
                  </w:pPr>
                </w:p>
              </w:tc>
              <w:tc>
                <w:tcPr>
                  <w:tcW w:w="1882" w:type="dxa"/>
                  <w:noWrap w:val="0"/>
                  <w:vAlign w:val="center"/>
                </w:tcPr>
                <w:p w14:paraId="3BC00845">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609BD611">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122</w:t>
                  </w:r>
                </w:p>
              </w:tc>
              <w:tc>
                <w:tcPr>
                  <w:tcW w:w="1284" w:type="dxa"/>
                  <w:noWrap w:val="0"/>
                  <w:vAlign w:val="center"/>
                </w:tcPr>
                <w:p w14:paraId="70E08A4B">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150</w:t>
                  </w:r>
                </w:p>
              </w:tc>
              <w:tc>
                <w:tcPr>
                  <w:tcW w:w="1339" w:type="dxa"/>
                  <w:noWrap w:val="0"/>
                  <w:vAlign w:val="center"/>
                </w:tcPr>
                <w:p w14:paraId="343DEF97">
                  <w:pPr>
                    <w:widowControl/>
                    <w:jc w:val="center"/>
                    <w:textAlignment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123</w:t>
                  </w:r>
                </w:p>
              </w:tc>
            </w:tr>
            <w:tr w14:paraId="4A16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22810DE5">
                  <w:pPr>
                    <w:jc w:val="center"/>
                    <w:rPr>
                      <w:rFonts w:eastAsia="新宋体"/>
                      <w:color w:val="auto"/>
                      <w:sz w:val="18"/>
                      <w:szCs w:val="18"/>
                    </w:rPr>
                  </w:pPr>
                </w:p>
              </w:tc>
              <w:tc>
                <w:tcPr>
                  <w:tcW w:w="645" w:type="dxa"/>
                  <w:vMerge w:val="continue"/>
                  <w:noWrap w:val="0"/>
                  <w:vAlign w:val="center"/>
                </w:tcPr>
                <w:p w14:paraId="25433578">
                  <w:pPr>
                    <w:jc w:val="center"/>
                    <w:rPr>
                      <w:rFonts w:eastAsia="新宋体"/>
                      <w:color w:val="auto"/>
                      <w:sz w:val="18"/>
                      <w:szCs w:val="18"/>
                    </w:rPr>
                  </w:pPr>
                </w:p>
              </w:tc>
              <w:tc>
                <w:tcPr>
                  <w:tcW w:w="720" w:type="dxa"/>
                  <w:vMerge w:val="restart"/>
                  <w:noWrap w:val="0"/>
                  <w:vAlign w:val="center"/>
                </w:tcPr>
                <w:p w14:paraId="1858D5C4">
                  <w:pPr>
                    <w:jc w:val="center"/>
                    <w:rPr>
                      <w:rFonts w:eastAsia="新宋体"/>
                      <w:color w:val="auto"/>
                      <w:sz w:val="18"/>
                      <w:szCs w:val="18"/>
                    </w:rPr>
                  </w:pPr>
                  <w:r>
                    <w:rPr>
                      <w:color w:val="auto"/>
                      <w:sz w:val="18"/>
                      <w:szCs w:val="18"/>
                    </w:rPr>
                    <w:t>NO</w:t>
                  </w:r>
                  <w:r>
                    <w:rPr>
                      <w:color w:val="auto"/>
                      <w:sz w:val="18"/>
                      <w:szCs w:val="18"/>
                      <w:vertAlign w:val="subscript"/>
                    </w:rPr>
                    <w:t>X</w:t>
                  </w:r>
                </w:p>
              </w:tc>
              <w:tc>
                <w:tcPr>
                  <w:tcW w:w="1882" w:type="dxa"/>
                  <w:noWrap w:val="0"/>
                  <w:vAlign w:val="center"/>
                </w:tcPr>
                <w:p w14:paraId="529B64FE">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2A482AED">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14.8</w:t>
                  </w:r>
                </w:p>
              </w:tc>
              <w:tc>
                <w:tcPr>
                  <w:tcW w:w="1284" w:type="dxa"/>
                  <w:noWrap w:val="0"/>
                  <w:vAlign w:val="center"/>
                </w:tcPr>
                <w:p w14:paraId="698E58C4">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11.3</w:t>
                  </w:r>
                </w:p>
              </w:tc>
              <w:tc>
                <w:tcPr>
                  <w:tcW w:w="1339" w:type="dxa"/>
                  <w:noWrap w:val="0"/>
                  <w:vAlign w:val="center"/>
                </w:tcPr>
                <w:p w14:paraId="412C1C46">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15.1</w:t>
                  </w:r>
                </w:p>
              </w:tc>
            </w:tr>
            <w:tr w14:paraId="503D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33D45224">
                  <w:pPr>
                    <w:jc w:val="center"/>
                    <w:rPr>
                      <w:rFonts w:eastAsia="新宋体"/>
                      <w:color w:val="auto"/>
                      <w:sz w:val="18"/>
                      <w:szCs w:val="18"/>
                    </w:rPr>
                  </w:pPr>
                </w:p>
              </w:tc>
              <w:tc>
                <w:tcPr>
                  <w:tcW w:w="645" w:type="dxa"/>
                  <w:vMerge w:val="continue"/>
                  <w:noWrap w:val="0"/>
                  <w:vAlign w:val="center"/>
                </w:tcPr>
                <w:p w14:paraId="702C0580">
                  <w:pPr>
                    <w:jc w:val="center"/>
                    <w:rPr>
                      <w:rFonts w:eastAsia="新宋体"/>
                      <w:color w:val="auto"/>
                      <w:sz w:val="18"/>
                      <w:szCs w:val="18"/>
                    </w:rPr>
                  </w:pPr>
                </w:p>
              </w:tc>
              <w:tc>
                <w:tcPr>
                  <w:tcW w:w="720" w:type="dxa"/>
                  <w:vMerge w:val="continue"/>
                  <w:noWrap w:val="0"/>
                  <w:vAlign w:val="center"/>
                </w:tcPr>
                <w:p w14:paraId="3D85C17F">
                  <w:pPr>
                    <w:jc w:val="center"/>
                    <w:rPr>
                      <w:rFonts w:eastAsia="新宋体"/>
                      <w:color w:val="auto"/>
                      <w:sz w:val="18"/>
                      <w:szCs w:val="18"/>
                    </w:rPr>
                  </w:pPr>
                </w:p>
              </w:tc>
              <w:tc>
                <w:tcPr>
                  <w:tcW w:w="1882" w:type="dxa"/>
                  <w:noWrap w:val="0"/>
                  <w:vAlign w:val="center"/>
                </w:tcPr>
                <w:p w14:paraId="768CB7BD">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50705264">
                  <w:pPr>
                    <w:widowControl/>
                    <w:jc w:val="center"/>
                    <w:textAlignment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27</w:t>
                  </w:r>
                </w:p>
              </w:tc>
              <w:tc>
                <w:tcPr>
                  <w:tcW w:w="1284" w:type="dxa"/>
                  <w:noWrap w:val="0"/>
                  <w:vAlign w:val="center"/>
                </w:tcPr>
                <w:p w14:paraId="1D05EF4B">
                  <w:pPr>
                    <w:widowControl/>
                    <w:jc w:val="center"/>
                    <w:textAlignment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22</w:t>
                  </w:r>
                </w:p>
              </w:tc>
              <w:tc>
                <w:tcPr>
                  <w:tcW w:w="1339" w:type="dxa"/>
                  <w:noWrap w:val="0"/>
                  <w:vAlign w:val="center"/>
                </w:tcPr>
                <w:p w14:paraId="77FDB588">
                  <w:pPr>
                    <w:widowControl/>
                    <w:jc w:val="center"/>
                    <w:textAlignment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28</w:t>
                  </w:r>
                </w:p>
              </w:tc>
            </w:tr>
            <w:tr w14:paraId="1841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0D7D8553">
                  <w:pPr>
                    <w:jc w:val="center"/>
                    <w:rPr>
                      <w:rFonts w:eastAsia="新宋体"/>
                      <w:color w:val="auto"/>
                      <w:sz w:val="18"/>
                      <w:szCs w:val="18"/>
                    </w:rPr>
                  </w:pPr>
                </w:p>
              </w:tc>
              <w:tc>
                <w:tcPr>
                  <w:tcW w:w="645" w:type="dxa"/>
                  <w:vMerge w:val="continue"/>
                  <w:noWrap w:val="0"/>
                  <w:vAlign w:val="center"/>
                </w:tcPr>
                <w:p w14:paraId="65F92531">
                  <w:pPr>
                    <w:jc w:val="center"/>
                    <w:rPr>
                      <w:rFonts w:eastAsia="新宋体"/>
                      <w:color w:val="auto"/>
                      <w:sz w:val="18"/>
                      <w:szCs w:val="18"/>
                    </w:rPr>
                  </w:pPr>
                </w:p>
              </w:tc>
              <w:tc>
                <w:tcPr>
                  <w:tcW w:w="720" w:type="dxa"/>
                  <w:vMerge w:val="continue"/>
                  <w:noWrap w:val="0"/>
                  <w:vAlign w:val="center"/>
                </w:tcPr>
                <w:p w14:paraId="14442583">
                  <w:pPr>
                    <w:jc w:val="center"/>
                    <w:rPr>
                      <w:rFonts w:eastAsia="新宋体"/>
                      <w:color w:val="auto"/>
                      <w:sz w:val="18"/>
                      <w:szCs w:val="18"/>
                    </w:rPr>
                  </w:pPr>
                </w:p>
              </w:tc>
              <w:tc>
                <w:tcPr>
                  <w:tcW w:w="1882" w:type="dxa"/>
                  <w:noWrap w:val="0"/>
                  <w:vAlign w:val="center"/>
                </w:tcPr>
                <w:p w14:paraId="43FED195">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68A53FE8">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0.451</w:t>
                  </w:r>
                </w:p>
              </w:tc>
              <w:tc>
                <w:tcPr>
                  <w:tcW w:w="1284" w:type="dxa"/>
                  <w:noWrap w:val="0"/>
                  <w:vAlign w:val="center"/>
                </w:tcPr>
                <w:p w14:paraId="4C8BA88F">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0.339</w:t>
                  </w:r>
                </w:p>
              </w:tc>
              <w:tc>
                <w:tcPr>
                  <w:tcW w:w="1339" w:type="dxa"/>
                  <w:noWrap w:val="0"/>
                  <w:vAlign w:val="center"/>
                </w:tcPr>
                <w:p w14:paraId="52EE516B">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0.466</w:t>
                  </w:r>
                </w:p>
              </w:tc>
            </w:tr>
            <w:tr w14:paraId="51A4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6C9ACEE1">
                  <w:pPr>
                    <w:jc w:val="center"/>
                    <w:rPr>
                      <w:rFonts w:eastAsia="新宋体"/>
                      <w:color w:val="auto"/>
                      <w:sz w:val="18"/>
                      <w:szCs w:val="18"/>
                    </w:rPr>
                  </w:pPr>
                </w:p>
              </w:tc>
              <w:tc>
                <w:tcPr>
                  <w:tcW w:w="645" w:type="dxa"/>
                  <w:vMerge w:val="continue"/>
                  <w:noWrap w:val="0"/>
                  <w:vAlign w:val="center"/>
                </w:tcPr>
                <w:p w14:paraId="74187D23">
                  <w:pPr>
                    <w:jc w:val="center"/>
                    <w:rPr>
                      <w:rFonts w:eastAsia="新宋体"/>
                      <w:color w:val="auto"/>
                      <w:sz w:val="18"/>
                      <w:szCs w:val="18"/>
                    </w:rPr>
                  </w:pPr>
                </w:p>
              </w:tc>
              <w:tc>
                <w:tcPr>
                  <w:tcW w:w="720" w:type="dxa"/>
                  <w:vMerge w:val="restart"/>
                  <w:noWrap w:val="0"/>
                  <w:vAlign w:val="center"/>
                </w:tcPr>
                <w:p w14:paraId="663FD256">
                  <w:pPr>
                    <w:jc w:val="center"/>
                    <w:rPr>
                      <w:rFonts w:eastAsia="新宋体"/>
                      <w:color w:val="auto"/>
                      <w:sz w:val="18"/>
                      <w:szCs w:val="18"/>
                    </w:rPr>
                  </w:pPr>
                  <w:r>
                    <w:rPr>
                      <w:rFonts w:hint="eastAsia" w:eastAsia="新宋体"/>
                      <w:color w:val="auto"/>
                      <w:sz w:val="18"/>
                      <w:szCs w:val="18"/>
                      <w:lang w:val="en-US" w:eastAsia="zh-CN"/>
                    </w:rPr>
                    <w:t>氨</w:t>
                  </w:r>
                </w:p>
              </w:tc>
              <w:tc>
                <w:tcPr>
                  <w:tcW w:w="1882" w:type="dxa"/>
                  <w:noWrap w:val="0"/>
                  <w:vAlign w:val="center"/>
                </w:tcPr>
                <w:p w14:paraId="2552965F">
                  <w:pPr>
                    <w:jc w:val="center"/>
                    <w:rPr>
                      <w:rFonts w:eastAsia="新宋体"/>
                      <w:color w:val="auto"/>
                      <w:sz w:val="18"/>
                      <w:szCs w:val="18"/>
                    </w:rPr>
                  </w:pPr>
                  <w:r>
                    <w:rPr>
                      <w:rFonts w:hint="eastAsia" w:eastAsia="新宋体"/>
                      <w:color w:val="auto"/>
                      <w:sz w:val="18"/>
                      <w:szCs w:val="18"/>
                    </w:rPr>
                    <w:t>实测浓度</w:t>
                  </w:r>
                  <w:r>
                    <w:rPr>
                      <w:color w:val="auto"/>
                      <w:sz w:val="18"/>
                      <w:szCs w:val="18"/>
                    </w:rPr>
                    <w:t>（</w:t>
                  </w:r>
                  <w:r>
                    <w:rPr>
                      <w:rFonts w:eastAsia="新宋体"/>
                      <w:color w:val="auto"/>
                      <w:sz w:val="18"/>
                      <w:szCs w:val="18"/>
                    </w:rPr>
                    <w:t>mg</w:t>
                  </w:r>
                  <w:r>
                    <w:rPr>
                      <w:color w:val="auto"/>
                      <w:sz w:val="18"/>
                      <w:szCs w:val="18"/>
                    </w:rPr>
                    <w:t>/</w:t>
                  </w:r>
                  <w:r>
                    <w:rPr>
                      <w:rFonts w:eastAsia="新宋体"/>
                      <w:color w:val="auto"/>
                      <w:sz w:val="18"/>
                      <w:szCs w:val="18"/>
                    </w:rPr>
                    <w:t>m</w:t>
                  </w:r>
                  <w:r>
                    <w:rPr>
                      <w:rFonts w:eastAsia="新宋体"/>
                      <w:color w:val="auto"/>
                      <w:sz w:val="18"/>
                      <w:szCs w:val="18"/>
                      <w:vertAlign w:val="superscript"/>
                    </w:rPr>
                    <w:t>3</w:t>
                  </w:r>
                  <w:r>
                    <w:rPr>
                      <w:color w:val="auto"/>
                      <w:sz w:val="18"/>
                      <w:szCs w:val="18"/>
                    </w:rPr>
                    <w:t>）</w:t>
                  </w:r>
                </w:p>
              </w:tc>
              <w:tc>
                <w:tcPr>
                  <w:tcW w:w="1336" w:type="dxa"/>
                  <w:noWrap w:val="0"/>
                  <w:vAlign w:val="center"/>
                </w:tcPr>
                <w:p w14:paraId="5098981C">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1.74</w:t>
                  </w:r>
                </w:p>
              </w:tc>
              <w:tc>
                <w:tcPr>
                  <w:tcW w:w="1284" w:type="dxa"/>
                  <w:noWrap w:val="0"/>
                  <w:vAlign w:val="center"/>
                </w:tcPr>
                <w:p w14:paraId="0B05AAE7">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1.54</w:t>
                  </w:r>
                </w:p>
              </w:tc>
              <w:tc>
                <w:tcPr>
                  <w:tcW w:w="1339" w:type="dxa"/>
                  <w:noWrap w:val="0"/>
                  <w:vAlign w:val="center"/>
                </w:tcPr>
                <w:p w14:paraId="23E25B6A">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1.62</w:t>
                  </w:r>
                </w:p>
              </w:tc>
            </w:tr>
            <w:tr w14:paraId="7BEB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6024C18C">
                  <w:pPr>
                    <w:jc w:val="center"/>
                    <w:rPr>
                      <w:rFonts w:eastAsia="新宋体"/>
                      <w:color w:val="auto"/>
                      <w:sz w:val="18"/>
                      <w:szCs w:val="18"/>
                    </w:rPr>
                  </w:pPr>
                </w:p>
              </w:tc>
              <w:tc>
                <w:tcPr>
                  <w:tcW w:w="645" w:type="dxa"/>
                  <w:vMerge w:val="continue"/>
                  <w:noWrap w:val="0"/>
                  <w:vAlign w:val="center"/>
                </w:tcPr>
                <w:p w14:paraId="78CA2B31">
                  <w:pPr>
                    <w:jc w:val="center"/>
                    <w:rPr>
                      <w:rFonts w:eastAsia="新宋体"/>
                      <w:color w:val="auto"/>
                      <w:sz w:val="18"/>
                      <w:szCs w:val="18"/>
                    </w:rPr>
                  </w:pPr>
                </w:p>
              </w:tc>
              <w:tc>
                <w:tcPr>
                  <w:tcW w:w="720" w:type="dxa"/>
                  <w:vMerge w:val="continue"/>
                  <w:noWrap w:val="0"/>
                  <w:vAlign w:val="center"/>
                </w:tcPr>
                <w:p w14:paraId="34F76EC7">
                  <w:pPr>
                    <w:jc w:val="center"/>
                    <w:rPr>
                      <w:rFonts w:eastAsia="新宋体"/>
                      <w:color w:val="auto"/>
                      <w:sz w:val="18"/>
                      <w:szCs w:val="18"/>
                    </w:rPr>
                  </w:pPr>
                </w:p>
              </w:tc>
              <w:tc>
                <w:tcPr>
                  <w:tcW w:w="1882" w:type="dxa"/>
                  <w:noWrap w:val="0"/>
                  <w:vAlign w:val="center"/>
                </w:tcPr>
                <w:p w14:paraId="6696FBA6">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6" w:type="dxa"/>
                  <w:noWrap w:val="0"/>
                  <w:vAlign w:val="center"/>
                </w:tcPr>
                <w:p w14:paraId="2837AB81">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3.15</w:t>
                  </w:r>
                </w:p>
              </w:tc>
              <w:tc>
                <w:tcPr>
                  <w:tcW w:w="1284" w:type="dxa"/>
                  <w:noWrap w:val="0"/>
                  <w:vAlign w:val="center"/>
                </w:tcPr>
                <w:p w14:paraId="2FA462D4">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2.94</w:t>
                  </w:r>
                </w:p>
              </w:tc>
              <w:tc>
                <w:tcPr>
                  <w:tcW w:w="1339" w:type="dxa"/>
                  <w:noWrap w:val="0"/>
                  <w:vAlign w:val="center"/>
                </w:tcPr>
                <w:p w14:paraId="581F0007">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3.01</w:t>
                  </w:r>
                </w:p>
              </w:tc>
            </w:tr>
            <w:tr w14:paraId="4CD0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9" w:type="dxa"/>
                  <w:vMerge w:val="continue"/>
                  <w:noWrap w:val="0"/>
                  <w:vAlign w:val="center"/>
                </w:tcPr>
                <w:p w14:paraId="76568D03">
                  <w:pPr>
                    <w:jc w:val="center"/>
                    <w:rPr>
                      <w:rFonts w:eastAsia="新宋体"/>
                      <w:color w:val="auto"/>
                      <w:sz w:val="18"/>
                      <w:szCs w:val="18"/>
                    </w:rPr>
                  </w:pPr>
                </w:p>
              </w:tc>
              <w:tc>
                <w:tcPr>
                  <w:tcW w:w="645" w:type="dxa"/>
                  <w:vMerge w:val="continue"/>
                  <w:noWrap w:val="0"/>
                  <w:vAlign w:val="center"/>
                </w:tcPr>
                <w:p w14:paraId="1C483AD9">
                  <w:pPr>
                    <w:jc w:val="center"/>
                    <w:rPr>
                      <w:rFonts w:eastAsia="新宋体"/>
                      <w:color w:val="auto"/>
                      <w:sz w:val="18"/>
                      <w:szCs w:val="18"/>
                    </w:rPr>
                  </w:pPr>
                </w:p>
              </w:tc>
              <w:tc>
                <w:tcPr>
                  <w:tcW w:w="720" w:type="dxa"/>
                  <w:vMerge w:val="continue"/>
                  <w:noWrap w:val="0"/>
                  <w:vAlign w:val="center"/>
                </w:tcPr>
                <w:p w14:paraId="297EFB91">
                  <w:pPr>
                    <w:jc w:val="center"/>
                    <w:rPr>
                      <w:rFonts w:eastAsia="新宋体"/>
                      <w:color w:val="auto"/>
                      <w:sz w:val="18"/>
                      <w:szCs w:val="18"/>
                    </w:rPr>
                  </w:pPr>
                </w:p>
              </w:tc>
              <w:tc>
                <w:tcPr>
                  <w:tcW w:w="1882" w:type="dxa"/>
                  <w:noWrap w:val="0"/>
                  <w:vAlign w:val="center"/>
                </w:tcPr>
                <w:p w14:paraId="7CDD872C">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6" w:type="dxa"/>
                  <w:noWrap w:val="0"/>
                  <w:vAlign w:val="center"/>
                </w:tcPr>
                <w:p w14:paraId="34DF2213">
                  <w:pPr>
                    <w:widowControl/>
                    <w:jc w:val="center"/>
                    <w:textAlignment w:val="center"/>
                    <w:rPr>
                      <w:rFonts w:hint="default"/>
                      <w:color w:val="auto"/>
                      <w:kern w:val="0"/>
                      <w:sz w:val="18"/>
                      <w:szCs w:val="18"/>
                      <w:lang w:val="en-US" w:eastAsia="zh-CN"/>
                    </w:rPr>
                  </w:pPr>
                  <w:r>
                    <w:rPr>
                      <w:rFonts w:hint="eastAsia"/>
                      <w:color w:val="auto"/>
                      <w:kern w:val="0"/>
                      <w:sz w:val="18"/>
                      <w:szCs w:val="18"/>
                      <w:lang w:val="en-US" w:eastAsia="zh-CN"/>
                    </w:rPr>
                    <w:t>0.053</w:t>
                  </w:r>
                </w:p>
              </w:tc>
              <w:tc>
                <w:tcPr>
                  <w:tcW w:w="1284" w:type="dxa"/>
                  <w:noWrap w:val="0"/>
                  <w:vAlign w:val="center"/>
                </w:tcPr>
                <w:p w14:paraId="3D80D0F7">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0.088</w:t>
                  </w:r>
                </w:p>
              </w:tc>
              <w:tc>
                <w:tcPr>
                  <w:tcW w:w="1339" w:type="dxa"/>
                  <w:noWrap w:val="0"/>
                  <w:vAlign w:val="center"/>
                </w:tcPr>
                <w:p w14:paraId="560AA911">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0.050</w:t>
                  </w:r>
                </w:p>
              </w:tc>
            </w:tr>
          </w:tbl>
          <w:p w14:paraId="0362C16A">
            <w:pPr>
              <w:pStyle w:val="86"/>
              <w:rPr>
                <w:color w:val="auto"/>
              </w:rPr>
            </w:pPr>
            <w:r>
              <w:rPr>
                <w:rFonts w:hint="eastAsia"/>
                <w:color w:val="auto"/>
              </w:rPr>
              <w:t>表2-</w:t>
            </w:r>
            <w:r>
              <w:rPr>
                <w:rFonts w:hint="eastAsia"/>
                <w:color w:val="auto"/>
                <w:lang w:val="en-US" w:eastAsia="zh-CN"/>
              </w:rPr>
              <w:t xml:space="preserve">13 </w:t>
            </w:r>
            <w:r>
              <w:rPr>
                <w:color w:val="auto"/>
              </w:rPr>
              <w:t xml:space="preserve"> </w:t>
            </w:r>
            <w:r>
              <w:rPr>
                <w:rFonts w:hint="eastAsia"/>
                <w:color w:val="auto"/>
                <w:lang w:val="en-US" w:eastAsia="zh-CN"/>
              </w:rPr>
              <w:t>粉尘</w:t>
            </w:r>
            <w:r>
              <w:rPr>
                <w:rFonts w:hint="eastAsia"/>
                <w:color w:val="auto"/>
              </w:rPr>
              <w:t>废气监测结果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0"/>
              <w:gridCol w:w="851"/>
              <w:gridCol w:w="2084"/>
              <w:gridCol w:w="1339"/>
              <w:gridCol w:w="1339"/>
              <w:gridCol w:w="1342"/>
            </w:tblGrid>
            <w:tr w14:paraId="6852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restart"/>
                  <w:noWrap w:val="0"/>
                  <w:vAlign w:val="center"/>
                </w:tcPr>
                <w:p w14:paraId="4720D869">
                  <w:pPr>
                    <w:jc w:val="center"/>
                    <w:rPr>
                      <w:rFonts w:eastAsia="新宋体"/>
                      <w:color w:val="auto"/>
                      <w:sz w:val="18"/>
                      <w:szCs w:val="18"/>
                    </w:rPr>
                  </w:pPr>
                  <w:r>
                    <w:rPr>
                      <w:rFonts w:eastAsia="新宋体"/>
                      <w:color w:val="auto"/>
                      <w:sz w:val="18"/>
                      <w:szCs w:val="18"/>
                    </w:rPr>
                    <w:t>检测点位</w:t>
                  </w:r>
                </w:p>
              </w:tc>
              <w:tc>
                <w:tcPr>
                  <w:tcW w:w="851" w:type="dxa"/>
                  <w:vMerge w:val="restart"/>
                  <w:noWrap w:val="0"/>
                  <w:vAlign w:val="center"/>
                </w:tcPr>
                <w:p w14:paraId="34FDF1C3">
                  <w:pPr>
                    <w:jc w:val="center"/>
                    <w:rPr>
                      <w:rFonts w:eastAsia="新宋体"/>
                      <w:color w:val="auto"/>
                      <w:sz w:val="18"/>
                      <w:szCs w:val="18"/>
                    </w:rPr>
                  </w:pPr>
                  <w:r>
                    <w:rPr>
                      <w:rFonts w:eastAsia="新宋体"/>
                      <w:color w:val="auto"/>
                      <w:sz w:val="18"/>
                      <w:szCs w:val="18"/>
                    </w:rPr>
                    <w:t>检测时间</w:t>
                  </w:r>
                </w:p>
              </w:tc>
              <w:tc>
                <w:tcPr>
                  <w:tcW w:w="2084" w:type="dxa"/>
                  <w:vMerge w:val="restart"/>
                  <w:noWrap w:val="0"/>
                  <w:vAlign w:val="center"/>
                </w:tcPr>
                <w:p w14:paraId="44FCFA44">
                  <w:pPr>
                    <w:jc w:val="center"/>
                    <w:rPr>
                      <w:rFonts w:eastAsia="新宋体"/>
                      <w:color w:val="auto"/>
                      <w:sz w:val="18"/>
                      <w:szCs w:val="18"/>
                    </w:rPr>
                  </w:pPr>
                  <w:r>
                    <w:rPr>
                      <w:rFonts w:eastAsia="新宋体"/>
                      <w:color w:val="auto"/>
                      <w:sz w:val="18"/>
                      <w:szCs w:val="18"/>
                    </w:rPr>
                    <w:t>检测项目</w:t>
                  </w:r>
                </w:p>
              </w:tc>
              <w:tc>
                <w:tcPr>
                  <w:tcW w:w="4020" w:type="dxa"/>
                  <w:gridSpan w:val="3"/>
                  <w:noWrap w:val="0"/>
                  <w:vAlign w:val="center"/>
                </w:tcPr>
                <w:p w14:paraId="7111B613">
                  <w:pPr>
                    <w:jc w:val="center"/>
                    <w:rPr>
                      <w:rFonts w:eastAsia="新宋体"/>
                      <w:color w:val="auto"/>
                      <w:sz w:val="18"/>
                      <w:szCs w:val="18"/>
                    </w:rPr>
                  </w:pPr>
                  <w:r>
                    <w:rPr>
                      <w:rFonts w:eastAsia="新宋体"/>
                      <w:color w:val="auto"/>
                      <w:sz w:val="18"/>
                      <w:szCs w:val="18"/>
                    </w:rPr>
                    <w:t>检测结果</w:t>
                  </w:r>
                </w:p>
              </w:tc>
            </w:tr>
            <w:tr w14:paraId="351E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4A18912C">
                  <w:pPr>
                    <w:jc w:val="center"/>
                    <w:rPr>
                      <w:rFonts w:eastAsia="新宋体"/>
                      <w:color w:val="auto"/>
                      <w:sz w:val="18"/>
                      <w:szCs w:val="18"/>
                    </w:rPr>
                  </w:pPr>
                </w:p>
              </w:tc>
              <w:tc>
                <w:tcPr>
                  <w:tcW w:w="851" w:type="dxa"/>
                  <w:vMerge w:val="continue"/>
                  <w:noWrap w:val="0"/>
                  <w:vAlign w:val="center"/>
                </w:tcPr>
                <w:p w14:paraId="5435863A">
                  <w:pPr>
                    <w:jc w:val="center"/>
                    <w:rPr>
                      <w:rFonts w:eastAsia="新宋体"/>
                      <w:color w:val="auto"/>
                      <w:sz w:val="18"/>
                      <w:szCs w:val="18"/>
                    </w:rPr>
                  </w:pPr>
                </w:p>
              </w:tc>
              <w:tc>
                <w:tcPr>
                  <w:tcW w:w="2084" w:type="dxa"/>
                  <w:vMerge w:val="continue"/>
                  <w:noWrap w:val="0"/>
                  <w:vAlign w:val="center"/>
                </w:tcPr>
                <w:p w14:paraId="3326B025">
                  <w:pPr>
                    <w:jc w:val="center"/>
                    <w:rPr>
                      <w:rFonts w:eastAsia="新宋体"/>
                      <w:color w:val="auto"/>
                      <w:sz w:val="18"/>
                      <w:szCs w:val="18"/>
                    </w:rPr>
                  </w:pPr>
                </w:p>
              </w:tc>
              <w:tc>
                <w:tcPr>
                  <w:tcW w:w="1339" w:type="dxa"/>
                  <w:noWrap w:val="0"/>
                  <w:vAlign w:val="center"/>
                </w:tcPr>
                <w:p w14:paraId="3B89C5CC">
                  <w:pPr>
                    <w:jc w:val="center"/>
                    <w:rPr>
                      <w:rFonts w:eastAsia="新宋体"/>
                      <w:color w:val="auto"/>
                      <w:sz w:val="18"/>
                      <w:szCs w:val="18"/>
                    </w:rPr>
                  </w:pPr>
                  <w:r>
                    <w:rPr>
                      <w:rFonts w:eastAsia="新宋体"/>
                      <w:color w:val="auto"/>
                      <w:sz w:val="18"/>
                      <w:szCs w:val="18"/>
                    </w:rPr>
                    <w:t>Ⅰ</w:t>
                  </w:r>
                </w:p>
              </w:tc>
              <w:tc>
                <w:tcPr>
                  <w:tcW w:w="1339" w:type="dxa"/>
                  <w:noWrap w:val="0"/>
                  <w:vAlign w:val="center"/>
                </w:tcPr>
                <w:p w14:paraId="676EF286">
                  <w:pPr>
                    <w:jc w:val="center"/>
                    <w:rPr>
                      <w:rFonts w:eastAsia="新宋体"/>
                      <w:color w:val="auto"/>
                      <w:sz w:val="18"/>
                      <w:szCs w:val="18"/>
                    </w:rPr>
                  </w:pPr>
                  <w:r>
                    <w:rPr>
                      <w:rFonts w:eastAsia="新宋体"/>
                      <w:color w:val="auto"/>
                      <w:sz w:val="18"/>
                      <w:szCs w:val="18"/>
                    </w:rPr>
                    <w:t>Ⅱ</w:t>
                  </w:r>
                </w:p>
              </w:tc>
              <w:tc>
                <w:tcPr>
                  <w:tcW w:w="1342" w:type="dxa"/>
                  <w:noWrap w:val="0"/>
                  <w:vAlign w:val="center"/>
                </w:tcPr>
                <w:p w14:paraId="18879D71">
                  <w:pPr>
                    <w:jc w:val="center"/>
                    <w:rPr>
                      <w:rFonts w:eastAsia="新宋体"/>
                      <w:color w:val="auto"/>
                      <w:sz w:val="18"/>
                      <w:szCs w:val="18"/>
                    </w:rPr>
                  </w:pPr>
                  <w:r>
                    <w:rPr>
                      <w:rFonts w:eastAsia="新宋体"/>
                      <w:color w:val="auto"/>
                      <w:sz w:val="18"/>
                      <w:szCs w:val="18"/>
                    </w:rPr>
                    <w:t>Ⅲ</w:t>
                  </w:r>
                </w:p>
              </w:tc>
            </w:tr>
            <w:tr w14:paraId="7F7F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restart"/>
                  <w:noWrap w:val="0"/>
                  <w:vAlign w:val="center"/>
                </w:tcPr>
                <w:p w14:paraId="279B1C02">
                  <w:pPr>
                    <w:jc w:val="center"/>
                    <w:rPr>
                      <w:color w:val="auto"/>
                      <w:sz w:val="18"/>
                      <w:szCs w:val="18"/>
                    </w:rPr>
                  </w:pPr>
                  <w:r>
                    <w:rPr>
                      <w:color w:val="auto"/>
                      <w:sz w:val="18"/>
                      <w:szCs w:val="18"/>
                    </w:rPr>
                    <w:t>排气筒出口</w:t>
                  </w:r>
                </w:p>
                <w:p w14:paraId="00D4100D">
                  <w:pPr>
                    <w:jc w:val="center"/>
                    <w:rPr>
                      <w:color w:val="auto"/>
                      <w:sz w:val="18"/>
                      <w:szCs w:val="18"/>
                    </w:rPr>
                  </w:pPr>
                  <w:r>
                    <w:rPr>
                      <w:rFonts w:hint="eastAsia"/>
                      <w:color w:val="auto"/>
                      <w:sz w:val="18"/>
                      <w:szCs w:val="18"/>
                    </w:rPr>
                    <w:t>DA002</w:t>
                  </w:r>
                </w:p>
              </w:tc>
              <w:tc>
                <w:tcPr>
                  <w:tcW w:w="851" w:type="dxa"/>
                  <w:vMerge w:val="restart"/>
                  <w:noWrap w:val="0"/>
                  <w:vAlign w:val="center"/>
                </w:tcPr>
                <w:p w14:paraId="0E2700D5">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30</w:t>
                  </w:r>
                  <w:r>
                    <w:rPr>
                      <w:color w:val="auto"/>
                      <w:sz w:val="18"/>
                      <w:szCs w:val="18"/>
                    </w:rPr>
                    <w:t>日</w:t>
                  </w:r>
                </w:p>
              </w:tc>
              <w:tc>
                <w:tcPr>
                  <w:tcW w:w="2084" w:type="dxa"/>
                  <w:noWrap w:val="0"/>
                  <w:vAlign w:val="center"/>
                </w:tcPr>
                <w:p w14:paraId="45D2F0AB">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9" w:type="dxa"/>
                  <w:noWrap w:val="0"/>
                  <w:vAlign w:val="center"/>
                </w:tcPr>
                <w:p w14:paraId="0E507335">
                  <w:pPr>
                    <w:jc w:val="center"/>
                    <w:rPr>
                      <w:rFonts w:hint="default" w:eastAsia="新宋体"/>
                      <w:color w:val="auto"/>
                      <w:sz w:val="18"/>
                      <w:szCs w:val="18"/>
                      <w:lang w:val="en-US" w:eastAsia="zh-CN"/>
                    </w:rPr>
                  </w:pPr>
                  <w:r>
                    <w:rPr>
                      <w:rFonts w:hint="eastAsia" w:eastAsia="新宋体"/>
                      <w:color w:val="auto"/>
                      <w:sz w:val="18"/>
                      <w:szCs w:val="18"/>
                      <w:lang w:val="en-US" w:eastAsia="zh-CN"/>
                    </w:rPr>
                    <w:t>5008</w:t>
                  </w:r>
                </w:p>
              </w:tc>
              <w:tc>
                <w:tcPr>
                  <w:tcW w:w="1339" w:type="dxa"/>
                  <w:noWrap w:val="0"/>
                  <w:vAlign w:val="center"/>
                </w:tcPr>
                <w:p w14:paraId="0A5CD5F1">
                  <w:pPr>
                    <w:jc w:val="center"/>
                    <w:rPr>
                      <w:rFonts w:hint="default" w:eastAsia="新宋体"/>
                      <w:color w:val="auto"/>
                      <w:sz w:val="18"/>
                      <w:szCs w:val="18"/>
                      <w:lang w:val="en-US" w:eastAsia="zh-CN"/>
                    </w:rPr>
                  </w:pPr>
                  <w:r>
                    <w:rPr>
                      <w:rFonts w:hint="eastAsia" w:eastAsia="新宋体"/>
                      <w:color w:val="auto"/>
                      <w:sz w:val="18"/>
                      <w:szCs w:val="18"/>
                      <w:lang w:val="en-US" w:eastAsia="zh-CN"/>
                    </w:rPr>
                    <w:t>5007</w:t>
                  </w:r>
                </w:p>
              </w:tc>
              <w:tc>
                <w:tcPr>
                  <w:tcW w:w="1342" w:type="dxa"/>
                  <w:noWrap w:val="0"/>
                  <w:vAlign w:val="center"/>
                </w:tcPr>
                <w:p w14:paraId="72F1E836">
                  <w:pPr>
                    <w:jc w:val="center"/>
                    <w:rPr>
                      <w:rFonts w:hint="default" w:eastAsia="新宋体"/>
                      <w:color w:val="auto"/>
                      <w:sz w:val="18"/>
                      <w:szCs w:val="18"/>
                      <w:lang w:val="en-US" w:eastAsia="zh-CN"/>
                    </w:rPr>
                  </w:pPr>
                  <w:r>
                    <w:rPr>
                      <w:rFonts w:hint="eastAsia" w:eastAsia="新宋体"/>
                      <w:color w:val="auto"/>
                      <w:sz w:val="18"/>
                      <w:szCs w:val="18"/>
                      <w:lang w:val="en-US" w:eastAsia="zh-CN"/>
                    </w:rPr>
                    <w:t>5097</w:t>
                  </w:r>
                </w:p>
              </w:tc>
            </w:tr>
            <w:tr w14:paraId="4076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980" w:type="dxa"/>
                  <w:vMerge w:val="continue"/>
                  <w:noWrap w:val="0"/>
                  <w:vAlign w:val="center"/>
                </w:tcPr>
                <w:p w14:paraId="0E9793A4">
                  <w:pPr>
                    <w:jc w:val="center"/>
                    <w:rPr>
                      <w:color w:val="auto"/>
                      <w:sz w:val="18"/>
                      <w:szCs w:val="18"/>
                    </w:rPr>
                  </w:pPr>
                </w:p>
              </w:tc>
              <w:tc>
                <w:tcPr>
                  <w:tcW w:w="851" w:type="dxa"/>
                  <w:vMerge w:val="continue"/>
                  <w:noWrap w:val="0"/>
                  <w:vAlign w:val="center"/>
                </w:tcPr>
                <w:p w14:paraId="1A486D33">
                  <w:pPr>
                    <w:jc w:val="center"/>
                    <w:rPr>
                      <w:rFonts w:eastAsia="新宋体"/>
                      <w:color w:val="auto"/>
                      <w:sz w:val="18"/>
                      <w:szCs w:val="18"/>
                    </w:rPr>
                  </w:pPr>
                </w:p>
              </w:tc>
              <w:tc>
                <w:tcPr>
                  <w:tcW w:w="2084" w:type="dxa"/>
                  <w:noWrap w:val="0"/>
                  <w:vAlign w:val="center"/>
                </w:tcPr>
                <w:p w14:paraId="111C57BA">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9" w:type="dxa"/>
                  <w:noWrap w:val="0"/>
                  <w:vAlign w:val="center"/>
                </w:tcPr>
                <w:p w14:paraId="7F55FF65">
                  <w:pPr>
                    <w:jc w:val="center"/>
                    <w:rPr>
                      <w:rFonts w:hint="default" w:eastAsia="宋体"/>
                      <w:color w:val="auto"/>
                      <w:sz w:val="18"/>
                      <w:szCs w:val="18"/>
                      <w:lang w:val="en-US" w:eastAsia="zh-CN"/>
                    </w:rPr>
                  </w:pPr>
                  <w:r>
                    <w:rPr>
                      <w:rFonts w:hint="eastAsia"/>
                      <w:color w:val="auto"/>
                      <w:sz w:val="18"/>
                      <w:szCs w:val="18"/>
                      <w:lang w:val="en-US" w:eastAsia="zh-CN"/>
                    </w:rPr>
                    <w:t>1.9</w:t>
                  </w:r>
                </w:p>
              </w:tc>
              <w:tc>
                <w:tcPr>
                  <w:tcW w:w="1339" w:type="dxa"/>
                  <w:noWrap w:val="0"/>
                  <w:vAlign w:val="center"/>
                </w:tcPr>
                <w:p w14:paraId="3F0BEFD4">
                  <w:pPr>
                    <w:jc w:val="center"/>
                    <w:rPr>
                      <w:rFonts w:hint="default" w:eastAsia="宋体"/>
                      <w:color w:val="auto"/>
                      <w:sz w:val="18"/>
                      <w:szCs w:val="18"/>
                      <w:lang w:val="en-US" w:eastAsia="zh-CN"/>
                    </w:rPr>
                  </w:pPr>
                  <w:r>
                    <w:rPr>
                      <w:rFonts w:hint="eastAsia"/>
                      <w:color w:val="auto"/>
                      <w:sz w:val="18"/>
                      <w:szCs w:val="18"/>
                      <w:lang w:val="en-US" w:eastAsia="zh-CN"/>
                    </w:rPr>
                    <w:t>2.5</w:t>
                  </w:r>
                </w:p>
              </w:tc>
              <w:tc>
                <w:tcPr>
                  <w:tcW w:w="1342" w:type="dxa"/>
                  <w:noWrap w:val="0"/>
                  <w:vAlign w:val="center"/>
                </w:tcPr>
                <w:p w14:paraId="5056EC11">
                  <w:pPr>
                    <w:widowControl/>
                    <w:jc w:val="center"/>
                    <w:textAlignment w:val="center"/>
                    <w:rPr>
                      <w:color w:val="auto"/>
                      <w:sz w:val="18"/>
                      <w:szCs w:val="18"/>
                    </w:rPr>
                  </w:pPr>
                  <w:r>
                    <w:rPr>
                      <w:rFonts w:hint="eastAsia"/>
                      <w:color w:val="auto"/>
                      <w:sz w:val="18"/>
                      <w:szCs w:val="18"/>
                      <w:lang w:val="en-US" w:eastAsia="zh-CN"/>
                    </w:rPr>
                    <w:t>2.2</w:t>
                  </w:r>
                </w:p>
              </w:tc>
            </w:tr>
            <w:tr w14:paraId="73E4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55941E68">
                  <w:pPr>
                    <w:jc w:val="center"/>
                    <w:rPr>
                      <w:rFonts w:eastAsia="新宋体"/>
                      <w:color w:val="auto"/>
                      <w:sz w:val="18"/>
                      <w:szCs w:val="18"/>
                    </w:rPr>
                  </w:pPr>
                </w:p>
              </w:tc>
              <w:tc>
                <w:tcPr>
                  <w:tcW w:w="851" w:type="dxa"/>
                  <w:vMerge w:val="continue"/>
                  <w:noWrap w:val="0"/>
                  <w:vAlign w:val="center"/>
                </w:tcPr>
                <w:p w14:paraId="78D4AD81">
                  <w:pPr>
                    <w:jc w:val="center"/>
                    <w:rPr>
                      <w:rFonts w:eastAsia="新宋体"/>
                      <w:color w:val="auto"/>
                      <w:sz w:val="18"/>
                      <w:szCs w:val="18"/>
                    </w:rPr>
                  </w:pPr>
                </w:p>
              </w:tc>
              <w:tc>
                <w:tcPr>
                  <w:tcW w:w="2084" w:type="dxa"/>
                  <w:noWrap w:val="0"/>
                  <w:vAlign w:val="center"/>
                </w:tcPr>
                <w:p w14:paraId="10B6D06B">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9" w:type="dxa"/>
                  <w:noWrap w:val="0"/>
                  <w:vAlign w:val="center"/>
                </w:tcPr>
                <w:p w14:paraId="7EE69095">
                  <w:pPr>
                    <w:widowControl/>
                    <w:tabs>
                      <w:tab w:val="left" w:pos="245"/>
                    </w:tabs>
                    <w:jc w:val="center"/>
                    <w:textAlignment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0095</w:t>
                  </w:r>
                </w:p>
              </w:tc>
              <w:tc>
                <w:tcPr>
                  <w:tcW w:w="1339" w:type="dxa"/>
                  <w:noWrap w:val="0"/>
                  <w:vAlign w:val="center"/>
                </w:tcPr>
                <w:p w14:paraId="1B43A9FA">
                  <w:pPr>
                    <w:widowControl/>
                    <w:jc w:val="center"/>
                    <w:textAlignment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0125</w:t>
                  </w:r>
                </w:p>
              </w:tc>
              <w:tc>
                <w:tcPr>
                  <w:tcW w:w="1342" w:type="dxa"/>
                  <w:noWrap w:val="0"/>
                  <w:vAlign w:val="center"/>
                </w:tcPr>
                <w:p w14:paraId="59AAE6C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0.0112</w:t>
                  </w:r>
                </w:p>
              </w:tc>
            </w:tr>
            <w:tr w14:paraId="635F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6B9DDB99">
                  <w:pPr>
                    <w:jc w:val="center"/>
                    <w:rPr>
                      <w:rFonts w:eastAsia="新宋体"/>
                      <w:color w:val="auto"/>
                      <w:sz w:val="18"/>
                      <w:szCs w:val="18"/>
                    </w:rPr>
                  </w:pPr>
                </w:p>
              </w:tc>
              <w:tc>
                <w:tcPr>
                  <w:tcW w:w="851" w:type="dxa"/>
                  <w:vMerge w:val="restart"/>
                  <w:noWrap w:val="0"/>
                  <w:vAlign w:val="center"/>
                </w:tcPr>
                <w:p w14:paraId="27CFCAFF">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31</w:t>
                  </w:r>
                  <w:r>
                    <w:rPr>
                      <w:color w:val="auto"/>
                      <w:sz w:val="18"/>
                      <w:szCs w:val="18"/>
                    </w:rPr>
                    <w:t>日</w:t>
                  </w:r>
                </w:p>
              </w:tc>
              <w:tc>
                <w:tcPr>
                  <w:tcW w:w="2084" w:type="dxa"/>
                  <w:noWrap w:val="0"/>
                  <w:vAlign w:val="center"/>
                </w:tcPr>
                <w:p w14:paraId="21920419">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9" w:type="dxa"/>
                  <w:noWrap w:val="0"/>
                  <w:vAlign w:val="center"/>
                </w:tcPr>
                <w:p w14:paraId="278E69E6">
                  <w:pPr>
                    <w:widowControl/>
                    <w:tabs>
                      <w:tab w:val="left" w:pos="245"/>
                    </w:tabs>
                    <w:jc w:val="center"/>
                    <w:textAlignment w:val="center"/>
                    <w:rPr>
                      <w:rFonts w:hint="default" w:eastAsia="宋体"/>
                      <w:color w:val="auto"/>
                      <w:sz w:val="18"/>
                      <w:szCs w:val="18"/>
                      <w:lang w:val="en-US" w:eastAsia="zh-CN"/>
                    </w:rPr>
                  </w:pPr>
                  <w:r>
                    <w:rPr>
                      <w:rFonts w:hint="eastAsia"/>
                      <w:color w:val="auto"/>
                      <w:sz w:val="18"/>
                      <w:szCs w:val="18"/>
                      <w:lang w:val="en-US" w:eastAsia="zh-CN"/>
                    </w:rPr>
                    <w:t>7687</w:t>
                  </w:r>
                </w:p>
              </w:tc>
              <w:tc>
                <w:tcPr>
                  <w:tcW w:w="1339" w:type="dxa"/>
                  <w:noWrap w:val="0"/>
                  <w:vAlign w:val="center"/>
                </w:tcPr>
                <w:p w14:paraId="3C99C0F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7615</w:t>
                  </w:r>
                </w:p>
              </w:tc>
              <w:tc>
                <w:tcPr>
                  <w:tcW w:w="1342" w:type="dxa"/>
                  <w:noWrap w:val="0"/>
                  <w:vAlign w:val="center"/>
                </w:tcPr>
                <w:p w14:paraId="0DB2208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7744</w:t>
                  </w:r>
                </w:p>
              </w:tc>
            </w:tr>
            <w:tr w14:paraId="0EEE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4F018F7F">
                  <w:pPr>
                    <w:jc w:val="center"/>
                    <w:rPr>
                      <w:rFonts w:eastAsia="新宋体"/>
                      <w:color w:val="auto"/>
                      <w:sz w:val="18"/>
                      <w:szCs w:val="18"/>
                    </w:rPr>
                  </w:pPr>
                </w:p>
              </w:tc>
              <w:tc>
                <w:tcPr>
                  <w:tcW w:w="851" w:type="dxa"/>
                  <w:vMerge w:val="continue"/>
                  <w:noWrap w:val="0"/>
                  <w:vAlign w:val="center"/>
                </w:tcPr>
                <w:p w14:paraId="65E07548">
                  <w:pPr>
                    <w:jc w:val="center"/>
                    <w:rPr>
                      <w:rFonts w:eastAsia="新宋体"/>
                      <w:color w:val="auto"/>
                      <w:sz w:val="18"/>
                      <w:szCs w:val="18"/>
                    </w:rPr>
                  </w:pPr>
                </w:p>
              </w:tc>
              <w:tc>
                <w:tcPr>
                  <w:tcW w:w="2084" w:type="dxa"/>
                  <w:noWrap w:val="0"/>
                  <w:vAlign w:val="center"/>
                </w:tcPr>
                <w:p w14:paraId="3442A27E">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9" w:type="dxa"/>
                  <w:noWrap w:val="0"/>
                  <w:vAlign w:val="center"/>
                </w:tcPr>
                <w:p w14:paraId="34313E5F">
                  <w:pPr>
                    <w:jc w:val="center"/>
                    <w:rPr>
                      <w:rFonts w:hint="default" w:eastAsia="宋体"/>
                      <w:color w:val="auto"/>
                      <w:sz w:val="18"/>
                      <w:szCs w:val="18"/>
                      <w:lang w:val="en-US" w:eastAsia="zh-CN"/>
                    </w:rPr>
                  </w:pPr>
                  <w:r>
                    <w:rPr>
                      <w:rFonts w:hint="eastAsia"/>
                      <w:color w:val="auto"/>
                      <w:sz w:val="18"/>
                      <w:szCs w:val="18"/>
                      <w:lang w:val="en-US" w:eastAsia="zh-CN"/>
                    </w:rPr>
                    <w:t>2.1</w:t>
                  </w:r>
                </w:p>
              </w:tc>
              <w:tc>
                <w:tcPr>
                  <w:tcW w:w="1339" w:type="dxa"/>
                  <w:noWrap w:val="0"/>
                  <w:vAlign w:val="center"/>
                </w:tcPr>
                <w:p w14:paraId="479C79BB">
                  <w:pPr>
                    <w:tabs>
                      <w:tab w:val="left" w:pos="221"/>
                    </w:tabs>
                    <w:jc w:val="center"/>
                    <w:rPr>
                      <w:rFonts w:hint="default" w:eastAsia="宋体"/>
                      <w:color w:val="auto"/>
                      <w:sz w:val="18"/>
                      <w:szCs w:val="18"/>
                      <w:lang w:val="en-US" w:eastAsia="zh-CN"/>
                    </w:rPr>
                  </w:pPr>
                  <w:r>
                    <w:rPr>
                      <w:rFonts w:hint="eastAsia"/>
                      <w:color w:val="auto"/>
                      <w:sz w:val="18"/>
                      <w:szCs w:val="18"/>
                      <w:lang w:val="en-US" w:eastAsia="zh-CN"/>
                    </w:rPr>
                    <w:t>2.6</w:t>
                  </w:r>
                </w:p>
              </w:tc>
              <w:tc>
                <w:tcPr>
                  <w:tcW w:w="1342" w:type="dxa"/>
                  <w:noWrap w:val="0"/>
                  <w:vAlign w:val="center"/>
                </w:tcPr>
                <w:p w14:paraId="08FAD1D3">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3.1</w:t>
                  </w:r>
                </w:p>
              </w:tc>
            </w:tr>
            <w:tr w14:paraId="6A6C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2BDBDC4F">
                  <w:pPr>
                    <w:jc w:val="center"/>
                    <w:rPr>
                      <w:rFonts w:eastAsia="新宋体"/>
                      <w:color w:val="auto"/>
                      <w:sz w:val="18"/>
                      <w:szCs w:val="18"/>
                    </w:rPr>
                  </w:pPr>
                </w:p>
              </w:tc>
              <w:tc>
                <w:tcPr>
                  <w:tcW w:w="851" w:type="dxa"/>
                  <w:vMerge w:val="continue"/>
                  <w:noWrap w:val="0"/>
                  <w:vAlign w:val="center"/>
                </w:tcPr>
                <w:p w14:paraId="5C3B5F1A">
                  <w:pPr>
                    <w:jc w:val="center"/>
                    <w:rPr>
                      <w:rFonts w:eastAsia="新宋体"/>
                      <w:color w:val="auto"/>
                      <w:sz w:val="18"/>
                      <w:szCs w:val="18"/>
                    </w:rPr>
                  </w:pPr>
                </w:p>
              </w:tc>
              <w:tc>
                <w:tcPr>
                  <w:tcW w:w="2084" w:type="dxa"/>
                  <w:noWrap w:val="0"/>
                  <w:vAlign w:val="center"/>
                </w:tcPr>
                <w:p w14:paraId="22C5B756">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9" w:type="dxa"/>
                  <w:noWrap w:val="0"/>
                  <w:vAlign w:val="center"/>
                </w:tcPr>
                <w:p w14:paraId="3FB27745">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0.0161</w:t>
                  </w:r>
                </w:p>
              </w:tc>
              <w:tc>
                <w:tcPr>
                  <w:tcW w:w="1339" w:type="dxa"/>
                  <w:noWrap w:val="0"/>
                  <w:vAlign w:val="center"/>
                </w:tcPr>
                <w:p w14:paraId="793DB89B">
                  <w:pPr>
                    <w:widowControl/>
                    <w:jc w:val="center"/>
                    <w:textAlignment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0198</w:t>
                  </w:r>
                </w:p>
              </w:tc>
              <w:tc>
                <w:tcPr>
                  <w:tcW w:w="1342" w:type="dxa"/>
                  <w:noWrap w:val="0"/>
                  <w:vAlign w:val="center"/>
                </w:tcPr>
                <w:p w14:paraId="2AD056F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0.024</w:t>
                  </w:r>
                </w:p>
              </w:tc>
            </w:tr>
            <w:tr w14:paraId="7A41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restart"/>
                  <w:noWrap w:val="0"/>
                  <w:vAlign w:val="center"/>
                </w:tcPr>
                <w:p w14:paraId="166C179C">
                  <w:pPr>
                    <w:jc w:val="center"/>
                    <w:rPr>
                      <w:color w:val="auto"/>
                      <w:sz w:val="18"/>
                      <w:szCs w:val="18"/>
                    </w:rPr>
                  </w:pPr>
                  <w:r>
                    <w:rPr>
                      <w:color w:val="auto"/>
                      <w:sz w:val="18"/>
                      <w:szCs w:val="18"/>
                    </w:rPr>
                    <w:t>排气筒出口</w:t>
                  </w:r>
                </w:p>
                <w:p w14:paraId="5B941847">
                  <w:pPr>
                    <w:jc w:val="center"/>
                    <w:rPr>
                      <w:rFonts w:hint="eastAsia" w:eastAsia="宋体"/>
                      <w:color w:val="auto"/>
                      <w:sz w:val="18"/>
                      <w:szCs w:val="18"/>
                      <w:lang w:eastAsia="zh-CN"/>
                    </w:rPr>
                  </w:pPr>
                  <w:r>
                    <w:rPr>
                      <w:rFonts w:hint="eastAsia"/>
                      <w:color w:val="auto"/>
                      <w:sz w:val="18"/>
                      <w:szCs w:val="18"/>
                    </w:rPr>
                    <w:t>DA00</w:t>
                  </w:r>
                  <w:r>
                    <w:rPr>
                      <w:rFonts w:hint="eastAsia"/>
                      <w:color w:val="auto"/>
                      <w:sz w:val="18"/>
                      <w:szCs w:val="18"/>
                      <w:lang w:val="en-US" w:eastAsia="zh-CN"/>
                    </w:rPr>
                    <w:t>3</w:t>
                  </w:r>
                </w:p>
              </w:tc>
              <w:tc>
                <w:tcPr>
                  <w:tcW w:w="851" w:type="dxa"/>
                  <w:vMerge w:val="restart"/>
                  <w:noWrap w:val="0"/>
                  <w:vAlign w:val="center"/>
                </w:tcPr>
                <w:p w14:paraId="027211CA">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30</w:t>
                  </w:r>
                  <w:r>
                    <w:rPr>
                      <w:color w:val="auto"/>
                      <w:sz w:val="18"/>
                      <w:szCs w:val="18"/>
                    </w:rPr>
                    <w:t>日</w:t>
                  </w:r>
                </w:p>
              </w:tc>
              <w:tc>
                <w:tcPr>
                  <w:tcW w:w="2084" w:type="dxa"/>
                  <w:noWrap w:val="0"/>
                  <w:vAlign w:val="center"/>
                </w:tcPr>
                <w:p w14:paraId="74EACE0A">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9" w:type="dxa"/>
                  <w:noWrap w:val="0"/>
                  <w:vAlign w:val="center"/>
                </w:tcPr>
                <w:p w14:paraId="0BF98B7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637</w:t>
                  </w:r>
                </w:p>
              </w:tc>
              <w:tc>
                <w:tcPr>
                  <w:tcW w:w="1339" w:type="dxa"/>
                  <w:noWrap w:val="0"/>
                  <w:vAlign w:val="center"/>
                </w:tcPr>
                <w:p w14:paraId="7B6046E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603</w:t>
                  </w:r>
                </w:p>
              </w:tc>
              <w:tc>
                <w:tcPr>
                  <w:tcW w:w="1342" w:type="dxa"/>
                  <w:noWrap w:val="0"/>
                  <w:vAlign w:val="center"/>
                </w:tcPr>
                <w:p w14:paraId="30B887F0">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573</w:t>
                  </w:r>
                </w:p>
              </w:tc>
            </w:tr>
            <w:tr w14:paraId="2EA6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79589725">
                  <w:pPr>
                    <w:jc w:val="center"/>
                    <w:rPr>
                      <w:rFonts w:eastAsia="新宋体"/>
                      <w:color w:val="auto"/>
                      <w:sz w:val="18"/>
                      <w:szCs w:val="18"/>
                    </w:rPr>
                  </w:pPr>
                </w:p>
              </w:tc>
              <w:tc>
                <w:tcPr>
                  <w:tcW w:w="851" w:type="dxa"/>
                  <w:vMerge w:val="continue"/>
                  <w:noWrap w:val="0"/>
                  <w:vAlign w:val="center"/>
                </w:tcPr>
                <w:p w14:paraId="67B591D8">
                  <w:pPr>
                    <w:jc w:val="center"/>
                    <w:rPr>
                      <w:rFonts w:eastAsia="新宋体"/>
                      <w:color w:val="auto"/>
                      <w:sz w:val="18"/>
                      <w:szCs w:val="18"/>
                    </w:rPr>
                  </w:pPr>
                </w:p>
              </w:tc>
              <w:tc>
                <w:tcPr>
                  <w:tcW w:w="2084" w:type="dxa"/>
                  <w:noWrap w:val="0"/>
                  <w:vAlign w:val="center"/>
                </w:tcPr>
                <w:p w14:paraId="784D1B23">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9" w:type="dxa"/>
                  <w:noWrap w:val="0"/>
                  <w:vAlign w:val="center"/>
                </w:tcPr>
                <w:p w14:paraId="0FCF3662">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2.0</w:t>
                  </w:r>
                </w:p>
              </w:tc>
              <w:tc>
                <w:tcPr>
                  <w:tcW w:w="1339" w:type="dxa"/>
                  <w:noWrap w:val="0"/>
                  <w:vAlign w:val="center"/>
                </w:tcPr>
                <w:p w14:paraId="513A474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1.7</w:t>
                  </w:r>
                </w:p>
              </w:tc>
              <w:tc>
                <w:tcPr>
                  <w:tcW w:w="1342" w:type="dxa"/>
                  <w:noWrap w:val="0"/>
                  <w:vAlign w:val="center"/>
                </w:tcPr>
                <w:p w14:paraId="74943B0C">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1.5</w:t>
                  </w:r>
                </w:p>
              </w:tc>
            </w:tr>
            <w:tr w14:paraId="7CF2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0788050B">
                  <w:pPr>
                    <w:jc w:val="center"/>
                    <w:rPr>
                      <w:rFonts w:eastAsia="新宋体"/>
                      <w:color w:val="auto"/>
                      <w:sz w:val="18"/>
                      <w:szCs w:val="18"/>
                    </w:rPr>
                  </w:pPr>
                </w:p>
              </w:tc>
              <w:tc>
                <w:tcPr>
                  <w:tcW w:w="851" w:type="dxa"/>
                  <w:vMerge w:val="continue"/>
                  <w:noWrap w:val="0"/>
                  <w:vAlign w:val="center"/>
                </w:tcPr>
                <w:p w14:paraId="51A3CA04">
                  <w:pPr>
                    <w:jc w:val="center"/>
                    <w:rPr>
                      <w:rFonts w:eastAsia="新宋体"/>
                      <w:color w:val="auto"/>
                      <w:sz w:val="18"/>
                      <w:szCs w:val="18"/>
                    </w:rPr>
                  </w:pPr>
                </w:p>
              </w:tc>
              <w:tc>
                <w:tcPr>
                  <w:tcW w:w="2084" w:type="dxa"/>
                  <w:noWrap w:val="0"/>
                  <w:vAlign w:val="center"/>
                </w:tcPr>
                <w:p w14:paraId="55FEEA8F">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9" w:type="dxa"/>
                  <w:noWrap w:val="0"/>
                  <w:vAlign w:val="center"/>
                </w:tcPr>
                <w:p w14:paraId="7D698B3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0.0013</w:t>
                  </w:r>
                </w:p>
              </w:tc>
              <w:tc>
                <w:tcPr>
                  <w:tcW w:w="1339" w:type="dxa"/>
                  <w:noWrap w:val="0"/>
                  <w:vAlign w:val="center"/>
                </w:tcPr>
                <w:p w14:paraId="160AD6FC">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0.0010</w:t>
                  </w:r>
                </w:p>
              </w:tc>
              <w:tc>
                <w:tcPr>
                  <w:tcW w:w="1342" w:type="dxa"/>
                  <w:noWrap w:val="0"/>
                  <w:vAlign w:val="center"/>
                </w:tcPr>
                <w:p w14:paraId="2168507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0.0009</w:t>
                  </w:r>
                </w:p>
              </w:tc>
            </w:tr>
            <w:tr w14:paraId="6C8B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4C4285B4">
                  <w:pPr>
                    <w:jc w:val="center"/>
                    <w:rPr>
                      <w:rFonts w:eastAsia="新宋体"/>
                      <w:color w:val="auto"/>
                      <w:sz w:val="18"/>
                      <w:szCs w:val="18"/>
                    </w:rPr>
                  </w:pPr>
                </w:p>
              </w:tc>
              <w:tc>
                <w:tcPr>
                  <w:tcW w:w="851" w:type="dxa"/>
                  <w:vMerge w:val="restart"/>
                  <w:noWrap w:val="0"/>
                  <w:vAlign w:val="center"/>
                </w:tcPr>
                <w:p w14:paraId="622238D8">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31</w:t>
                  </w:r>
                  <w:r>
                    <w:rPr>
                      <w:color w:val="auto"/>
                      <w:sz w:val="18"/>
                      <w:szCs w:val="18"/>
                    </w:rPr>
                    <w:t>日</w:t>
                  </w:r>
                </w:p>
              </w:tc>
              <w:tc>
                <w:tcPr>
                  <w:tcW w:w="2084" w:type="dxa"/>
                  <w:noWrap w:val="0"/>
                  <w:vAlign w:val="center"/>
                </w:tcPr>
                <w:p w14:paraId="0924E575">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1339" w:type="dxa"/>
                  <w:noWrap w:val="0"/>
                  <w:vAlign w:val="center"/>
                </w:tcPr>
                <w:p w14:paraId="25BA27F2">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631</w:t>
                  </w:r>
                </w:p>
              </w:tc>
              <w:tc>
                <w:tcPr>
                  <w:tcW w:w="1339" w:type="dxa"/>
                  <w:noWrap w:val="0"/>
                  <w:vAlign w:val="center"/>
                </w:tcPr>
                <w:p w14:paraId="798E2F17">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641</w:t>
                  </w:r>
                </w:p>
              </w:tc>
              <w:tc>
                <w:tcPr>
                  <w:tcW w:w="1342" w:type="dxa"/>
                  <w:noWrap w:val="0"/>
                  <w:vAlign w:val="center"/>
                </w:tcPr>
                <w:p w14:paraId="453152D3">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661</w:t>
                  </w:r>
                </w:p>
              </w:tc>
            </w:tr>
            <w:tr w14:paraId="2254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7EEA866D">
                  <w:pPr>
                    <w:jc w:val="center"/>
                    <w:rPr>
                      <w:rFonts w:eastAsia="新宋体"/>
                      <w:color w:val="auto"/>
                      <w:sz w:val="18"/>
                      <w:szCs w:val="18"/>
                    </w:rPr>
                  </w:pPr>
                </w:p>
              </w:tc>
              <w:tc>
                <w:tcPr>
                  <w:tcW w:w="851" w:type="dxa"/>
                  <w:vMerge w:val="continue"/>
                  <w:noWrap w:val="0"/>
                  <w:vAlign w:val="center"/>
                </w:tcPr>
                <w:p w14:paraId="481838FA">
                  <w:pPr>
                    <w:jc w:val="center"/>
                    <w:rPr>
                      <w:rFonts w:eastAsia="新宋体"/>
                      <w:color w:val="auto"/>
                      <w:sz w:val="18"/>
                      <w:szCs w:val="18"/>
                    </w:rPr>
                  </w:pPr>
                </w:p>
              </w:tc>
              <w:tc>
                <w:tcPr>
                  <w:tcW w:w="2084" w:type="dxa"/>
                  <w:noWrap w:val="0"/>
                  <w:vAlign w:val="center"/>
                </w:tcPr>
                <w:p w14:paraId="3BBED01A">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1339" w:type="dxa"/>
                  <w:noWrap w:val="0"/>
                  <w:vAlign w:val="center"/>
                </w:tcPr>
                <w:p w14:paraId="09BE3F6E">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2.3</w:t>
                  </w:r>
                </w:p>
              </w:tc>
              <w:tc>
                <w:tcPr>
                  <w:tcW w:w="1339" w:type="dxa"/>
                  <w:noWrap w:val="0"/>
                  <w:vAlign w:val="center"/>
                </w:tcPr>
                <w:p w14:paraId="5A6098D2">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1.8</w:t>
                  </w:r>
                </w:p>
              </w:tc>
              <w:tc>
                <w:tcPr>
                  <w:tcW w:w="1342" w:type="dxa"/>
                  <w:noWrap w:val="0"/>
                  <w:vAlign w:val="center"/>
                </w:tcPr>
                <w:p w14:paraId="5C5D84A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2.1</w:t>
                  </w:r>
                </w:p>
              </w:tc>
            </w:tr>
            <w:tr w14:paraId="1E15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243FC84C">
                  <w:pPr>
                    <w:jc w:val="center"/>
                    <w:rPr>
                      <w:rFonts w:eastAsia="新宋体"/>
                      <w:color w:val="auto"/>
                      <w:sz w:val="18"/>
                      <w:szCs w:val="18"/>
                    </w:rPr>
                  </w:pPr>
                </w:p>
              </w:tc>
              <w:tc>
                <w:tcPr>
                  <w:tcW w:w="851" w:type="dxa"/>
                  <w:vMerge w:val="continue"/>
                  <w:noWrap w:val="0"/>
                  <w:vAlign w:val="center"/>
                </w:tcPr>
                <w:p w14:paraId="28FB6079">
                  <w:pPr>
                    <w:jc w:val="center"/>
                    <w:rPr>
                      <w:rFonts w:eastAsia="新宋体"/>
                      <w:color w:val="auto"/>
                      <w:sz w:val="18"/>
                      <w:szCs w:val="18"/>
                    </w:rPr>
                  </w:pPr>
                </w:p>
              </w:tc>
              <w:tc>
                <w:tcPr>
                  <w:tcW w:w="2084" w:type="dxa"/>
                  <w:noWrap w:val="0"/>
                  <w:vAlign w:val="center"/>
                </w:tcPr>
                <w:p w14:paraId="6726C3C4">
                  <w:pPr>
                    <w:jc w:val="center"/>
                    <w:rPr>
                      <w:rFonts w:eastAsia="新宋体"/>
                      <w:color w:val="auto"/>
                      <w:sz w:val="18"/>
                      <w:szCs w:val="18"/>
                    </w:rPr>
                  </w:pPr>
                  <w:r>
                    <w:rPr>
                      <w:rFonts w:eastAsia="新宋体"/>
                      <w:color w:val="auto"/>
                      <w:sz w:val="18"/>
                      <w:szCs w:val="18"/>
                    </w:rPr>
                    <w:t>排放速率</w:t>
                  </w:r>
                  <w:r>
                    <w:rPr>
                      <w:rFonts w:hint="eastAsia" w:eastAsia="新宋体"/>
                      <w:color w:val="auto"/>
                      <w:sz w:val="18"/>
                      <w:szCs w:val="18"/>
                    </w:rPr>
                    <w:t>（</w:t>
                  </w:r>
                  <w:r>
                    <w:rPr>
                      <w:rFonts w:eastAsia="新宋体"/>
                      <w:color w:val="auto"/>
                      <w:sz w:val="18"/>
                      <w:szCs w:val="18"/>
                    </w:rPr>
                    <w:t>kg/h</w:t>
                  </w:r>
                  <w:r>
                    <w:rPr>
                      <w:rFonts w:hint="eastAsia" w:eastAsia="新宋体"/>
                      <w:color w:val="auto"/>
                      <w:sz w:val="18"/>
                      <w:szCs w:val="18"/>
                    </w:rPr>
                    <w:t>）</w:t>
                  </w:r>
                </w:p>
              </w:tc>
              <w:tc>
                <w:tcPr>
                  <w:tcW w:w="1339" w:type="dxa"/>
                  <w:noWrap w:val="0"/>
                  <w:vAlign w:val="center"/>
                </w:tcPr>
                <w:p w14:paraId="3353CA3C">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0.0015</w:t>
                  </w:r>
                </w:p>
              </w:tc>
              <w:tc>
                <w:tcPr>
                  <w:tcW w:w="1339" w:type="dxa"/>
                  <w:noWrap w:val="0"/>
                  <w:vAlign w:val="center"/>
                </w:tcPr>
                <w:p w14:paraId="0A8BC4B8">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0.0012</w:t>
                  </w:r>
                </w:p>
              </w:tc>
              <w:tc>
                <w:tcPr>
                  <w:tcW w:w="1342" w:type="dxa"/>
                  <w:noWrap w:val="0"/>
                  <w:vAlign w:val="center"/>
                </w:tcPr>
                <w:p w14:paraId="6EDA84A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0.0014</w:t>
                  </w:r>
                </w:p>
              </w:tc>
            </w:tr>
          </w:tbl>
          <w:p w14:paraId="7037CC7F">
            <w:pPr>
              <w:pStyle w:val="86"/>
              <w:rPr>
                <w:color w:val="auto"/>
              </w:rPr>
            </w:pPr>
            <w:r>
              <w:rPr>
                <w:rFonts w:hint="eastAsia"/>
                <w:color w:val="auto"/>
              </w:rPr>
              <w:t>表2-</w:t>
            </w:r>
            <w:r>
              <w:rPr>
                <w:rFonts w:hint="eastAsia"/>
                <w:color w:val="auto"/>
                <w:lang w:val="en-US" w:eastAsia="zh-CN"/>
              </w:rPr>
              <w:t xml:space="preserve">14 </w:t>
            </w:r>
            <w:r>
              <w:rPr>
                <w:color w:val="auto"/>
              </w:rPr>
              <w:t xml:space="preserve"> </w:t>
            </w:r>
            <w:r>
              <w:rPr>
                <w:rFonts w:hint="eastAsia"/>
                <w:color w:val="auto"/>
                <w:lang w:val="en-US" w:eastAsia="zh-CN"/>
              </w:rPr>
              <w:t>油烟</w:t>
            </w:r>
            <w:r>
              <w:rPr>
                <w:rFonts w:hint="eastAsia"/>
                <w:color w:val="auto"/>
              </w:rPr>
              <w:t>废气监测结果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0"/>
              <w:gridCol w:w="851"/>
              <w:gridCol w:w="2084"/>
              <w:gridCol w:w="834"/>
              <w:gridCol w:w="810"/>
              <w:gridCol w:w="870"/>
              <w:gridCol w:w="780"/>
              <w:gridCol w:w="726"/>
            </w:tblGrid>
            <w:tr w14:paraId="112D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restart"/>
                  <w:noWrap w:val="0"/>
                  <w:vAlign w:val="center"/>
                </w:tcPr>
                <w:p w14:paraId="703436BE">
                  <w:pPr>
                    <w:jc w:val="center"/>
                    <w:rPr>
                      <w:rFonts w:eastAsia="新宋体"/>
                      <w:color w:val="auto"/>
                      <w:sz w:val="18"/>
                      <w:szCs w:val="18"/>
                    </w:rPr>
                  </w:pPr>
                  <w:r>
                    <w:rPr>
                      <w:rFonts w:eastAsia="新宋体"/>
                      <w:color w:val="auto"/>
                      <w:sz w:val="18"/>
                      <w:szCs w:val="18"/>
                    </w:rPr>
                    <w:t>检测点位</w:t>
                  </w:r>
                </w:p>
              </w:tc>
              <w:tc>
                <w:tcPr>
                  <w:tcW w:w="851" w:type="dxa"/>
                  <w:vMerge w:val="restart"/>
                  <w:noWrap w:val="0"/>
                  <w:vAlign w:val="center"/>
                </w:tcPr>
                <w:p w14:paraId="13423436">
                  <w:pPr>
                    <w:jc w:val="center"/>
                    <w:rPr>
                      <w:rFonts w:eastAsia="新宋体"/>
                      <w:color w:val="auto"/>
                      <w:sz w:val="18"/>
                      <w:szCs w:val="18"/>
                    </w:rPr>
                  </w:pPr>
                  <w:r>
                    <w:rPr>
                      <w:rFonts w:eastAsia="新宋体"/>
                      <w:color w:val="auto"/>
                      <w:sz w:val="18"/>
                      <w:szCs w:val="18"/>
                    </w:rPr>
                    <w:t>检测时间</w:t>
                  </w:r>
                </w:p>
              </w:tc>
              <w:tc>
                <w:tcPr>
                  <w:tcW w:w="2084" w:type="dxa"/>
                  <w:vMerge w:val="restart"/>
                  <w:noWrap w:val="0"/>
                  <w:vAlign w:val="center"/>
                </w:tcPr>
                <w:p w14:paraId="6B28B0AA">
                  <w:pPr>
                    <w:jc w:val="center"/>
                    <w:rPr>
                      <w:rFonts w:eastAsia="新宋体"/>
                      <w:color w:val="auto"/>
                      <w:sz w:val="18"/>
                      <w:szCs w:val="18"/>
                    </w:rPr>
                  </w:pPr>
                  <w:r>
                    <w:rPr>
                      <w:rFonts w:eastAsia="新宋体"/>
                      <w:color w:val="auto"/>
                      <w:sz w:val="18"/>
                      <w:szCs w:val="18"/>
                    </w:rPr>
                    <w:t>检测项目</w:t>
                  </w:r>
                </w:p>
              </w:tc>
              <w:tc>
                <w:tcPr>
                  <w:tcW w:w="4020" w:type="dxa"/>
                  <w:gridSpan w:val="5"/>
                  <w:noWrap w:val="0"/>
                  <w:vAlign w:val="center"/>
                </w:tcPr>
                <w:p w14:paraId="62067D87">
                  <w:pPr>
                    <w:jc w:val="center"/>
                    <w:rPr>
                      <w:rFonts w:eastAsia="新宋体"/>
                      <w:color w:val="auto"/>
                      <w:sz w:val="18"/>
                      <w:szCs w:val="18"/>
                    </w:rPr>
                  </w:pPr>
                  <w:r>
                    <w:rPr>
                      <w:rFonts w:eastAsia="新宋体"/>
                      <w:color w:val="auto"/>
                      <w:sz w:val="18"/>
                      <w:szCs w:val="18"/>
                    </w:rPr>
                    <w:t>检测结果</w:t>
                  </w:r>
                </w:p>
              </w:tc>
            </w:tr>
            <w:tr w14:paraId="3A8C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25CDB741">
                  <w:pPr>
                    <w:jc w:val="center"/>
                    <w:rPr>
                      <w:rFonts w:eastAsia="新宋体"/>
                      <w:color w:val="auto"/>
                      <w:sz w:val="18"/>
                      <w:szCs w:val="18"/>
                    </w:rPr>
                  </w:pPr>
                </w:p>
              </w:tc>
              <w:tc>
                <w:tcPr>
                  <w:tcW w:w="851" w:type="dxa"/>
                  <w:vMerge w:val="continue"/>
                  <w:noWrap w:val="0"/>
                  <w:vAlign w:val="center"/>
                </w:tcPr>
                <w:p w14:paraId="6CED15D9">
                  <w:pPr>
                    <w:jc w:val="center"/>
                    <w:rPr>
                      <w:rFonts w:eastAsia="新宋体"/>
                      <w:color w:val="auto"/>
                      <w:sz w:val="18"/>
                      <w:szCs w:val="18"/>
                    </w:rPr>
                  </w:pPr>
                </w:p>
              </w:tc>
              <w:tc>
                <w:tcPr>
                  <w:tcW w:w="2084" w:type="dxa"/>
                  <w:vMerge w:val="continue"/>
                  <w:noWrap w:val="0"/>
                  <w:vAlign w:val="center"/>
                </w:tcPr>
                <w:p w14:paraId="76136F9F">
                  <w:pPr>
                    <w:jc w:val="center"/>
                    <w:rPr>
                      <w:rFonts w:eastAsia="新宋体"/>
                      <w:color w:val="auto"/>
                      <w:sz w:val="18"/>
                      <w:szCs w:val="18"/>
                    </w:rPr>
                  </w:pPr>
                </w:p>
              </w:tc>
              <w:tc>
                <w:tcPr>
                  <w:tcW w:w="834" w:type="dxa"/>
                  <w:noWrap w:val="0"/>
                  <w:vAlign w:val="center"/>
                </w:tcPr>
                <w:p w14:paraId="3D6EE03D">
                  <w:pPr>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Ⅰ</w:t>
                  </w:r>
                </w:p>
              </w:tc>
              <w:tc>
                <w:tcPr>
                  <w:tcW w:w="810" w:type="dxa"/>
                  <w:noWrap w:val="0"/>
                  <w:vAlign w:val="center"/>
                </w:tcPr>
                <w:p w14:paraId="76B3A290">
                  <w:pPr>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Ⅱ</w:t>
                  </w:r>
                </w:p>
              </w:tc>
              <w:tc>
                <w:tcPr>
                  <w:tcW w:w="870" w:type="dxa"/>
                  <w:noWrap w:val="0"/>
                  <w:vAlign w:val="center"/>
                </w:tcPr>
                <w:p w14:paraId="16BE9822">
                  <w:pPr>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Ⅲ</w:t>
                  </w:r>
                </w:p>
              </w:tc>
              <w:tc>
                <w:tcPr>
                  <w:tcW w:w="780" w:type="dxa"/>
                  <w:noWrap w:val="0"/>
                  <w:vAlign w:val="center"/>
                </w:tcPr>
                <w:p w14:paraId="327EEB37">
                  <w:pPr>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Ⅳ</w:t>
                  </w:r>
                </w:p>
              </w:tc>
              <w:tc>
                <w:tcPr>
                  <w:tcW w:w="726" w:type="dxa"/>
                  <w:noWrap w:val="0"/>
                  <w:vAlign w:val="center"/>
                </w:tcPr>
                <w:p w14:paraId="58916B6F">
                  <w:pPr>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Ⅴ</w:t>
                  </w:r>
                </w:p>
              </w:tc>
            </w:tr>
            <w:tr w14:paraId="59A3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restart"/>
                  <w:noWrap w:val="0"/>
                  <w:vAlign w:val="center"/>
                </w:tcPr>
                <w:p w14:paraId="76B88F84">
                  <w:pPr>
                    <w:jc w:val="center"/>
                    <w:rPr>
                      <w:rFonts w:hint="default" w:eastAsia="宋体"/>
                      <w:color w:val="auto"/>
                      <w:sz w:val="18"/>
                      <w:szCs w:val="18"/>
                      <w:lang w:val="en-US" w:eastAsia="zh-CN"/>
                    </w:rPr>
                  </w:pPr>
                  <w:r>
                    <w:rPr>
                      <w:rFonts w:hint="eastAsia"/>
                      <w:color w:val="auto"/>
                      <w:sz w:val="18"/>
                      <w:szCs w:val="18"/>
                      <w:lang w:val="en-US" w:eastAsia="zh-CN"/>
                    </w:rPr>
                    <w:t>油烟废气排放口</w:t>
                  </w:r>
                </w:p>
              </w:tc>
              <w:tc>
                <w:tcPr>
                  <w:tcW w:w="851" w:type="dxa"/>
                  <w:vMerge w:val="restart"/>
                  <w:noWrap w:val="0"/>
                  <w:vAlign w:val="center"/>
                </w:tcPr>
                <w:p w14:paraId="6F4F2A76">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30</w:t>
                  </w:r>
                  <w:r>
                    <w:rPr>
                      <w:color w:val="auto"/>
                      <w:sz w:val="18"/>
                      <w:szCs w:val="18"/>
                    </w:rPr>
                    <w:t>日</w:t>
                  </w:r>
                </w:p>
              </w:tc>
              <w:tc>
                <w:tcPr>
                  <w:tcW w:w="2084" w:type="dxa"/>
                  <w:noWrap w:val="0"/>
                  <w:vAlign w:val="center"/>
                </w:tcPr>
                <w:p w14:paraId="46892165">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834" w:type="dxa"/>
                  <w:noWrap w:val="0"/>
                  <w:vAlign w:val="center"/>
                </w:tcPr>
                <w:p w14:paraId="5EB29E7E">
                  <w:pPr>
                    <w:jc w:val="center"/>
                    <w:rPr>
                      <w:rFonts w:hint="default" w:eastAsia="新宋体"/>
                      <w:color w:val="auto"/>
                      <w:sz w:val="18"/>
                      <w:szCs w:val="18"/>
                      <w:lang w:val="en-US" w:eastAsia="zh-CN"/>
                    </w:rPr>
                  </w:pPr>
                  <w:r>
                    <w:rPr>
                      <w:rFonts w:hint="eastAsia" w:eastAsia="新宋体"/>
                      <w:color w:val="auto"/>
                      <w:sz w:val="18"/>
                      <w:szCs w:val="18"/>
                      <w:lang w:val="en-US" w:eastAsia="zh-CN"/>
                    </w:rPr>
                    <w:t>512</w:t>
                  </w:r>
                </w:p>
              </w:tc>
              <w:tc>
                <w:tcPr>
                  <w:tcW w:w="810" w:type="dxa"/>
                  <w:noWrap w:val="0"/>
                  <w:vAlign w:val="center"/>
                </w:tcPr>
                <w:p w14:paraId="26AD5C57">
                  <w:pPr>
                    <w:jc w:val="center"/>
                    <w:rPr>
                      <w:rFonts w:hint="default" w:eastAsia="新宋体"/>
                      <w:color w:val="auto"/>
                      <w:sz w:val="18"/>
                      <w:szCs w:val="18"/>
                      <w:lang w:val="en-US" w:eastAsia="zh-CN"/>
                    </w:rPr>
                  </w:pPr>
                  <w:r>
                    <w:rPr>
                      <w:rFonts w:hint="eastAsia" w:eastAsia="新宋体"/>
                      <w:color w:val="auto"/>
                      <w:sz w:val="18"/>
                      <w:szCs w:val="18"/>
                      <w:lang w:val="en-US" w:eastAsia="zh-CN"/>
                    </w:rPr>
                    <w:t>546</w:t>
                  </w:r>
                </w:p>
              </w:tc>
              <w:tc>
                <w:tcPr>
                  <w:tcW w:w="870" w:type="dxa"/>
                  <w:noWrap w:val="0"/>
                  <w:vAlign w:val="center"/>
                </w:tcPr>
                <w:p w14:paraId="56070BDE">
                  <w:pPr>
                    <w:jc w:val="center"/>
                    <w:rPr>
                      <w:rFonts w:hint="default" w:eastAsia="新宋体"/>
                      <w:color w:val="auto"/>
                      <w:sz w:val="18"/>
                      <w:szCs w:val="18"/>
                      <w:lang w:val="en-US" w:eastAsia="zh-CN"/>
                    </w:rPr>
                  </w:pPr>
                  <w:r>
                    <w:rPr>
                      <w:rFonts w:hint="eastAsia" w:eastAsia="新宋体"/>
                      <w:color w:val="auto"/>
                      <w:sz w:val="18"/>
                      <w:szCs w:val="18"/>
                      <w:lang w:val="en-US" w:eastAsia="zh-CN"/>
                    </w:rPr>
                    <w:t>586</w:t>
                  </w:r>
                </w:p>
              </w:tc>
              <w:tc>
                <w:tcPr>
                  <w:tcW w:w="780" w:type="dxa"/>
                  <w:noWrap w:val="0"/>
                  <w:vAlign w:val="center"/>
                </w:tcPr>
                <w:p w14:paraId="5A5F0F02">
                  <w:pPr>
                    <w:jc w:val="center"/>
                    <w:rPr>
                      <w:rFonts w:hint="default" w:eastAsia="新宋体"/>
                      <w:color w:val="auto"/>
                      <w:sz w:val="18"/>
                      <w:szCs w:val="18"/>
                      <w:lang w:val="en-US" w:eastAsia="zh-CN"/>
                    </w:rPr>
                  </w:pPr>
                  <w:r>
                    <w:rPr>
                      <w:rFonts w:hint="eastAsia" w:eastAsia="新宋体"/>
                      <w:color w:val="auto"/>
                      <w:sz w:val="18"/>
                      <w:szCs w:val="18"/>
                      <w:lang w:val="en-US" w:eastAsia="zh-CN"/>
                    </w:rPr>
                    <w:t>552</w:t>
                  </w:r>
                </w:p>
              </w:tc>
              <w:tc>
                <w:tcPr>
                  <w:tcW w:w="726" w:type="dxa"/>
                  <w:noWrap w:val="0"/>
                  <w:vAlign w:val="center"/>
                </w:tcPr>
                <w:p w14:paraId="658D21B5">
                  <w:pPr>
                    <w:jc w:val="center"/>
                    <w:rPr>
                      <w:rFonts w:hint="default" w:eastAsia="新宋体"/>
                      <w:color w:val="auto"/>
                      <w:sz w:val="18"/>
                      <w:szCs w:val="18"/>
                      <w:lang w:val="en-US" w:eastAsia="zh-CN"/>
                    </w:rPr>
                  </w:pPr>
                  <w:r>
                    <w:rPr>
                      <w:rFonts w:hint="eastAsia" w:eastAsia="新宋体"/>
                      <w:color w:val="auto"/>
                      <w:sz w:val="18"/>
                      <w:szCs w:val="18"/>
                      <w:lang w:val="en-US" w:eastAsia="zh-CN"/>
                    </w:rPr>
                    <w:t>521</w:t>
                  </w:r>
                </w:p>
              </w:tc>
            </w:tr>
            <w:tr w14:paraId="5377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980" w:type="dxa"/>
                  <w:vMerge w:val="continue"/>
                  <w:noWrap w:val="0"/>
                  <w:vAlign w:val="center"/>
                </w:tcPr>
                <w:p w14:paraId="572437FA">
                  <w:pPr>
                    <w:jc w:val="center"/>
                    <w:rPr>
                      <w:color w:val="auto"/>
                      <w:sz w:val="18"/>
                      <w:szCs w:val="18"/>
                    </w:rPr>
                  </w:pPr>
                </w:p>
              </w:tc>
              <w:tc>
                <w:tcPr>
                  <w:tcW w:w="851" w:type="dxa"/>
                  <w:vMerge w:val="continue"/>
                  <w:noWrap w:val="0"/>
                  <w:vAlign w:val="center"/>
                </w:tcPr>
                <w:p w14:paraId="6A754B01">
                  <w:pPr>
                    <w:jc w:val="center"/>
                    <w:rPr>
                      <w:rFonts w:eastAsia="新宋体"/>
                      <w:color w:val="auto"/>
                      <w:sz w:val="18"/>
                      <w:szCs w:val="18"/>
                    </w:rPr>
                  </w:pPr>
                </w:p>
              </w:tc>
              <w:tc>
                <w:tcPr>
                  <w:tcW w:w="2084" w:type="dxa"/>
                  <w:noWrap w:val="0"/>
                  <w:vAlign w:val="center"/>
                </w:tcPr>
                <w:p w14:paraId="1391F9C9">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834" w:type="dxa"/>
                  <w:noWrap w:val="0"/>
                  <w:vAlign w:val="center"/>
                </w:tcPr>
                <w:p w14:paraId="657A16CB">
                  <w:pPr>
                    <w:jc w:val="center"/>
                    <w:rPr>
                      <w:rFonts w:hint="default" w:eastAsia="宋体"/>
                      <w:color w:val="auto"/>
                      <w:sz w:val="18"/>
                      <w:szCs w:val="18"/>
                      <w:lang w:val="en-US" w:eastAsia="zh-CN"/>
                    </w:rPr>
                  </w:pPr>
                  <w:r>
                    <w:rPr>
                      <w:rFonts w:hint="eastAsia"/>
                      <w:color w:val="auto"/>
                      <w:sz w:val="18"/>
                      <w:szCs w:val="18"/>
                      <w:lang w:val="en-US" w:eastAsia="zh-CN"/>
                    </w:rPr>
                    <w:t>0.512</w:t>
                  </w:r>
                </w:p>
              </w:tc>
              <w:tc>
                <w:tcPr>
                  <w:tcW w:w="810" w:type="dxa"/>
                  <w:noWrap w:val="0"/>
                  <w:vAlign w:val="center"/>
                </w:tcPr>
                <w:p w14:paraId="4B7CC43B">
                  <w:pPr>
                    <w:jc w:val="center"/>
                    <w:rPr>
                      <w:rFonts w:hint="default" w:eastAsia="宋体"/>
                      <w:color w:val="auto"/>
                      <w:sz w:val="18"/>
                      <w:szCs w:val="18"/>
                      <w:lang w:val="en-US" w:eastAsia="zh-CN"/>
                    </w:rPr>
                  </w:pPr>
                  <w:r>
                    <w:rPr>
                      <w:rFonts w:hint="eastAsia"/>
                      <w:color w:val="auto"/>
                      <w:sz w:val="18"/>
                      <w:szCs w:val="18"/>
                      <w:lang w:val="en-US" w:eastAsia="zh-CN"/>
                    </w:rPr>
                    <w:t>0.287</w:t>
                  </w:r>
                </w:p>
              </w:tc>
              <w:tc>
                <w:tcPr>
                  <w:tcW w:w="870" w:type="dxa"/>
                  <w:noWrap w:val="0"/>
                  <w:vAlign w:val="center"/>
                </w:tcPr>
                <w:p w14:paraId="40426344">
                  <w:pPr>
                    <w:widowControl/>
                    <w:jc w:val="center"/>
                    <w:textAlignment w:val="center"/>
                    <w:rPr>
                      <w:rFonts w:hint="default"/>
                      <w:color w:val="auto"/>
                      <w:sz w:val="18"/>
                      <w:szCs w:val="18"/>
                      <w:lang w:val="en-US"/>
                    </w:rPr>
                  </w:pPr>
                  <w:r>
                    <w:rPr>
                      <w:rFonts w:hint="eastAsia"/>
                      <w:color w:val="auto"/>
                      <w:sz w:val="18"/>
                      <w:szCs w:val="18"/>
                      <w:lang w:val="en-US" w:eastAsia="zh-CN"/>
                    </w:rPr>
                    <w:t>0.375</w:t>
                  </w:r>
                </w:p>
              </w:tc>
              <w:tc>
                <w:tcPr>
                  <w:tcW w:w="780" w:type="dxa"/>
                  <w:noWrap w:val="0"/>
                  <w:vAlign w:val="center"/>
                </w:tcPr>
                <w:p w14:paraId="4F80465A">
                  <w:pPr>
                    <w:widowControl/>
                    <w:jc w:val="center"/>
                    <w:textAlignment w:val="center"/>
                    <w:rPr>
                      <w:rFonts w:hint="default"/>
                      <w:color w:val="auto"/>
                      <w:sz w:val="18"/>
                      <w:szCs w:val="18"/>
                      <w:lang w:val="en-US" w:eastAsia="zh-CN"/>
                    </w:rPr>
                  </w:pPr>
                  <w:r>
                    <w:rPr>
                      <w:rFonts w:hint="eastAsia"/>
                      <w:color w:val="auto"/>
                      <w:sz w:val="18"/>
                      <w:szCs w:val="18"/>
                      <w:lang w:val="en-US" w:eastAsia="zh-CN"/>
                    </w:rPr>
                    <w:t>1.046</w:t>
                  </w:r>
                </w:p>
              </w:tc>
              <w:tc>
                <w:tcPr>
                  <w:tcW w:w="726" w:type="dxa"/>
                  <w:noWrap w:val="0"/>
                  <w:vAlign w:val="center"/>
                </w:tcPr>
                <w:p w14:paraId="713274E6">
                  <w:pPr>
                    <w:widowControl/>
                    <w:jc w:val="center"/>
                    <w:textAlignment w:val="center"/>
                    <w:rPr>
                      <w:rFonts w:hint="default"/>
                      <w:color w:val="auto"/>
                      <w:sz w:val="18"/>
                      <w:szCs w:val="18"/>
                      <w:lang w:val="en-US" w:eastAsia="zh-CN"/>
                    </w:rPr>
                  </w:pPr>
                  <w:r>
                    <w:rPr>
                      <w:rFonts w:hint="eastAsia"/>
                      <w:color w:val="auto"/>
                      <w:sz w:val="18"/>
                      <w:szCs w:val="18"/>
                      <w:lang w:val="en-US" w:eastAsia="zh-CN"/>
                    </w:rPr>
                    <w:t>0.894</w:t>
                  </w:r>
                </w:p>
              </w:tc>
            </w:tr>
            <w:tr w14:paraId="1C85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52D76F1F">
                  <w:pPr>
                    <w:jc w:val="center"/>
                    <w:rPr>
                      <w:rFonts w:eastAsia="新宋体"/>
                      <w:color w:val="auto"/>
                      <w:sz w:val="18"/>
                      <w:szCs w:val="18"/>
                    </w:rPr>
                  </w:pPr>
                </w:p>
              </w:tc>
              <w:tc>
                <w:tcPr>
                  <w:tcW w:w="851" w:type="dxa"/>
                  <w:vMerge w:val="restart"/>
                  <w:noWrap w:val="0"/>
                  <w:vAlign w:val="center"/>
                </w:tcPr>
                <w:p w14:paraId="231EC3DE">
                  <w:pPr>
                    <w:jc w:val="center"/>
                    <w:rPr>
                      <w:rFonts w:eastAsia="新宋体"/>
                      <w:color w:val="auto"/>
                      <w:sz w:val="18"/>
                      <w:szCs w:val="18"/>
                    </w:rPr>
                  </w:pP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31</w:t>
                  </w:r>
                  <w:r>
                    <w:rPr>
                      <w:color w:val="auto"/>
                      <w:sz w:val="18"/>
                      <w:szCs w:val="18"/>
                    </w:rPr>
                    <w:t>日</w:t>
                  </w:r>
                </w:p>
              </w:tc>
              <w:tc>
                <w:tcPr>
                  <w:tcW w:w="2084" w:type="dxa"/>
                  <w:noWrap w:val="0"/>
                  <w:vAlign w:val="center"/>
                </w:tcPr>
                <w:p w14:paraId="0FD2D900">
                  <w:pPr>
                    <w:jc w:val="center"/>
                    <w:rPr>
                      <w:rFonts w:eastAsia="新宋体"/>
                      <w:color w:val="auto"/>
                      <w:sz w:val="18"/>
                      <w:szCs w:val="18"/>
                    </w:rPr>
                  </w:pPr>
                  <w:r>
                    <w:rPr>
                      <w:rFonts w:hint="eastAsia" w:eastAsia="新宋体"/>
                      <w:color w:val="auto"/>
                      <w:sz w:val="18"/>
                      <w:szCs w:val="18"/>
                      <w:lang w:val="en-US" w:eastAsia="zh-CN"/>
                    </w:rPr>
                    <w:t>标杆流量（</w:t>
                  </w:r>
                  <w:r>
                    <w:rPr>
                      <w:rFonts w:eastAsia="新宋体"/>
                      <w:color w:val="auto"/>
                      <w:sz w:val="18"/>
                      <w:szCs w:val="18"/>
                    </w:rPr>
                    <w:t>m</w:t>
                  </w:r>
                  <w:r>
                    <w:rPr>
                      <w:rFonts w:hint="eastAsia" w:eastAsia="新宋体"/>
                      <w:color w:val="auto"/>
                      <w:sz w:val="18"/>
                      <w:szCs w:val="18"/>
                      <w:vertAlign w:val="superscript"/>
                      <w:lang w:val="en-US" w:eastAsia="zh-CN"/>
                    </w:rPr>
                    <w:t>3</w:t>
                  </w:r>
                  <w:r>
                    <w:rPr>
                      <w:color w:val="auto"/>
                      <w:sz w:val="18"/>
                      <w:szCs w:val="18"/>
                    </w:rPr>
                    <w:t>/</w:t>
                  </w:r>
                  <w:r>
                    <w:rPr>
                      <w:rFonts w:hint="eastAsia"/>
                      <w:color w:val="auto"/>
                      <w:sz w:val="18"/>
                      <w:szCs w:val="18"/>
                      <w:lang w:val="en-US" w:eastAsia="zh-CN"/>
                    </w:rPr>
                    <w:t>h</w:t>
                  </w:r>
                  <w:r>
                    <w:rPr>
                      <w:rFonts w:hint="eastAsia" w:eastAsia="新宋体"/>
                      <w:color w:val="auto"/>
                      <w:sz w:val="18"/>
                      <w:szCs w:val="18"/>
                      <w:lang w:val="en-US" w:eastAsia="zh-CN"/>
                    </w:rPr>
                    <w:t>）</w:t>
                  </w:r>
                </w:p>
              </w:tc>
              <w:tc>
                <w:tcPr>
                  <w:tcW w:w="834" w:type="dxa"/>
                  <w:noWrap w:val="0"/>
                  <w:vAlign w:val="center"/>
                </w:tcPr>
                <w:p w14:paraId="2C986B8F">
                  <w:pPr>
                    <w:widowControl/>
                    <w:tabs>
                      <w:tab w:val="left" w:pos="245"/>
                    </w:tabs>
                    <w:jc w:val="center"/>
                    <w:textAlignment w:val="center"/>
                    <w:rPr>
                      <w:rFonts w:hint="default" w:eastAsia="宋体"/>
                      <w:color w:val="auto"/>
                      <w:sz w:val="18"/>
                      <w:szCs w:val="18"/>
                      <w:lang w:val="en-US" w:eastAsia="zh-CN"/>
                    </w:rPr>
                  </w:pPr>
                  <w:r>
                    <w:rPr>
                      <w:rFonts w:hint="eastAsia"/>
                      <w:color w:val="auto"/>
                      <w:sz w:val="18"/>
                      <w:szCs w:val="18"/>
                      <w:lang w:val="en-US" w:eastAsia="zh-CN"/>
                    </w:rPr>
                    <w:t>643</w:t>
                  </w:r>
                </w:p>
              </w:tc>
              <w:tc>
                <w:tcPr>
                  <w:tcW w:w="810" w:type="dxa"/>
                  <w:noWrap w:val="0"/>
                  <w:vAlign w:val="center"/>
                </w:tcPr>
                <w:p w14:paraId="67324973">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642</w:t>
                  </w:r>
                </w:p>
              </w:tc>
              <w:tc>
                <w:tcPr>
                  <w:tcW w:w="870" w:type="dxa"/>
                  <w:noWrap w:val="0"/>
                  <w:vAlign w:val="center"/>
                </w:tcPr>
                <w:p w14:paraId="58A97B5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607</w:t>
                  </w:r>
                </w:p>
              </w:tc>
              <w:tc>
                <w:tcPr>
                  <w:tcW w:w="780" w:type="dxa"/>
                  <w:noWrap w:val="0"/>
                  <w:vAlign w:val="center"/>
                </w:tcPr>
                <w:p w14:paraId="5836B5DA">
                  <w:pPr>
                    <w:widowControl/>
                    <w:jc w:val="center"/>
                    <w:textAlignment w:val="center"/>
                    <w:rPr>
                      <w:rFonts w:hint="default"/>
                      <w:color w:val="auto"/>
                      <w:sz w:val="18"/>
                      <w:szCs w:val="18"/>
                      <w:lang w:val="en-US" w:eastAsia="zh-CN"/>
                    </w:rPr>
                  </w:pPr>
                  <w:r>
                    <w:rPr>
                      <w:rFonts w:hint="eastAsia"/>
                      <w:color w:val="auto"/>
                      <w:sz w:val="18"/>
                      <w:szCs w:val="18"/>
                      <w:lang w:val="en-US" w:eastAsia="zh-CN"/>
                    </w:rPr>
                    <w:t>580</w:t>
                  </w:r>
                </w:p>
              </w:tc>
              <w:tc>
                <w:tcPr>
                  <w:tcW w:w="726" w:type="dxa"/>
                  <w:noWrap w:val="0"/>
                  <w:vAlign w:val="center"/>
                </w:tcPr>
                <w:p w14:paraId="69852DF8">
                  <w:pPr>
                    <w:widowControl/>
                    <w:jc w:val="center"/>
                    <w:textAlignment w:val="center"/>
                    <w:rPr>
                      <w:rFonts w:hint="default"/>
                      <w:color w:val="auto"/>
                      <w:sz w:val="18"/>
                      <w:szCs w:val="18"/>
                      <w:lang w:val="en-US" w:eastAsia="zh-CN"/>
                    </w:rPr>
                  </w:pPr>
                  <w:r>
                    <w:rPr>
                      <w:rFonts w:hint="eastAsia"/>
                      <w:color w:val="auto"/>
                      <w:sz w:val="18"/>
                      <w:szCs w:val="18"/>
                      <w:lang w:val="en-US" w:eastAsia="zh-CN"/>
                    </w:rPr>
                    <w:t>608</w:t>
                  </w:r>
                </w:p>
              </w:tc>
            </w:tr>
            <w:tr w14:paraId="646A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0" w:type="dxa"/>
                  <w:vMerge w:val="continue"/>
                  <w:noWrap w:val="0"/>
                  <w:vAlign w:val="center"/>
                </w:tcPr>
                <w:p w14:paraId="1810B2A8">
                  <w:pPr>
                    <w:jc w:val="center"/>
                    <w:rPr>
                      <w:rFonts w:eastAsia="新宋体"/>
                      <w:color w:val="auto"/>
                      <w:sz w:val="18"/>
                      <w:szCs w:val="18"/>
                    </w:rPr>
                  </w:pPr>
                </w:p>
              </w:tc>
              <w:tc>
                <w:tcPr>
                  <w:tcW w:w="851" w:type="dxa"/>
                  <w:vMerge w:val="continue"/>
                  <w:noWrap w:val="0"/>
                  <w:vAlign w:val="center"/>
                </w:tcPr>
                <w:p w14:paraId="59D9F2E7">
                  <w:pPr>
                    <w:jc w:val="center"/>
                    <w:rPr>
                      <w:rFonts w:eastAsia="新宋体"/>
                      <w:color w:val="auto"/>
                      <w:sz w:val="18"/>
                      <w:szCs w:val="18"/>
                    </w:rPr>
                  </w:pPr>
                </w:p>
              </w:tc>
              <w:tc>
                <w:tcPr>
                  <w:tcW w:w="2084" w:type="dxa"/>
                  <w:noWrap w:val="0"/>
                  <w:vAlign w:val="center"/>
                </w:tcPr>
                <w:p w14:paraId="77FFEAE1">
                  <w:pPr>
                    <w:jc w:val="center"/>
                    <w:rPr>
                      <w:rFonts w:eastAsia="新宋体"/>
                      <w:color w:val="auto"/>
                      <w:sz w:val="18"/>
                      <w:szCs w:val="18"/>
                    </w:rPr>
                  </w:pPr>
                  <w:r>
                    <w:rPr>
                      <w:rFonts w:eastAsia="新宋体"/>
                      <w:color w:val="auto"/>
                      <w:sz w:val="18"/>
                      <w:szCs w:val="18"/>
                    </w:rPr>
                    <w:t>排放浓度</w:t>
                  </w:r>
                  <w:r>
                    <w:rPr>
                      <w:rFonts w:hint="eastAsia" w:eastAsia="新宋体"/>
                      <w:color w:val="auto"/>
                      <w:sz w:val="18"/>
                      <w:szCs w:val="18"/>
                    </w:rPr>
                    <w:t>（</w:t>
                  </w:r>
                  <w:r>
                    <w:rPr>
                      <w:rFonts w:eastAsia="新宋体"/>
                      <w:color w:val="auto"/>
                      <w:sz w:val="18"/>
                      <w:szCs w:val="18"/>
                    </w:rPr>
                    <w:t>mg/m</w:t>
                  </w:r>
                  <w:r>
                    <w:rPr>
                      <w:rFonts w:eastAsia="新宋体"/>
                      <w:color w:val="auto"/>
                      <w:sz w:val="18"/>
                      <w:szCs w:val="18"/>
                      <w:vertAlign w:val="superscript"/>
                    </w:rPr>
                    <w:t>3</w:t>
                  </w:r>
                  <w:r>
                    <w:rPr>
                      <w:rFonts w:hint="eastAsia" w:eastAsia="新宋体"/>
                      <w:color w:val="auto"/>
                      <w:sz w:val="18"/>
                      <w:szCs w:val="18"/>
                    </w:rPr>
                    <w:t>）</w:t>
                  </w:r>
                </w:p>
              </w:tc>
              <w:tc>
                <w:tcPr>
                  <w:tcW w:w="834" w:type="dxa"/>
                  <w:noWrap w:val="0"/>
                  <w:vAlign w:val="center"/>
                </w:tcPr>
                <w:p w14:paraId="1154F1AF">
                  <w:pPr>
                    <w:jc w:val="center"/>
                    <w:rPr>
                      <w:rFonts w:hint="default" w:eastAsia="宋体"/>
                      <w:color w:val="auto"/>
                      <w:sz w:val="18"/>
                      <w:szCs w:val="18"/>
                      <w:lang w:val="en-US" w:eastAsia="zh-CN"/>
                    </w:rPr>
                  </w:pPr>
                  <w:r>
                    <w:rPr>
                      <w:rFonts w:hint="eastAsia"/>
                      <w:color w:val="auto"/>
                      <w:sz w:val="18"/>
                      <w:szCs w:val="18"/>
                      <w:lang w:val="en-US" w:eastAsia="zh-CN"/>
                    </w:rPr>
                    <w:t>0.406</w:t>
                  </w:r>
                </w:p>
              </w:tc>
              <w:tc>
                <w:tcPr>
                  <w:tcW w:w="810" w:type="dxa"/>
                  <w:noWrap w:val="0"/>
                  <w:vAlign w:val="center"/>
                </w:tcPr>
                <w:p w14:paraId="555C899F">
                  <w:pPr>
                    <w:tabs>
                      <w:tab w:val="left" w:pos="221"/>
                    </w:tabs>
                    <w:jc w:val="center"/>
                    <w:rPr>
                      <w:rFonts w:hint="default" w:eastAsia="宋体"/>
                      <w:color w:val="auto"/>
                      <w:sz w:val="18"/>
                      <w:szCs w:val="18"/>
                      <w:lang w:val="en-US" w:eastAsia="zh-CN"/>
                    </w:rPr>
                  </w:pPr>
                  <w:r>
                    <w:rPr>
                      <w:rFonts w:hint="eastAsia"/>
                      <w:color w:val="auto"/>
                      <w:sz w:val="18"/>
                      <w:szCs w:val="18"/>
                      <w:lang w:val="en-US" w:eastAsia="zh-CN"/>
                    </w:rPr>
                    <w:t>0.330</w:t>
                  </w:r>
                </w:p>
              </w:tc>
              <w:tc>
                <w:tcPr>
                  <w:tcW w:w="870" w:type="dxa"/>
                  <w:noWrap w:val="0"/>
                  <w:vAlign w:val="center"/>
                </w:tcPr>
                <w:p w14:paraId="14A08B6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0.357</w:t>
                  </w:r>
                </w:p>
              </w:tc>
              <w:tc>
                <w:tcPr>
                  <w:tcW w:w="780" w:type="dxa"/>
                  <w:noWrap w:val="0"/>
                  <w:vAlign w:val="center"/>
                </w:tcPr>
                <w:p w14:paraId="0F9A7ADB">
                  <w:pPr>
                    <w:widowControl/>
                    <w:jc w:val="center"/>
                    <w:textAlignment w:val="center"/>
                    <w:rPr>
                      <w:rFonts w:hint="default"/>
                      <w:color w:val="auto"/>
                      <w:sz w:val="18"/>
                      <w:szCs w:val="18"/>
                      <w:lang w:val="en-US" w:eastAsia="zh-CN"/>
                    </w:rPr>
                  </w:pPr>
                  <w:r>
                    <w:rPr>
                      <w:rFonts w:hint="eastAsia"/>
                      <w:color w:val="auto"/>
                      <w:sz w:val="18"/>
                      <w:szCs w:val="18"/>
                      <w:lang w:val="en-US" w:eastAsia="zh-CN"/>
                    </w:rPr>
                    <w:t>0.918</w:t>
                  </w:r>
                </w:p>
              </w:tc>
              <w:tc>
                <w:tcPr>
                  <w:tcW w:w="726" w:type="dxa"/>
                  <w:noWrap w:val="0"/>
                  <w:vAlign w:val="center"/>
                </w:tcPr>
                <w:p w14:paraId="76709D35">
                  <w:pPr>
                    <w:widowControl/>
                    <w:jc w:val="center"/>
                    <w:textAlignment w:val="center"/>
                    <w:rPr>
                      <w:rFonts w:hint="default"/>
                      <w:color w:val="auto"/>
                      <w:sz w:val="18"/>
                      <w:szCs w:val="18"/>
                      <w:lang w:val="en-US" w:eastAsia="zh-CN"/>
                    </w:rPr>
                  </w:pPr>
                  <w:r>
                    <w:rPr>
                      <w:rFonts w:hint="eastAsia"/>
                      <w:color w:val="auto"/>
                      <w:sz w:val="18"/>
                      <w:szCs w:val="18"/>
                      <w:lang w:val="en-US" w:eastAsia="zh-CN"/>
                    </w:rPr>
                    <w:t>0.819</w:t>
                  </w:r>
                </w:p>
              </w:tc>
            </w:tr>
          </w:tbl>
          <w:p w14:paraId="322C7460">
            <w:pPr>
              <w:pStyle w:val="84"/>
              <w:rPr>
                <w:rFonts w:hint="eastAsia"/>
                <w:color w:val="auto"/>
                <w:lang w:eastAsia="zh-CN"/>
              </w:rPr>
            </w:pPr>
            <w:r>
              <w:rPr>
                <w:rFonts w:hint="eastAsia"/>
                <w:color w:val="auto"/>
              </w:rPr>
              <w:t>监测结果表明，验收监测期间，</w:t>
            </w:r>
            <w:r>
              <w:rPr>
                <w:rFonts w:hint="eastAsia"/>
                <w:color w:val="auto"/>
                <w:lang w:val="en-US" w:eastAsia="zh-CN"/>
              </w:rPr>
              <w:t>排气筒DA001颗粒物最大浓度为6.7</w:t>
            </w:r>
            <w:r>
              <w:rPr>
                <w:color w:val="auto"/>
              </w:rPr>
              <w:t>g/m³</w:t>
            </w:r>
            <w:r>
              <w:rPr>
                <w:rFonts w:hint="eastAsia"/>
                <w:color w:val="auto"/>
                <w:lang w:eastAsia="zh-CN"/>
              </w:rPr>
              <w:t>，</w:t>
            </w:r>
            <w:r>
              <w:rPr>
                <w:rFonts w:hint="eastAsia"/>
                <w:color w:val="auto"/>
                <w:lang w:val="en-US" w:eastAsia="zh-CN"/>
              </w:rPr>
              <w:t>氮氧化物最大浓度为30</w:t>
            </w:r>
            <w:r>
              <w:rPr>
                <w:color w:val="auto"/>
              </w:rPr>
              <w:t>mg/m³</w:t>
            </w:r>
            <w:r>
              <w:rPr>
                <w:rFonts w:hint="eastAsia"/>
                <w:color w:val="auto"/>
                <w:lang w:eastAsia="zh-CN"/>
              </w:rPr>
              <w:t>，</w:t>
            </w:r>
            <w:r>
              <w:rPr>
                <w:rFonts w:hint="eastAsia"/>
                <w:color w:val="auto"/>
                <w:lang w:val="en-US" w:eastAsia="zh-CN"/>
              </w:rPr>
              <w:t>二氧化硫最大浓度为10</w:t>
            </w:r>
            <w:r>
              <w:rPr>
                <w:color w:val="auto"/>
              </w:rPr>
              <w:t>mg/m³</w:t>
            </w:r>
            <w:r>
              <w:rPr>
                <w:rFonts w:hint="eastAsia"/>
                <w:color w:val="auto"/>
                <w:lang w:val="en-US" w:eastAsia="zh-CN"/>
              </w:rPr>
              <w:t>，</w:t>
            </w:r>
            <w:r>
              <w:rPr>
                <w:rFonts w:hint="eastAsia" w:ascii="Times New Roman" w:hAnsi="Times New Roman" w:eastAsia="宋体" w:cs="Times New Roman"/>
                <w:color w:val="auto"/>
                <w:lang w:val="en-US" w:eastAsia="zh-CN"/>
              </w:rPr>
              <w:t>氨</w:t>
            </w:r>
            <w:r>
              <w:rPr>
                <w:rFonts w:hint="eastAsia"/>
                <w:color w:val="auto"/>
                <w:lang w:val="en-US" w:eastAsia="zh-CN"/>
              </w:rPr>
              <w:t>最大浓度为3.15</w:t>
            </w:r>
            <w:r>
              <w:rPr>
                <w:color w:val="auto"/>
              </w:rPr>
              <w:t>mg/m³</w:t>
            </w:r>
            <w:r>
              <w:rPr>
                <w:rFonts w:hint="eastAsia" w:cs="Times New Roman"/>
                <w:color w:val="auto"/>
                <w:lang w:val="en-US" w:eastAsia="zh-CN"/>
              </w:rPr>
              <w:t>，</w:t>
            </w:r>
            <w:r>
              <w:rPr>
                <w:rFonts w:hint="eastAsia"/>
                <w:color w:val="auto"/>
                <w:lang w:val="en-US" w:eastAsia="zh-CN"/>
              </w:rPr>
              <w:t>排气筒DA002颗粒物最大浓度为3.1</w:t>
            </w:r>
            <w:r>
              <w:rPr>
                <w:color w:val="auto"/>
              </w:rPr>
              <w:t>mg/m³</w:t>
            </w:r>
            <w:r>
              <w:rPr>
                <w:rFonts w:hint="eastAsia"/>
                <w:color w:val="auto"/>
                <w:lang w:eastAsia="zh-CN"/>
              </w:rPr>
              <w:t>，</w:t>
            </w:r>
            <w:r>
              <w:rPr>
                <w:rFonts w:hint="eastAsia"/>
                <w:color w:val="auto"/>
                <w:lang w:val="en-US" w:eastAsia="zh-CN"/>
              </w:rPr>
              <w:t>排气筒DA003颗粒物最大浓度为2.3</w:t>
            </w:r>
            <w:r>
              <w:rPr>
                <w:color w:val="auto"/>
              </w:rPr>
              <w:t>mg/m³</w:t>
            </w:r>
            <w:r>
              <w:rPr>
                <w:rFonts w:hint="eastAsia"/>
                <w:color w:val="auto"/>
                <w:lang w:eastAsia="zh-CN"/>
              </w:rPr>
              <w:t>，</w:t>
            </w:r>
            <w:r>
              <w:rPr>
                <w:rFonts w:hint="eastAsia"/>
                <w:color w:val="auto"/>
                <w:lang w:val="en-US" w:eastAsia="zh-CN"/>
              </w:rPr>
              <w:t>均</w:t>
            </w:r>
            <w:r>
              <w:rPr>
                <w:rFonts w:hint="eastAsia" w:ascii="Times New Roman" w:hAnsi="Times New Roman" w:eastAsia="宋体"/>
                <w:color w:val="auto"/>
                <w:highlight w:val="none"/>
                <w:lang w:val="en-US" w:eastAsia="zh-CN"/>
              </w:rPr>
              <w:t>满足</w:t>
            </w:r>
            <w:r>
              <w:rPr>
                <w:rFonts w:hint="eastAsia" w:eastAsia="宋体"/>
                <w:b w:val="0"/>
                <w:bCs/>
                <w:color w:val="auto"/>
              </w:rPr>
              <w:t>《</w:t>
            </w:r>
            <w:r>
              <w:rPr>
                <w:rFonts w:hint="default" w:eastAsia="宋体"/>
                <w:b w:val="0"/>
                <w:bCs/>
                <w:color w:val="auto"/>
              </w:rPr>
              <w:t>玻璃工业大气污染物排放标准</w:t>
            </w:r>
            <w:r>
              <w:rPr>
                <w:rFonts w:hint="eastAsia" w:eastAsia="宋体"/>
                <w:b w:val="0"/>
                <w:bCs/>
                <w:color w:val="auto"/>
                <w:lang w:eastAsia="zh-CN"/>
              </w:rPr>
              <w:t>》</w:t>
            </w:r>
            <w:r>
              <w:rPr>
                <w:rFonts w:hint="default" w:eastAsia="宋体"/>
                <w:b w:val="0"/>
                <w:bCs/>
                <w:color w:val="auto"/>
              </w:rPr>
              <w:t>（DB34/4295-2022）</w:t>
            </w:r>
            <w:r>
              <w:rPr>
                <w:color w:val="auto"/>
              </w:rPr>
              <w:t>中</w:t>
            </w:r>
            <w:r>
              <w:rPr>
                <w:rFonts w:hint="eastAsia"/>
                <w:color w:val="auto"/>
                <w:lang w:val="en-US" w:eastAsia="zh-CN"/>
              </w:rPr>
              <w:t>表1大气污染物排放</w:t>
            </w:r>
            <w:r>
              <w:rPr>
                <w:rFonts w:hint="eastAsia" w:ascii="Times New Roman" w:hAnsi="Times New Roman" w:eastAsia="宋体"/>
                <w:color w:val="auto"/>
                <w:lang w:val="en-US" w:eastAsia="zh-CN"/>
              </w:rPr>
              <w:t>限值</w:t>
            </w:r>
            <w:r>
              <w:rPr>
                <w:rFonts w:hint="eastAsia"/>
                <w:color w:val="auto"/>
                <w:lang w:eastAsia="zh-CN"/>
              </w:rPr>
              <w:t>；</w:t>
            </w:r>
            <w:r>
              <w:rPr>
                <w:rFonts w:hint="eastAsia"/>
                <w:color w:val="auto"/>
                <w:lang w:val="en-US" w:eastAsia="zh-CN"/>
              </w:rPr>
              <w:t>饮食业油烟最大浓度为1.046</w:t>
            </w:r>
            <w:r>
              <w:rPr>
                <w:color w:val="auto"/>
              </w:rPr>
              <w:t>mg/m³</w:t>
            </w:r>
            <w:r>
              <w:rPr>
                <w:rFonts w:hint="eastAsia"/>
                <w:color w:val="auto"/>
                <w:lang w:eastAsia="zh-CN"/>
              </w:rPr>
              <w:t>，</w:t>
            </w:r>
            <w:r>
              <w:rPr>
                <w:rFonts w:hint="eastAsia" w:ascii="Times New Roman" w:hAnsi="Times New Roman" w:eastAsia="宋体"/>
                <w:color w:val="auto"/>
                <w:highlight w:val="none"/>
                <w:lang w:val="en-US" w:eastAsia="zh-CN"/>
              </w:rPr>
              <w:t>满足</w:t>
            </w:r>
            <w:r>
              <w:rPr>
                <w:rFonts w:hint="eastAsia" w:ascii="Times New Roman" w:hAnsi="Times New Roman" w:eastAsia="宋体" w:cs="Times New Roman"/>
                <w:color w:val="auto"/>
                <w:lang w:val="en-US" w:eastAsia="zh-CN"/>
              </w:rPr>
              <w:t>《饮食业油烟排放标准》（GB18483-2001）小型标准要求</w:t>
            </w:r>
            <w:r>
              <w:rPr>
                <w:rFonts w:hint="eastAsia"/>
                <w:color w:val="auto"/>
                <w:lang w:eastAsia="zh-CN"/>
              </w:rPr>
              <w:t>。</w:t>
            </w:r>
          </w:p>
          <w:p w14:paraId="7B21725F">
            <w:pPr>
              <w:pStyle w:val="84"/>
              <w:rPr>
                <w:color w:val="auto"/>
                <w:lang w:val="en-US" w:eastAsia="zh-CN"/>
              </w:rPr>
            </w:pPr>
            <w:r>
              <w:rPr>
                <w:rFonts w:hint="eastAsia"/>
                <w:color w:val="auto"/>
                <w:lang w:val="en-US" w:eastAsia="zh-CN"/>
              </w:rPr>
              <w:t>（2）无组织废气</w:t>
            </w:r>
          </w:p>
          <w:p w14:paraId="2EAE5E08">
            <w:pPr>
              <w:adjustRightInd w:val="0"/>
              <w:snapToGrid w:val="0"/>
              <w:spacing w:line="360" w:lineRule="auto"/>
              <w:ind w:firstLine="420" w:firstLineChars="200"/>
              <w:rPr>
                <w:rFonts w:hint="eastAsia"/>
                <w:color w:val="auto"/>
                <w:lang w:val="en-US" w:eastAsia="zh-CN"/>
              </w:rPr>
            </w:pPr>
            <w:r>
              <w:rPr>
                <w:rFonts w:hint="eastAsia" w:ascii="Times New Roman" w:hAnsi="Times New Roman" w:eastAsia="宋体" w:cs="Times New Roman"/>
                <w:b w:val="0"/>
                <w:bCs/>
                <w:color w:val="auto"/>
                <w:kern w:val="2"/>
                <w:sz w:val="21"/>
                <w:szCs w:val="21"/>
                <w:lang w:val="en-US" w:eastAsia="zh-CN" w:bidi="ar-SA"/>
              </w:rPr>
              <w:t>现有工程主要排放的无组织废气主要为未收集的粉尘、氨储罐逸散废气，监测结果如下。监测结果表明，验收监测期间厂界无组织排放的颗粒物最大排放浓度0.328mg/m3，氨最大排放浓度0.06mg/m</w:t>
            </w:r>
            <w:r>
              <w:rPr>
                <w:rFonts w:hint="eastAsia" w:ascii="Times New Roman" w:hAnsi="Times New Roman" w:eastAsia="宋体" w:cs="Times New Roman"/>
                <w:b w:val="0"/>
                <w:bCs/>
                <w:color w:val="auto"/>
                <w:kern w:val="2"/>
                <w:sz w:val="21"/>
                <w:szCs w:val="21"/>
                <w:vertAlign w:val="superscript"/>
                <w:lang w:val="en-US" w:eastAsia="zh-CN" w:bidi="ar-SA"/>
              </w:rPr>
              <w:t>3</w:t>
            </w:r>
            <w:r>
              <w:rPr>
                <w:rFonts w:hint="eastAsia" w:ascii="Times New Roman" w:hAnsi="Times New Roman" w:eastAsia="宋体" w:cs="Times New Roman"/>
                <w:b w:val="0"/>
                <w:bCs/>
                <w:color w:val="auto"/>
                <w:kern w:val="2"/>
                <w:sz w:val="21"/>
                <w:szCs w:val="21"/>
                <w:lang w:val="en-US" w:eastAsia="zh-CN" w:bidi="ar-SA"/>
              </w:rPr>
              <w:t>满足《</w:t>
            </w:r>
            <w:r>
              <w:rPr>
                <w:rFonts w:hint="default" w:ascii="Times New Roman" w:hAnsi="Times New Roman" w:eastAsia="宋体" w:cs="Times New Roman"/>
                <w:b w:val="0"/>
                <w:bCs/>
                <w:color w:val="auto"/>
                <w:kern w:val="2"/>
                <w:sz w:val="21"/>
                <w:szCs w:val="21"/>
                <w:lang w:val="en-US" w:eastAsia="zh-CN" w:bidi="ar-SA"/>
              </w:rPr>
              <w:t>玻璃工业大气污染物排放标准</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（DB34/4295-2022）</w:t>
            </w:r>
            <w:r>
              <w:rPr>
                <w:rFonts w:hint="eastAsia" w:ascii="Times New Roman" w:hAnsi="Times New Roman" w:eastAsia="宋体" w:cs="Times New Roman"/>
                <w:b w:val="0"/>
                <w:bCs/>
                <w:color w:val="auto"/>
                <w:kern w:val="2"/>
                <w:sz w:val="21"/>
                <w:szCs w:val="21"/>
                <w:lang w:val="en-US" w:eastAsia="zh-CN" w:bidi="ar-SA"/>
              </w:rPr>
              <w:t>中表3大气污染物无组织排放限值。</w:t>
            </w:r>
          </w:p>
          <w:p w14:paraId="217EB35C">
            <w:pPr>
              <w:pStyle w:val="86"/>
              <w:rPr>
                <w:rFonts w:hint="eastAsia"/>
                <w:color w:val="auto"/>
              </w:rPr>
            </w:pPr>
            <w:r>
              <w:rPr>
                <w:rFonts w:hint="eastAsia"/>
                <w:color w:val="auto"/>
              </w:rPr>
              <w:t>表2-</w:t>
            </w:r>
            <w:r>
              <w:rPr>
                <w:color w:val="auto"/>
              </w:rPr>
              <w:t>1</w:t>
            </w:r>
            <w:r>
              <w:rPr>
                <w:rFonts w:hint="eastAsia"/>
                <w:color w:val="auto"/>
                <w:lang w:val="en-US" w:eastAsia="zh-CN"/>
              </w:rPr>
              <w:t>4</w:t>
            </w:r>
            <w:r>
              <w:rPr>
                <w:color w:val="auto"/>
              </w:rPr>
              <w:t xml:space="preserve">  </w:t>
            </w:r>
            <w:r>
              <w:rPr>
                <w:rFonts w:hint="eastAsia"/>
                <w:color w:val="auto"/>
              </w:rPr>
              <w:t>无组织废气监测结果及分析评价</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068"/>
              <w:gridCol w:w="1468"/>
              <w:gridCol w:w="1458"/>
              <w:gridCol w:w="1571"/>
              <w:gridCol w:w="1339"/>
            </w:tblGrid>
            <w:tr w14:paraId="72D8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noWrap w:val="0"/>
                  <w:vAlign w:val="center"/>
                </w:tcPr>
                <w:p w14:paraId="4FD9EED7">
                  <w:pPr>
                    <w:pStyle w:val="144"/>
                    <w:bidi w:val="0"/>
                    <w:rPr>
                      <w:rFonts w:hint="eastAsia"/>
                      <w:color w:val="auto"/>
                      <w:sz w:val="18"/>
                      <w:szCs w:val="18"/>
                      <w:lang w:val="en-US" w:eastAsia="zh-CN"/>
                    </w:rPr>
                  </w:pPr>
                  <w:r>
                    <w:rPr>
                      <w:rFonts w:hint="eastAsia"/>
                      <w:color w:val="auto"/>
                      <w:sz w:val="18"/>
                      <w:szCs w:val="18"/>
                      <w:lang w:val="en-US" w:eastAsia="zh-CN"/>
                    </w:rPr>
                    <w:t>采样日期</w:t>
                  </w:r>
                </w:p>
              </w:tc>
              <w:tc>
                <w:tcPr>
                  <w:tcW w:w="2517" w:type="pct"/>
                  <w:gridSpan w:val="3"/>
                  <w:noWrap w:val="0"/>
                  <w:vAlign w:val="center"/>
                </w:tcPr>
                <w:p w14:paraId="4C61B80A">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2024年05月30日</w:t>
                  </w:r>
                </w:p>
              </w:tc>
              <w:tc>
                <w:tcPr>
                  <w:tcW w:w="1834" w:type="pct"/>
                  <w:gridSpan w:val="2"/>
                  <w:noWrap w:val="0"/>
                  <w:vAlign w:val="center"/>
                </w:tcPr>
                <w:p w14:paraId="7426D34A">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2024年05月31日</w:t>
                  </w:r>
                </w:p>
              </w:tc>
            </w:tr>
            <w:tr w14:paraId="1FE9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restart"/>
                  <w:noWrap w:val="0"/>
                  <w:vAlign w:val="center"/>
                </w:tcPr>
                <w:p w14:paraId="23F1F9F0">
                  <w:pPr>
                    <w:pStyle w:val="144"/>
                    <w:bidi w:val="0"/>
                    <w:rPr>
                      <w:rFonts w:hint="eastAsia"/>
                      <w:color w:val="auto"/>
                      <w:sz w:val="18"/>
                      <w:szCs w:val="18"/>
                      <w:lang w:val="en-US" w:eastAsia="zh-CN"/>
                    </w:rPr>
                  </w:pPr>
                  <w:r>
                    <w:rPr>
                      <w:rFonts w:hint="eastAsia"/>
                      <w:color w:val="auto"/>
                      <w:sz w:val="18"/>
                      <w:szCs w:val="18"/>
                      <w:lang w:val="en-US" w:eastAsia="zh-CN"/>
                    </w:rPr>
                    <w:t>检测点位</w:t>
                  </w:r>
                </w:p>
              </w:tc>
              <w:tc>
                <w:tcPr>
                  <w:tcW w:w="673" w:type="pct"/>
                  <w:vMerge w:val="restart"/>
                  <w:noWrap w:val="0"/>
                  <w:vAlign w:val="center"/>
                </w:tcPr>
                <w:p w14:paraId="0B858583">
                  <w:pPr>
                    <w:pStyle w:val="144"/>
                    <w:bidi w:val="0"/>
                    <w:rPr>
                      <w:rFonts w:hint="eastAsia"/>
                      <w:color w:val="auto"/>
                      <w:sz w:val="18"/>
                      <w:szCs w:val="18"/>
                      <w:lang w:val="en-US" w:eastAsia="zh-CN"/>
                    </w:rPr>
                  </w:pPr>
                  <w:r>
                    <w:rPr>
                      <w:rFonts w:hint="eastAsia"/>
                      <w:color w:val="auto"/>
                      <w:sz w:val="18"/>
                      <w:szCs w:val="18"/>
                      <w:lang w:val="en-US" w:eastAsia="zh-CN"/>
                    </w:rPr>
                    <w:t>检测频次</w:t>
                  </w:r>
                </w:p>
              </w:tc>
              <w:tc>
                <w:tcPr>
                  <w:tcW w:w="1844" w:type="pct"/>
                  <w:gridSpan w:val="2"/>
                  <w:noWrap w:val="0"/>
                  <w:vAlign w:val="center"/>
                </w:tcPr>
                <w:p w14:paraId="73EC1105">
                  <w:pPr>
                    <w:pStyle w:val="144"/>
                    <w:bidi w:val="0"/>
                    <w:rPr>
                      <w:rFonts w:hint="eastAsia"/>
                      <w:color w:val="auto"/>
                      <w:sz w:val="18"/>
                      <w:szCs w:val="18"/>
                      <w:lang w:val="en-US" w:eastAsia="zh-CN"/>
                    </w:rPr>
                  </w:pPr>
                  <w:r>
                    <w:rPr>
                      <w:rFonts w:hint="eastAsia"/>
                      <w:color w:val="auto"/>
                      <w:sz w:val="18"/>
                      <w:szCs w:val="18"/>
                      <w:lang w:val="en-US" w:eastAsia="zh-CN"/>
                    </w:rPr>
                    <w:t>检测项目</w:t>
                  </w:r>
                </w:p>
              </w:tc>
              <w:tc>
                <w:tcPr>
                  <w:tcW w:w="1834" w:type="pct"/>
                  <w:gridSpan w:val="2"/>
                  <w:noWrap w:val="0"/>
                  <w:vAlign w:val="center"/>
                </w:tcPr>
                <w:p w14:paraId="300AE782">
                  <w:pPr>
                    <w:pStyle w:val="144"/>
                    <w:bidi w:val="0"/>
                    <w:rPr>
                      <w:rFonts w:hint="eastAsia"/>
                      <w:color w:val="auto"/>
                      <w:sz w:val="18"/>
                      <w:szCs w:val="18"/>
                      <w:lang w:val="en-US" w:eastAsia="zh-CN"/>
                    </w:rPr>
                  </w:pPr>
                  <w:r>
                    <w:rPr>
                      <w:rFonts w:hint="eastAsia"/>
                      <w:color w:val="auto"/>
                      <w:sz w:val="18"/>
                      <w:szCs w:val="18"/>
                      <w:lang w:val="en-US" w:eastAsia="zh-CN"/>
                    </w:rPr>
                    <w:t>检测项目</w:t>
                  </w:r>
                </w:p>
              </w:tc>
            </w:tr>
            <w:tr w14:paraId="7CF2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1DE2CA8A">
                  <w:pPr>
                    <w:pStyle w:val="144"/>
                    <w:bidi w:val="0"/>
                    <w:rPr>
                      <w:rFonts w:hint="eastAsia"/>
                      <w:color w:val="auto"/>
                      <w:sz w:val="18"/>
                      <w:szCs w:val="18"/>
                      <w:lang w:val="en-US" w:eastAsia="zh-CN"/>
                    </w:rPr>
                  </w:pPr>
                </w:p>
              </w:tc>
              <w:tc>
                <w:tcPr>
                  <w:tcW w:w="673" w:type="pct"/>
                  <w:vMerge w:val="continue"/>
                  <w:noWrap w:val="0"/>
                  <w:vAlign w:val="center"/>
                </w:tcPr>
                <w:p w14:paraId="3587984D">
                  <w:pPr>
                    <w:pStyle w:val="144"/>
                    <w:bidi w:val="0"/>
                    <w:rPr>
                      <w:rFonts w:hint="eastAsia"/>
                      <w:color w:val="auto"/>
                      <w:sz w:val="18"/>
                      <w:szCs w:val="18"/>
                      <w:lang w:val="en-US" w:eastAsia="zh-CN"/>
                    </w:rPr>
                  </w:pPr>
                </w:p>
              </w:tc>
              <w:tc>
                <w:tcPr>
                  <w:tcW w:w="925" w:type="pct"/>
                  <w:noWrap w:val="0"/>
                  <w:vAlign w:val="center"/>
                </w:tcPr>
                <w:p w14:paraId="0ADE4E11">
                  <w:pPr>
                    <w:pStyle w:val="144"/>
                    <w:bidi w:val="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TSP（mg/m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c>
                <w:tcPr>
                  <w:tcW w:w="919" w:type="pct"/>
                  <w:noWrap w:val="0"/>
                  <w:vAlign w:val="center"/>
                </w:tcPr>
                <w:p w14:paraId="6731DF3F">
                  <w:pPr>
                    <w:pStyle w:val="144"/>
                    <w:bidi w:val="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氨（mg/m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c>
                <w:tcPr>
                  <w:tcW w:w="990" w:type="pct"/>
                  <w:noWrap w:val="0"/>
                  <w:vAlign w:val="center"/>
                </w:tcPr>
                <w:p w14:paraId="36C09623">
                  <w:pPr>
                    <w:pStyle w:val="144"/>
                    <w:bidi w:val="0"/>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TSP（mg/m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c>
                <w:tcPr>
                  <w:tcW w:w="844" w:type="pct"/>
                  <w:noWrap w:val="0"/>
                  <w:vAlign w:val="center"/>
                </w:tcPr>
                <w:p w14:paraId="239CB761">
                  <w:pPr>
                    <w:pStyle w:val="144"/>
                    <w:bidi w:val="0"/>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氨（mg/m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r>
            <w:tr w14:paraId="0A0E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restart"/>
                  <w:noWrap w:val="0"/>
                  <w:vAlign w:val="center"/>
                </w:tcPr>
                <w:p w14:paraId="77CFC97F">
                  <w:pPr>
                    <w:pStyle w:val="144"/>
                    <w:bidi w:val="0"/>
                    <w:rPr>
                      <w:rFonts w:hint="eastAsia"/>
                      <w:color w:val="auto"/>
                      <w:sz w:val="18"/>
                      <w:szCs w:val="18"/>
                      <w:lang w:val="en-US" w:eastAsia="zh-CN"/>
                    </w:rPr>
                  </w:pPr>
                  <w:r>
                    <w:rPr>
                      <w:rFonts w:hint="eastAsia"/>
                      <w:color w:val="auto"/>
                      <w:sz w:val="18"/>
                      <w:szCs w:val="18"/>
                      <w:lang w:val="en-US" w:eastAsia="zh-CN"/>
                    </w:rPr>
                    <w:t>上风向1#</w:t>
                  </w:r>
                </w:p>
              </w:tc>
              <w:tc>
                <w:tcPr>
                  <w:tcW w:w="673" w:type="pct"/>
                  <w:noWrap w:val="0"/>
                  <w:vAlign w:val="center"/>
                </w:tcPr>
                <w:p w14:paraId="2AF8E49B">
                  <w:pPr>
                    <w:pStyle w:val="144"/>
                    <w:bidi w:val="0"/>
                    <w:rPr>
                      <w:rFonts w:hint="eastAsia"/>
                      <w:color w:val="auto"/>
                      <w:sz w:val="18"/>
                      <w:szCs w:val="18"/>
                      <w:lang w:val="en-US" w:eastAsia="zh-CN"/>
                    </w:rPr>
                  </w:pPr>
                  <w:r>
                    <w:rPr>
                      <w:rFonts w:hint="eastAsia"/>
                      <w:color w:val="auto"/>
                      <w:sz w:val="18"/>
                      <w:szCs w:val="18"/>
                      <w:lang w:val="en-US" w:eastAsia="zh-CN"/>
                    </w:rPr>
                    <w:t>第一次</w:t>
                  </w:r>
                </w:p>
              </w:tc>
              <w:tc>
                <w:tcPr>
                  <w:tcW w:w="925" w:type="pct"/>
                  <w:noWrap w:val="0"/>
                  <w:vAlign w:val="center"/>
                </w:tcPr>
                <w:p w14:paraId="76B53F74">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919" w:type="pct"/>
                  <w:noWrap w:val="0"/>
                  <w:vAlign w:val="center"/>
                </w:tcPr>
                <w:p w14:paraId="0FA7B8E8">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c>
                <w:tcPr>
                  <w:tcW w:w="990" w:type="pct"/>
                  <w:noWrap w:val="0"/>
                  <w:vAlign w:val="center"/>
                </w:tcPr>
                <w:p w14:paraId="6ACF25A8">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844" w:type="pct"/>
                  <w:noWrap w:val="0"/>
                  <w:vAlign w:val="center"/>
                </w:tcPr>
                <w:p w14:paraId="4A352B34">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0.01</w:t>
                  </w:r>
                </w:p>
              </w:tc>
            </w:tr>
            <w:tr w14:paraId="4A1B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606E2CDE">
                  <w:pPr>
                    <w:pStyle w:val="144"/>
                    <w:bidi w:val="0"/>
                    <w:rPr>
                      <w:rFonts w:hint="eastAsia"/>
                      <w:color w:val="auto"/>
                      <w:sz w:val="18"/>
                      <w:szCs w:val="18"/>
                      <w:lang w:val="en-US" w:eastAsia="zh-CN"/>
                    </w:rPr>
                  </w:pPr>
                </w:p>
              </w:tc>
              <w:tc>
                <w:tcPr>
                  <w:tcW w:w="673" w:type="pct"/>
                  <w:noWrap w:val="0"/>
                  <w:vAlign w:val="center"/>
                </w:tcPr>
                <w:p w14:paraId="6E5495AD">
                  <w:pPr>
                    <w:pStyle w:val="144"/>
                    <w:bidi w:val="0"/>
                    <w:rPr>
                      <w:rFonts w:hint="eastAsia"/>
                      <w:color w:val="auto"/>
                      <w:sz w:val="18"/>
                      <w:szCs w:val="18"/>
                      <w:lang w:val="en-US" w:eastAsia="zh-CN"/>
                    </w:rPr>
                  </w:pPr>
                  <w:r>
                    <w:rPr>
                      <w:rFonts w:hint="eastAsia"/>
                      <w:color w:val="auto"/>
                      <w:sz w:val="18"/>
                      <w:szCs w:val="18"/>
                      <w:lang w:val="en-US" w:eastAsia="zh-CN"/>
                    </w:rPr>
                    <w:t>第二次</w:t>
                  </w:r>
                </w:p>
              </w:tc>
              <w:tc>
                <w:tcPr>
                  <w:tcW w:w="925" w:type="pct"/>
                  <w:noWrap w:val="0"/>
                  <w:vAlign w:val="center"/>
                </w:tcPr>
                <w:p w14:paraId="37C81A8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919" w:type="pct"/>
                  <w:noWrap w:val="0"/>
                  <w:vAlign w:val="center"/>
                </w:tcPr>
                <w:p w14:paraId="03C7F749">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c>
                <w:tcPr>
                  <w:tcW w:w="990" w:type="pct"/>
                  <w:noWrap w:val="0"/>
                  <w:vAlign w:val="center"/>
                </w:tcPr>
                <w:p w14:paraId="5B73B3D5">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844" w:type="pct"/>
                  <w:noWrap w:val="0"/>
                  <w:vAlign w:val="center"/>
                </w:tcPr>
                <w:p w14:paraId="1B8BF7C9">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r>
            <w:tr w14:paraId="6719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09AC6983">
                  <w:pPr>
                    <w:pStyle w:val="144"/>
                    <w:bidi w:val="0"/>
                    <w:rPr>
                      <w:rFonts w:hint="eastAsia"/>
                      <w:color w:val="auto"/>
                      <w:sz w:val="18"/>
                      <w:szCs w:val="18"/>
                      <w:lang w:val="en-US" w:eastAsia="zh-CN"/>
                    </w:rPr>
                  </w:pPr>
                </w:p>
              </w:tc>
              <w:tc>
                <w:tcPr>
                  <w:tcW w:w="673" w:type="pct"/>
                  <w:noWrap w:val="0"/>
                  <w:vAlign w:val="center"/>
                </w:tcPr>
                <w:p w14:paraId="2E3F69C4">
                  <w:pPr>
                    <w:pStyle w:val="144"/>
                    <w:bidi w:val="0"/>
                    <w:rPr>
                      <w:rFonts w:hint="eastAsia"/>
                      <w:color w:val="auto"/>
                      <w:sz w:val="18"/>
                      <w:szCs w:val="18"/>
                      <w:lang w:val="en-US" w:eastAsia="zh-CN"/>
                    </w:rPr>
                  </w:pPr>
                  <w:r>
                    <w:rPr>
                      <w:rFonts w:hint="eastAsia"/>
                      <w:color w:val="auto"/>
                      <w:sz w:val="18"/>
                      <w:szCs w:val="18"/>
                      <w:lang w:val="en-US" w:eastAsia="zh-CN"/>
                    </w:rPr>
                    <w:t>第三次</w:t>
                  </w:r>
                </w:p>
              </w:tc>
              <w:tc>
                <w:tcPr>
                  <w:tcW w:w="925" w:type="pct"/>
                  <w:noWrap w:val="0"/>
                  <w:vAlign w:val="center"/>
                </w:tcPr>
                <w:p w14:paraId="1B4C3816">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919" w:type="pct"/>
                  <w:noWrap w:val="0"/>
                  <w:vAlign w:val="center"/>
                </w:tcPr>
                <w:p w14:paraId="6A1DC432">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c>
                <w:tcPr>
                  <w:tcW w:w="990" w:type="pct"/>
                  <w:noWrap w:val="0"/>
                  <w:vAlign w:val="center"/>
                </w:tcPr>
                <w:p w14:paraId="7BACD5F6">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0.168L</w:t>
                  </w:r>
                </w:p>
              </w:tc>
              <w:tc>
                <w:tcPr>
                  <w:tcW w:w="844" w:type="pct"/>
                  <w:noWrap w:val="0"/>
                  <w:vAlign w:val="center"/>
                </w:tcPr>
                <w:p w14:paraId="1206858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r>
            <w:tr w14:paraId="246C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restart"/>
                  <w:noWrap w:val="0"/>
                  <w:vAlign w:val="center"/>
                </w:tcPr>
                <w:p w14:paraId="416E6B58">
                  <w:pPr>
                    <w:pStyle w:val="144"/>
                    <w:bidi w:val="0"/>
                    <w:rPr>
                      <w:rFonts w:hint="eastAsia"/>
                      <w:color w:val="auto"/>
                      <w:sz w:val="18"/>
                      <w:szCs w:val="18"/>
                      <w:lang w:val="en-US" w:eastAsia="zh-CN"/>
                    </w:rPr>
                  </w:pPr>
                  <w:r>
                    <w:rPr>
                      <w:rFonts w:hint="eastAsia"/>
                      <w:color w:val="auto"/>
                      <w:sz w:val="18"/>
                      <w:szCs w:val="18"/>
                      <w:lang w:val="en-US" w:eastAsia="zh-CN"/>
                    </w:rPr>
                    <w:t>下风向2#</w:t>
                  </w:r>
                </w:p>
              </w:tc>
              <w:tc>
                <w:tcPr>
                  <w:tcW w:w="673" w:type="pct"/>
                  <w:noWrap w:val="0"/>
                  <w:vAlign w:val="center"/>
                </w:tcPr>
                <w:p w14:paraId="5F9CA7C7">
                  <w:pPr>
                    <w:pStyle w:val="144"/>
                    <w:bidi w:val="0"/>
                    <w:rPr>
                      <w:rFonts w:hint="eastAsia"/>
                      <w:color w:val="auto"/>
                      <w:sz w:val="18"/>
                      <w:szCs w:val="18"/>
                      <w:lang w:val="en-US" w:eastAsia="zh-CN"/>
                    </w:rPr>
                  </w:pPr>
                  <w:r>
                    <w:rPr>
                      <w:rFonts w:hint="eastAsia"/>
                      <w:color w:val="auto"/>
                      <w:sz w:val="18"/>
                      <w:szCs w:val="18"/>
                      <w:lang w:val="en-US" w:eastAsia="zh-CN"/>
                    </w:rPr>
                    <w:t>第一次</w:t>
                  </w:r>
                </w:p>
              </w:tc>
              <w:tc>
                <w:tcPr>
                  <w:tcW w:w="925" w:type="pct"/>
                  <w:noWrap w:val="0"/>
                  <w:vAlign w:val="center"/>
                </w:tcPr>
                <w:p w14:paraId="0AD04E1F">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0.284</w:t>
                  </w:r>
                </w:p>
              </w:tc>
              <w:tc>
                <w:tcPr>
                  <w:tcW w:w="919" w:type="pct"/>
                  <w:noWrap w:val="0"/>
                  <w:vAlign w:val="center"/>
                </w:tcPr>
                <w:p w14:paraId="1192DA08">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c>
                <w:tcPr>
                  <w:tcW w:w="990" w:type="pct"/>
                  <w:noWrap w:val="0"/>
                  <w:vAlign w:val="center"/>
                </w:tcPr>
                <w:p w14:paraId="645ED9E6">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0.328</w:t>
                  </w:r>
                </w:p>
              </w:tc>
              <w:tc>
                <w:tcPr>
                  <w:tcW w:w="844" w:type="pct"/>
                  <w:noWrap w:val="0"/>
                  <w:vAlign w:val="center"/>
                </w:tcPr>
                <w:p w14:paraId="30546F57">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0.03</w:t>
                  </w:r>
                </w:p>
              </w:tc>
            </w:tr>
            <w:tr w14:paraId="1F19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09BF7875">
                  <w:pPr>
                    <w:pStyle w:val="144"/>
                    <w:bidi w:val="0"/>
                    <w:rPr>
                      <w:rFonts w:hint="eastAsia"/>
                      <w:color w:val="auto"/>
                      <w:sz w:val="18"/>
                      <w:szCs w:val="18"/>
                      <w:lang w:val="en-US" w:eastAsia="zh-CN"/>
                    </w:rPr>
                  </w:pPr>
                </w:p>
              </w:tc>
              <w:tc>
                <w:tcPr>
                  <w:tcW w:w="673" w:type="pct"/>
                  <w:noWrap w:val="0"/>
                  <w:vAlign w:val="center"/>
                </w:tcPr>
                <w:p w14:paraId="6B0A3F69">
                  <w:pPr>
                    <w:pStyle w:val="144"/>
                    <w:bidi w:val="0"/>
                    <w:rPr>
                      <w:rFonts w:hint="eastAsia"/>
                      <w:color w:val="auto"/>
                      <w:sz w:val="18"/>
                      <w:szCs w:val="18"/>
                      <w:lang w:val="en-US" w:eastAsia="zh-CN"/>
                    </w:rPr>
                  </w:pPr>
                  <w:r>
                    <w:rPr>
                      <w:rFonts w:hint="eastAsia"/>
                      <w:color w:val="auto"/>
                      <w:sz w:val="18"/>
                      <w:szCs w:val="18"/>
                      <w:lang w:val="en-US" w:eastAsia="zh-CN"/>
                    </w:rPr>
                    <w:t>第二次</w:t>
                  </w:r>
                </w:p>
              </w:tc>
              <w:tc>
                <w:tcPr>
                  <w:tcW w:w="925" w:type="pct"/>
                  <w:noWrap w:val="0"/>
                  <w:vAlign w:val="center"/>
                </w:tcPr>
                <w:p w14:paraId="2570DC37">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0.292</w:t>
                  </w:r>
                </w:p>
              </w:tc>
              <w:tc>
                <w:tcPr>
                  <w:tcW w:w="919" w:type="pct"/>
                  <w:noWrap w:val="0"/>
                  <w:vAlign w:val="center"/>
                </w:tcPr>
                <w:p w14:paraId="2D439C0E">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0.03</w:t>
                  </w:r>
                </w:p>
              </w:tc>
              <w:tc>
                <w:tcPr>
                  <w:tcW w:w="990" w:type="pct"/>
                  <w:noWrap w:val="0"/>
                  <w:vAlign w:val="center"/>
                </w:tcPr>
                <w:p w14:paraId="630E67C4">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0.324</w:t>
                  </w:r>
                </w:p>
              </w:tc>
              <w:tc>
                <w:tcPr>
                  <w:tcW w:w="844" w:type="pct"/>
                  <w:noWrap w:val="0"/>
                  <w:vAlign w:val="center"/>
                </w:tcPr>
                <w:p w14:paraId="0C9F5D0B">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0.03</w:t>
                  </w:r>
                </w:p>
              </w:tc>
            </w:tr>
            <w:tr w14:paraId="425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7B8D8AFE">
                  <w:pPr>
                    <w:pStyle w:val="144"/>
                    <w:bidi w:val="0"/>
                    <w:rPr>
                      <w:rFonts w:hint="eastAsia"/>
                      <w:color w:val="auto"/>
                      <w:sz w:val="18"/>
                      <w:szCs w:val="18"/>
                      <w:lang w:val="en-US" w:eastAsia="zh-CN"/>
                    </w:rPr>
                  </w:pPr>
                </w:p>
              </w:tc>
              <w:tc>
                <w:tcPr>
                  <w:tcW w:w="673" w:type="pct"/>
                  <w:noWrap w:val="0"/>
                  <w:vAlign w:val="center"/>
                </w:tcPr>
                <w:p w14:paraId="15B1E213">
                  <w:pPr>
                    <w:pStyle w:val="144"/>
                    <w:bidi w:val="0"/>
                    <w:rPr>
                      <w:rFonts w:hint="eastAsia"/>
                      <w:color w:val="auto"/>
                      <w:sz w:val="18"/>
                      <w:szCs w:val="18"/>
                      <w:lang w:val="en-US" w:eastAsia="zh-CN"/>
                    </w:rPr>
                  </w:pPr>
                  <w:r>
                    <w:rPr>
                      <w:rFonts w:hint="eastAsia"/>
                      <w:color w:val="auto"/>
                      <w:sz w:val="18"/>
                      <w:szCs w:val="18"/>
                      <w:lang w:val="en-US" w:eastAsia="zh-CN"/>
                    </w:rPr>
                    <w:t>第三次</w:t>
                  </w:r>
                </w:p>
              </w:tc>
              <w:tc>
                <w:tcPr>
                  <w:tcW w:w="925" w:type="pct"/>
                  <w:noWrap w:val="0"/>
                  <w:vAlign w:val="center"/>
                </w:tcPr>
                <w:p w14:paraId="1224BF64">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0.278</w:t>
                  </w:r>
                </w:p>
              </w:tc>
              <w:tc>
                <w:tcPr>
                  <w:tcW w:w="919" w:type="pct"/>
                  <w:noWrap w:val="0"/>
                  <w:vAlign w:val="center"/>
                </w:tcPr>
                <w:p w14:paraId="677D9E51">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c>
                <w:tcPr>
                  <w:tcW w:w="990" w:type="pct"/>
                  <w:noWrap w:val="0"/>
                  <w:vAlign w:val="center"/>
                </w:tcPr>
                <w:p w14:paraId="627C6706">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0.323</w:t>
                  </w:r>
                </w:p>
              </w:tc>
              <w:tc>
                <w:tcPr>
                  <w:tcW w:w="844" w:type="pct"/>
                  <w:noWrap w:val="0"/>
                  <w:vAlign w:val="center"/>
                </w:tcPr>
                <w:p w14:paraId="69E2442E">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0.03</w:t>
                  </w:r>
                </w:p>
              </w:tc>
            </w:tr>
            <w:tr w14:paraId="5773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restart"/>
                  <w:noWrap w:val="0"/>
                  <w:vAlign w:val="center"/>
                </w:tcPr>
                <w:p w14:paraId="20BC6068">
                  <w:pPr>
                    <w:pStyle w:val="144"/>
                    <w:bidi w:val="0"/>
                    <w:rPr>
                      <w:rFonts w:hint="eastAsia"/>
                      <w:color w:val="auto"/>
                      <w:sz w:val="18"/>
                      <w:szCs w:val="18"/>
                      <w:lang w:val="en-US" w:eastAsia="zh-CN"/>
                    </w:rPr>
                  </w:pPr>
                  <w:r>
                    <w:rPr>
                      <w:rFonts w:hint="eastAsia"/>
                      <w:color w:val="auto"/>
                      <w:sz w:val="18"/>
                      <w:szCs w:val="18"/>
                      <w:lang w:val="en-US" w:eastAsia="zh-CN"/>
                    </w:rPr>
                    <w:t>下风向3#</w:t>
                  </w:r>
                </w:p>
              </w:tc>
              <w:tc>
                <w:tcPr>
                  <w:tcW w:w="673" w:type="pct"/>
                  <w:noWrap w:val="0"/>
                  <w:vAlign w:val="center"/>
                </w:tcPr>
                <w:p w14:paraId="5E8BB316">
                  <w:pPr>
                    <w:pStyle w:val="144"/>
                    <w:bidi w:val="0"/>
                    <w:rPr>
                      <w:rFonts w:hint="eastAsia"/>
                      <w:color w:val="auto"/>
                      <w:sz w:val="18"/>
                      <w:szCs w:val="18"/>
                      <w:lang w:val="en-US" w:eastAsia="zh-CN"/>
                    </w:rPr>
                  </w:pPr>
                  <w:r>
                    <w:rPr>
                      <w:rFonts w:hint="eastAsia"/>
                      <w:color w:val="auto"/>
                      <w:sz w:val="18"/>
                      <w:szCs w:val="18"/>
                      <w:lang w:val="en-US" w:eastAsia="zh-CN"/>
                    </w:rPr>
                    <w:t>第一次</w:t>
                  </w:r>
                </w:p>
              </w:tc>
              <w:tc>
                <w:tcPr>
                  <w:tcW w:w="925" w:type="pct"/>
                  <w:noWrap w:val="0"/>
                  <w:vAlign w:val="center"/>
                </w:tcPr>
                <w:p w14:paraId="065430F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0.293</w:t>
                  </w:r>
                </w:p>
              </w:tc>
              <w:tc>
                <w:tcPr>
                  <w:tcW w:w="919" w:type="pct"/>
                  <w:noWrap w:val="0"/>
                  <w:vAlign w:val="center"/>
                </w:tcPr>
                <w:p w14:paraId="73BFAE0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c>
                <w:tcPr>
                  <w:tcW w:w="990" w:type="pct"/>
                  <w:noWrap w:val="0"/>
                  <w:vAlign w:val="center"/>
                </w:tcPr>
                <w:p w14:paraId="246DE13B">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0.310</w:t>
                  </w:r>
                </w:p>
              </w:tc>
              <w:tc>
                <w:tcPr>
                  <w:tcW w:w="844" w:type="pct"/>
                  <w:noWrap w:val="0"/>
                  <w:vAlign w:val="center"/>
                </w:tcPr>
                <w:p w14:paraId="29A56293">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r>
            <w:tr w14:paraId="653A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74BF6521">
                  <w:pPr>
                    <w:pStyle w:val="144"/>
                    <w:bidi w:val="0"/>
                    <w:rPr>
                      <w:rFonts w:hint="eastAsia"/>
                      <w:color w:val="auto"/>
                      <w:sz w:val="18"/>
                      <w:szCs w:val="18"/>
                      <w:lang w:val="en-US" w:eastAsia="zh-CN"/>
                    </w:rPr>
                  </w:pPr>
                </w:p>
              </w:tc>
              <w:tc>
                <w:tcPr>
                  <w:tcW w:w="673" w:type="pct"/>
                  <w:noWrap w:val="0"/>
                  <w:vAlign w:val="center"/>
                </w:tcPr>
                <w:p w14:paraId="6F91293B">
                  <w:pPr>
                    <w:pStyle w:val="144"/>
                    <w:bidi w:val="0"/>
                    <w:rPr>
                      <w:rFonts w:hint="eastAsia"/>
                      <w:color w:val="auto"/>
                      <w:sz w:val="18"/>
                      <w:szCs w:val="18"/>
                      <w:lang w:val="en-US" w:eastAsia="zh-CN"/>
                    </w:rPr>
                  </w:pPr>
                  <w:r>
                    <w:rPr>
                      <w:rFonts w:hint="eastAsia"/>
                      <w:color w:val="auto"/>
                      <w:sz w:val="18"/>
                      <w:szCs w:val="18"/>
                      <w:lang w:val="en-US" w:eastAsia="zh-CN"/>
                    </w:rPr>
                    <w:t>第二次</w:t>
                  </w:r>
                </w:p>
              </w:tc>
              <w:tc>
                <w:tcPr>
                  <w:tcW w:w="925" w:type="pct"/>
                  <w:noWrap w:val="0"/>
                  <w:vAlign w:val="center"/>
                </w:tcPr>
                <w:p w14:paraId="466520E7">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0.287</w:t>
                  </w:r>
                </w:p>
              </w:tc>
              <w:tc>
                <w:tcPr>
                  <w:tcW w:w="919" w:type="pct"/>
                  <w:noWrap w:val="0"/>
                  <w:vAlign w:val="center"/>
                </w:tcPr>
                <w:p w14:paraId="0E1D28F3">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c>
                <w:tcPr>
                  <w:tcW w:w="990" w:type="pct"/>
                  <w:noWrap w:val="0"/>
                  <w:vAlign w:val="center"/>
                </w:tcPr>
                <w:p w14:paraId="2BBB5C7C">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0.299</w:t>
                  </w:r>
                </w:p>
              </w:tc>
              <w:tc>
                <w:tcPr>
                  <w:tcW w:w="844" w:type="pct"/>
                  <w:noWrap w:val="0"/>
                  <w:vAlign w:val="center"/>
                </w:tcPr>
                <w:p w14:paraId="5F1CFC1C">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r>
            <w:tr w14:paraId="214C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5BEA2C99">
                  <w:pPr>
                    <w:pStyle w:val="144"/>
                    <w:bidi w:val="0"/>
                    <w:rPr>
                      <w:rFonts w:hint="eastAsia"/>
                      <w:color w:val="auto"/>
                      <w:sz w:val="18"/>
                      <w:szCs w:val="18"/>
                      <w:lang w:val="en-US" w:eastAsia="zh-CN"/>
                    </w:rPr>
                  </w:pPr>
                </w:p>
              </w:tc>
              <w:tc>
                <w:tcPr>
                  <w:tcW w:w="673" w:type="pct"/>
                  <w:noWrap w:val="0"/>
                  <w:vAlign w:val="center"/>
                </w:tcPr>
                <w:p w14:paraId="15577A41">
                  <w:pPr>
                    <w:pStyle w:val="144"/>
                    <w:bidi w:val="0"/>
                    <w:rPr>
                      <w:rFonts w:hint="eastAsia"/>
                      <w:color w:val="auto"/>
                      <w:sz w:val="18"/>
                      <w:szCs w:val="18"/>
                      <w:lang w:val="en-US" w:eastAsia="zh-CN"/>
                    </w:rPr>
                  </w:pPr>
                  <w:r>
                    <w:rPr>
                      <w:rFonts w:hint="eastAsia"/>
                      <w:color w:val="auto"/>
                      <w:sz w:val="18"/>
                      <w:szCs w:val="18"/>
                      <w:lang w:val="en-US" w:eastAsia="zh-CN"/>
                    </w:rPr>
                    <w:t>第三次</w:t>
                  </w:r>
                </w:p>
              </w:tc>
              <w:tc>
                <w:tcPr>
                  <w:tcW w:w="925" w:type="pct"/>
                  <w:noWrap w:val="0"/>
                  <w:vAlign w:val="center"/>
                </w:tcPr>
                <w:p w14:paraId="4CC402C9">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0.300</w:t>
                  </w:r>
                </w:p>
              </w:tc>
              <w:tc>
                <w:tcPr>
                  <w:tcW w:w="919" w:type="pct"/>
                  <w:noWrap w:val="0"/>
                  <w:vAlign w:val="center"/>
                </w:tcPr>
                <w:p w14:paraId="087BA876">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c>
                <w:tcPr>
                  <w:tcW w:w="990" w:type="pct"/>
                  <w:noWrap w:val="0"/>
                  <w:vAlign w:val="center"/>
                </w:tcPr>
                <w:p w14:paraId="3BD5A8F9">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0.312</w:t>
                  </w:r>
                </w:p>
              </w:tc>
              <w:tc>
                <w:tcPr>
                  <w:tcW w:w="844" w:type="pct"/>
                  <w:noWrap w:val="0"/>
                  <w:vAlign w:val="center"/>
                </w:tcPr>
                <w:p w14:paraId="5C45CC7F">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r>
            <w:tr w14:paraId="41AB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restart"/>
                  <w:noWrap w:val="0"/>
                  <w:vAlign w:val="center"/>
                </w:tcPr>
                <w:p w14:paraId="4C7E9C3A">
                  <w:pPr>
                    <w:pStyle w:val="144"/>
                    <w:bidi w:val="0"/>
                    <w:rPr>
                      <w:rFonts w:hint="eastAsia"/>
                      <w:color w:val="auto"/>
                      <w:sz w:val="18"/>
                      <w:szCs w:val="18"/>
                      <w:lang w:val="en-US" w:eastAsia="zh-CN"/>
                    </w:rPr>
                  </w:pPr>
                  <w:r>
                    <w:rPr>
                      <w:rFonts w:hint="eastAsia"/>
                      <w:color w:val="auto"/>
                      <w:sz w:val="18"/>
                      <w:szCs w:val="18"/>
                      <w:lang w:val="en-US" w:eastAsia="zh-CN"/>
                    </w:rPr>
                    <w:t>下风向4#</w:t>
                  </w:r>
                </w:p>
              </w:tc>
              <w:tc>
                <w:tcPr>
                  <w:tcW w:w="673" w:type="pct"/>
                  <w:noWrap w:val="0"/>
                  <w:vAlign w:val="center"/>
                </w:tcPr>
                <w:p w14:paraId="189D6699">
                  <w:pPr>
                    <w:pStyle w:val="144"/>
                    <w:bidi w:val="0"/>
                    <w:rPr>
                      <w:rFonts w:hint="eastAsia"/>
                      <w:color w:val="auto"/>
                      <w:sz w:val="18"/>
                      <w:szCs w:val="18"/>
                      <w:lang w:val="en-US" w:eastAsia="zh-CN"/>
                    </w:rPr>
                  </w:pPr>
                  <w:r>
                    <w:rPr>
                      <w:rFonts w:hint="eastAsia"/>
                      <w:color w:val="auto"/>
                      <w:sz w:val="18"/>
                      <w:szCs w:val="18"/>
                      <w:lang w:val="en-US" w:eastAsia="zh-CN"/>
                    </w:rPr>
                    <w:t>第一次</w:t>
                  </w:r>
                </w:p>
              </w:tc>
              <w:tc>
                <w:tcPr>
                  <w:tcW w:w="925" w:type="pct"/>
                  <w:noWrap w:val="0"/>
                  <w:vAlign w:val="center"/>
                </w:tcPr>
                <w:p w14:paraId="09E7931F">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0.307</w:t>
                  </w:r>
                </w:p>
              </w:tc>
              <w:tc>
                <w:tcPr>
                  <w:tcW w:w="919" w:type="pct"/>
                  <w:noWrap w:val="0"/>
                  <w:vAlign w:val="center"/>
                </w:tcPr>
                <w:p w14:paraId="72D8DB20">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0.06</w:t>
                  </w:r>
                </w:p>
              </w:tc>
              <w:tc>
                <w:tcPr>
                  <w:tcW w:w="990" w:type="pct"/>
                  <w:noWrap w:val="0"/>
                  <w:vAlign w:val="center"/>
                </w:tcPr>
                <w:p w14:paraId="28167E56">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0.272</w:t>
                  </w:r>
                </w:p>
              </w:tc>
              <w:tc>
                <w:tcPr>
                  <w:tcW w:w="844" w:type="pct"/>
                  <w:noWrap w:val="0"/>
                  <w:vAlign w:val="center"/>
                </w:tcPr>
                <w:p w14:paraId="548D28D7">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r>
            <w:tr w14:paraId="6DF8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2E86820E">
                  <w:pPr>
                    <w:pStyle w:val="144"/>
                    <w:bidi w:val="0"/>
                    <w:rPr>
                      <w:rFonts w:hint="eastAsia"/>
                      <w:color w:val="auto"/>
                      <w:sz w:val="18"/>
                      <w:szCs w:val="18"/>
                      <w:lang w:val="en-US" w:eastAsia="zh-CN"/>
                    </w:rPr>
                  </w:pPr>
                </w:p>
              </w:tc>
              <w:tc>
                <w:tcPr>
                  <w:tcW w:w="673" w:type="pct"/>
                  <w:noWrap w:val="0"/>
                  <w:vAlign w:val="center"/>
                </w:tcPr>
                <w:p w14:paraId="545A82DE">
                  <w:pPr>
                    <w:pStyle w:val="144"/>
                    <w:bidi w:val="0"/>
                    <w:rPr>
                      <w:rFonts w:hint="eastAsia"/>
                      <w:color w:val="auto"/>
                      <w:sz w:val="18"/>
                      <w:szCs w:val="18"/>
                      <w:lang w:val="en-US" w:eastAsia="zh-CN"/>
                    </w:rPr>
                  </w:pPr>
                  <w:r>
                    <w:rPr>
                      <w:rFonts w:hint="eastAsia"/>
                      <w:color w:val="auto"/>
                      <w:sz w:val="18"/>
                      <w:szCs w:val="18"/>
                      <w:lang w:val="en-US" w:eastAsia="zh-CN"/>
                    </w:rPr>
                    <w:t>第二次</w:t>
                  </w:r>
                </w:p>
              </w:tc>
              <w:tc>
                <w:tcPr>
                  <w:tcW w:w="925" w:type="pct"/>
                  <w:noWrap w:val="0"/>
                  <w:vAlign w:val="center"/>
                </w:tcPr>
                <w:p w14:paraId="453F72EF">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0.303</w:t>
                  </w:r>
                </w:p>
              </w:tc>
              <w:tc>
                <w:tcPr>
                  <w:tcW w:w="919" w:type="pct"/>
                  <w:noWrap w:val="0"/>
                  <w:vAlign w:val="center"/>
                </w:tcPr>
                <w:p w14:paraId="71E4B94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c>
                <w:tcPr>
                  <w:tcW w:w="990" w:type="pct"/>
                  <w:noWrap w:val="0"/>
                  <w:vAlign w:val="center"/>
                </w:tcPr>
                <w:p w14:paraId="42333008">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0.288</w:t>
                  </w:r>
                </w:p>
              </w:tc>
              <w:tc>
                <w:tcPr>
                  <w:tcW w:w="844" w:type="pct"/>
                  <w:noWrap w:val="0"/>
                  <w:vAlign w:val="center"/>
                </w:tcPr>
                <w:p w14:paraId="6E5467BD">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r>
            <w:tr w14:paraId="6FD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pct"/>
                  <w:vMerge w:val="continue"/>
                  <w:noWrap w:val="0"/>
                  <w:vAlign w:val="center"/>
                </w:tcPr>
                <w:p w14:paraId="084568A7">
                  <w:pPr>
                    <w:pStyle w:val="144"/>
                    <w:bidi w:val="0"/>
                    <w:rPr>
                      <w:rFonts w:hint="eastAsia"/>
                      <w:color w:val="auto"/>
                      <w:sz w:val="18"/>
                      <w:szCs w:val="18"/>
                      <w:lang w:val="en-US" w:eastAsia="zh-CN"/>
                    </w:rPr>
                  </w:pPr>
                </w:p>
              </w:tc>
              <w:tc>
                <w:tcPr>
                  <w:tcW w:w="673" w:type="pct"/>
                  <w:noWrap w:val="0"/>
                  <w:vAlign w:val="center"/>
                </w:tcPr>
                <w:p w14:paraId="1FE7DCEA">
                  <w:pPr>
                    <w:pStyle w:val="144"/>
                    <w:bidi w:val="0"/>
                    <w:rPr>
                      <w:rFonts w:hint="eastAsia"/>
                      <w:color w:val="auto"/>
                      <w:sz w:val="18"/>
                      <w:szCs w:val="18"/>
                      <w:lang w:val="en-US" w:eastAsia="zh-CN"/>
                    </w:rPr>
                  </w:pPr>
                  <w:r>
                    <w:rPr>
                      <w:rFonts w:hint="eastAsia"/>
                      <w:color w:val="auto"/>
                      <w:sz w:val="18"/>
                      <w:szCs w:val="18"/>
                      <w:lang w:val="en-US" w:eastAsia="zh-CN"/>
                    </w:rPr>
                    <w:t>第三次</w:t>
                  </w:r>
                </w:p>
              </w:tc>
              <w:tc>
                <w:tcPr>
                  <w:tcW w:w="925" w:type="pct"/>
                  <w:noWrap w:val="0"/>
                  <w:vAlign w:val="center"/>
                </w:tcPr>
                <w:p w14:paraId="7E49CF27">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0.314</w:t>
                  </w:r>
                </w:p>
              </w:tc>
              <w:tc>
                <w:tcPr>
                  <w:tcW w:w="919" w:type="pct"/>
                  <w:noWrap w:val="0"/>
                  <w:vAlign w:val="center"/>
                </w:tcPr>
                <w:p w14:paraId="11087E07">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0.05</w:t>
                  </w:r>
                </w:p>
              </w:tc>
              <w:tc>
                <w:tcPr>
                  <w:tcW w:w="990" w:type="pct"/>
                  <w:noWrap w:val="0"/>
                  <w:vAlign w:val="center"/>
                </w:tcPr>
                <w:p w14:paraId="7C5B81BF">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0.297</w:t>
                  </w:r>
                </w:p>
              </w:tc>
              <w:tc>
                <w:tcPr>
                  <w:tcW w:w="844" w:type="pct"/>
                  <w:noWrap w:val="0"/>
                  <w:vAlign w:val="center"/>
                </w:tcPr>
                <w:p w14:paraId="1D560F5C">
                  <w:pPr>
                    <w:pStyle w:val="144"/>
                    <w:bidi w:val="0"/>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0.06</w:t>
                  </w:r>
                </w:p>
              </w:tc>
            </w:tr>
            <w:tr w14:paraId="3F8C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gridSpan w:val="2"/>
                  <w:noWrap w:val="0"/>
                  <w:vAlign w:val="center"/>
                </w:tcPr>
                <w:p w14:paraId="220FAD00">
                  <w:pPr>
                    <w:pStyle w:val="144"/>
                    <w:bidi w:val="0"/>
                    <w:rPr>
                      <w:rFonts w:hint="eastAsia"/>
                      <w:color w:val="auto"/>
                      <w:sz w:val="18"/>
                      <w:szCs w:val="18"/>
                      <w:lang w:val="en-US" w:eastAsia="zh-CN"/>
                    </w:rPr>
                  </w:pPr>
                  <w:r>
                    <w:rPr>
                      <w:rFonts w:hint="eastAsia"/>
                      <w:color w:val="auto"/>
                      <w:sz w:val="18"/>
                      <w:szCs w:val="18"/>
                      <w:lang w:val="en-US" w:eastAsia="zh-CN"/>
                    </w:rPr>
                    <w:t>最大排放浓度</w:t>
                  </w:r>
                </w:p>
              </w:tc>
              <w:tc>
                <w:tcPr>
                  <w:tcW w:w="925" w:type="pct"/>
                  <w:noWrap w:val="0"/>
                  <w:vAlign w:val="center"/>
                </w:tcPr>
                <w:p w14:paraId="22521F88">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314</w:t>
                  </w:r>
                </w:p>
              </w:tc>
              <w:tc>
                <w:tcPr>
                  <w:tcW w:w="919" w:type="pct"/>
                  <w:noWrap w:val="0"/>
                  <w:vAlign w:val="center"/>
                </w:tcPr>
                <w:p w14:paraId="545731A3">
                  <w:pPr>
                    <w:pStyle w:val="144"/>
                    <w:bidi w:val="0"/>
                    <w:rPr>
                      <w:rFonts w:hint="default" w:ascii="Times New Roman" w:hAnsi="Times New Roman" w:eastAsia="宋体"/>
                      <w:color w:val="auto"/>
                      <w:sz w:val="18"/>
                      <w:szCs w:val="18"/>
                      <w:lang w:val="en-US" w:eastAsia="zh-CN"/>
                    </w:rPr>
                  </w:pPr>
                  <w:r>
                    <w:rPr>
                      <w:rFonts w:hint="eastAsia"/>
                      <w:color w:val="auto"/>
                      <w:sz w:val="18"/>
                      <w:szCs w:val="18"/>
                      <w:lang w:val="en-US" w:eastAsia="zh-CN"/>
                    </w:rPr>
                    <w:t>0.06</w:t>
                  </w:r>
                </w:p>
              </w:tc>
              <w:tc>
                <w:tcPr>
                  <w:tcW w:w="990" w:type="pct"/>
                  <w:noWrap w:val="0"/>
                  <w:vAlign w:val="center"/>
                </w:tcPr>
                <w:p w14:paraId="544FBAEB">
                  <w:pPr>
                    <w:pStyle w:val="144"/>
                    <w:bidi w:val="0"/>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328</w:t>
                  </w:r>
                </w:p>
              </w:tc>
              <w:tc>
                <w:tcPr>
                  <w:tcW w:w="844" w:type="pct"/>
                  <w:noWrap w:val="0"/>
                  <w:vAlign w:val="center"/>
                </w:tcPr>
                <w:p w14:paraId="7444D4F8">
                  <w:pPr>
                    <w:pStyle w:val="144"/>
                    <w:bidi w:val="0"/>
                    <w:rPr>
                      <w:rFonts w:hint="default" w:ascii="Times New Roman" w:hAnsi="Times New Roman" w:eastAsia="宋体"/>
                      <w:color w:val="auto"/>
                      <w:sz w:val="18"/>
                      <w:szCs w:val="18"/>
                      <w:lang w:val="en-US" w:eastAsia="zh-CN"/>
                    </w:rPr>
                  </w:pPr>
                  <w:r>
                    <w:rPr>
                      <w:rFonts w:hint="eastAsia"/>
                      <w:color w:val="auto"/>
                      <w:sz w:val="18"/>
                      <w:szCs w:val="18"/>
                      <w:lang w:val="en-US" w:eastAsia="zh-CN"/>
                    </w:rPr>
                    <w:t>0.06</w:t>
                  </w:r>
                </w:p>
              </w:tc>
            </w:tr>
            <w:tr w14:paraId="4B3F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gridSpan w:val="2"/>
                  <w:noWrap w:val="0"/>
                  <w:vAlign w:val="center"/>
                </w:tcPr>
                <w:p w14:paraId="5CB4F961">
                  <w:pPr>
                    <w:pStyle w:val="144"/>
                    <w:bidi w:val="0"/>
                    <w:jc w:val="both"/>
                    <w:rPr>
                      <w:rFonts w:hint="eastAsia"/>
                      <w:color w:val="auto"/>
                      <w:sz w:val="18"/>
                      <w:szCs w:val="18"/>
                      <w:lang w:val="en-US" w:eastAsia="zh-CN"/>
                    </w:rPr>
                  </w:pPr>
                  <w:r>
                    <w:rPr>
                      <w:rFonts w:hint="eastAsia"/>
                      <w:color w:val="auto"/>
                      <w:sz w:val="18"/>
                      <w:szCs w:val="18"/>
                      <w:lang w:val="en-US" w:eastAsia="zh-CN"/>
                    </w:rPr>
                    <w:t>标准限值（mg/m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925" w:type="pct"/>
                  <w:noWrap w:val="0"/>
                  <w:vAlign w:val="center"/>
                </w:tcPr>
                <w:p w14:paraId="24193FB9">
                  <w:pPr>
                    <w:pStyle w:val="144"/>
                    <w:bidi w:val="0"/>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919" w:type="pct"/>
                  <w:noWrap w:val="0"/>
                  <w:vAlign w:val="center"/>
                </w:tcPr>
                <w:p w14:paraId="3319BF2F">
                  <w:pPr>
                    <w:pStyle w:val="144"/>
                    <w:bidi w:val="0"/>
                    <w:rPr>
                      <w:rFonts w:hint="eastAsia"/>
                      <w:color w:val="auto"/>
                      <w:sz w:val="18"/>
                      <w:szCs w:val="18"/>
                      <w:lang w:val="en-US" w:eastAsia="zh-CN"/>
                    </w:rPr>
                  </w:pPr>
                  <w:r>
                    <w:rPr>
                      <w:rFonts w:hint="eastAsia"/>
                      <w:color w:val="auto"/>
                      <w:sz w:val="18"/>
                      <w:szCs w:val="18"/>
                      <w:lang w:val="en-US" w:eastAsia="zh-CN"/>
                    </w:rPr>
                    <w:t>1.0</w:t>
                  </w:r>
                </w:p>
              </w:tc>
              <w:tc>
                <w:tcPr>
                  <w:tcW w:w="990" w:type="pct"/>
                  <w:noWrap w:val="0"/>
                  <w:vAlign w:val="center"/>
                </w:tcPr>
                <w:p w14:paraId="22818CAC">
                  <w:pPr>
                    <w:pStyle w:val="144"/>
                    <w:bidi w:val="0"/>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844" w:type="pct"/>
                  <w:noWrap w:val="0"/>
                  <w:vAlign w:val="center"/>
                </w:tcPr>
                <w:p w14:paraId="0D0389D2">
                  <w:pPr>
                    <w:pStyle w:val="144"/>
                    <w:bidi w:val="0"/>
                    <w:rPr>
                      <w:rFonts w:hint="eastAsia"/>
                      <w:color w:val="auto"/>
                      <w:sz w:val="18"/>
                      <w:szCs w:val="18"/>
                      <w:lang w:val="en-US" w:eastAsia="zh-CN"/>
                    </w:rPr>
                  </w:pPr>
                  <w:r>
                    <w:rPr>
                      <w:rFonts w:hint="eastAsia"/>
                      <w:color w:val="auto"/>
                      <w:sz w:val="18"/>
                      <w:szCs w:val="18"/>
                      <w:lang w:val="en-US" w:eastAsia="zh-CN"/>
                    </w:rPr>
                    <w:t>1.0</w:t>
                  </w:r>
                </w:p>
              </w:tc>
            </w:tr>
            <w:tr w14:paraId="4922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gridSpan w:val="2"/>
                  <w:noWrap w:val="0"/>
                  <w:vAlign w:val="center"/>
                </w:tcPr>
                <w:p w14:paraId="729584CA">
                  <w:pPr>
                    <w:pStyle w:val="144"/>
                    <w:bidi w:val="0"/>
                    <w:rPr>
                      <w:rFonts w:hint="eastAsia"/>
                      <w:color w:val="auto"/>
                      <w:sz w:val="18"/>
                      <w:szCs w:val="18"/>
                      <w:lang w:val="en-US" w:eastAsia="zh-CN"/>
                    </w:rPr>
                  </w:pPr>
                  <w:r>
                    <w:rPr>
                      <w:rFonts w:hint="eastAsia"/>
                      <w:color w:val="auto"/>
                      <w:sz w:val="18"/>
                      <w:szCs w:val="18"/>
                      <w:lang w:val="en-US" w:eastAsia="zh-CN"/>
                    </w:rPr>
                    <w:t>达标情况</w:t>
                  </w:r>
                </w:p>
              </w:tc>
              <w:tc>
                <w:tcPr>
                  <w:tcW w:w="925" w:type="pct"/>
                  <w:noWrap w:val="0"/>
                  <w:vAlign w:val="center"/>
                </w:tcPr>
                <w:p w14:paraId="268FBE00">
                  <w:pPr>
                    <w:pStyle w:val="144"/>
                    <w:bidi w:val="0"/>
                    <w:rPr>
                      <w:rFonts w:hint="eastAsia"/>
                      <w:color w:val="auto"/>
                      <w:sz w:val="18"/>
                      <w:szCs w:val="18"/>
                      <w:lang w:val="en-US" w:eastAsia="zh-CN"/>
                    </w:rPr>
                  </w:pPr>
                  <w:r>
                    <w:rPr>
                      <w:rFonts w:hint="eastAsia"/>
                      <w:color w:val="auto"/>
                      <w:sz w:val="18"/>
                      <w:szCs w:val="18"/>
                      <w:lang w:val="en-US" w:eastAsia="zh-CN"/>
                    </w:rPr>
                    <w:t>达标</w:t>
                  </w:r>
                </w:p>
              </w:tc>
              <w:tc>
                <w:tcPr>
                  <w:tcW w:w="919" w:type="pct"/>
                  <w:noWrap w:val="0"/>
                  <w:vAlign w:val="center"/>
                </w:tcPr>
                <w:p w14:paraId="3F8F3636">
                  <w:pPr>
                    <w:pStyle w:val="144"/>
                    <w:bidi w:val="0"/>
                    <w:rPr>
                      <w:rFonts w:hint="eastAsia"/>
                      <w:color w:val="auto"/>
                      <w:sz w:val="18"/>
                      <w:szCs w:val="18"/>
                      <w:lang w:val="en-US" w:eastAsia="zh-CN"/>
                    </w:rPr>
                  </w:pPr>
                  <w:r>
                    <w:rPr>
                      <w:rFonts w:hint="eastAsia"/>
                      <w:color w:val="auto"/>
                      <w:sz w:val="18"/>
                      <w:szCs w:val="18"/>
                      <w:lang w:val="en-US" w:eastAsia="zh-CN"/>
                    </w:rPr>
                    <w:t>达标</w:t>
                  </w:r>
                </w:p>
              </w:tc>
              <w:tc>
                <w:tcPr>
                  <w:tcW w:w="990" w:type="pct"/>
                  <w:noWrap w:val="0"/>
                  <w:vAlign w:val="center"/>
                </w:tcPr>
                <w:p w14:paraId="09BE8CF0">
                  <w:pPr>
                    <w:pStyle w:val="144"/>
                    <w:bidi w:val="0"/>
                    <w:rPr>
                      <w:rFonts w:hint="eastAsia"/>
                      <w:color w:val="auto"/>
                      <w:sz w:val="18"/>
                      <w:szCs w:val="18"/>
                      <w:lang w:val="en-US" w:eastAsia="zh-CN"/>
                    </w:rPr>
                  </w:pPr>
                  <w:r>
                    <w:rPr>
                      <w:rFonts w:hint="eastAsia"/>
                      <w:color w:val="auto"/>
                      <w:sz w:val="18"/>
                      <w:szCs w:val="18"/>
                      <w:lang w:val="en-US" w:eastAsia="zh-CN"/>
                    </w:rPr>
                    <w:t>达标</w:t>
                  </w:r>
                </w:p>
              </w:tc>
              <w:tc>
                <w:tcPr>
                  <w:tcW w:w="844" w:type="pct"/>
                  <w:noWrap w:val="0"/>
                  <w:vAlign w:val="center"/>
                </w:tcPr>
                <w:p w14:paraId="3109CB3A">
                  <w:pPr>
                    <w:pStyle w:val="144"/>
                    <w:bidi w:val="0"/>
                    <w:rPr>
                      <w:rFonts w:hint="eastAsia"/>
                      <w:color w:val="auto"/>
                      <w:sz w:val="18"/>
                      <w:szCs w:val="18"/>
                      <w:lang w:val="en-US" w:eastAsia="zh-CN"/>
                    </w:rPr>
                  </w:pPr>
                  <w:r>
                    <w:rPr>
                      <w:rFonts w:hint="eastAsia"/>
                      <w:color w:val="auto"/>
                      <w:sz w:val="18"/>
                      <w:szCs w:val="18"/>
                      <w:lang w:val="en-US" w:eastAsia="zh-CN"/>
                    </w:rPr>
                    <w:t>达标</w:t>
                  </w:r>
                </w:p>
              </w:tc>
            </w:tr>
            <w:tr w14:paraId="3571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5" w:type="pct"/>
                  <w:gridSpan w:val="4"/>
                  <w:noWrap w:val="0"/>
                  <w:vAlign w:val="center"/>
                </w:tcPr>
                <w:p w14:paraId="42C575C6">
                  <w:pPr>
                    <w:pStyle w:val="144"/>
                    <w:bidi w:val="0"/>
                    <w:jc w:val="both"/>
                    <w:rPr>
                      <w:rFonts w:hint="eastAsia"/>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注：L—表示该指标检测结果低于方法检出限。</w:t>
                  </w:r>
                </w:p>
              </w:tc>
              <w:tc>
                <w:tcPr>
                  <w:tcW w:w="990" w:type="pct"/>
                  <w:noWrap w:val="0"/>
                  <w:vAlign w:val="center"/>
                </w:tcPr>
                <w:p w14:paraId="218FF0D4">
                  <w:pPr>
                    <w:pStyle w:val="144"/>
                    <w:bidi w:val="0"/>
                    <w:jc w:val="both"/>
                    <w:rPr>
                      <w:rFonts w:hint="eastAsia" w:ascii="宋体" w:hAnsi="宋体" w:eastAsia="宋体" w:cs="宋体"/>
                      <w:i w:val="0"/>
                      <w:iCs w:val="0"/>
                      <w:color w:val="auto"/>
                      <w:kern w:val="0"/>
                      <w:sz w:val="18"/>
                      <w:szCs w:val="18"/>
                      <w:u w:val="none"/>
                      <w:lang w:val="en-US" w:eastAsia="zh-CN" w:bidi="ar"/>
                    </w:rPr>
                  </w:pPr>
                </w:p>
              </w:tc>
              <w:tc>
                <w:tcPr>
                  <w:tcW w:w="844" w:type="pct"/>
                  <w:noWrap w:val="0"/>
                  <w:vAlign w:val="center"/>
                </w:tcPr>
                <w:p w14:paraId="56CF3377">
                  <w:pPr>
                    <w:pStyle w:val="144"/>
                    <w:bidi w:val="0"/>
                    <w:jc w:val="both"/>
                    <w:rPr>
                      <w:rFonts w:hint="eastAsia" w:ascii="宋体" w:hAnsi="宋体" w:eastAsia="宋体" w:cs="宋体"/>
                      <w:i w:val="0"/>
                      <w:iCs w:val="0"/>
                      <w:color w:val="auto"/>
                      <w:kern w:val="0"/>
                      <w:sz w:val="18"/>
                      <w:szCs w:val="18"/>
                      <w:u w:val="none"/>
                      <w:lang w:val="en-US" w:eastAsia="zh-CN" w:bidi="ar"/>
                    </w:rPr>
                  </w:pPr>
                </w:p>
              </w:tc>
            </w:tr>
          </w:tbl>
          <w:p w14:paraId="1C5640B8">
            <w:pPr>
              <w:pStyle w:val="84"/>
              <w:rPr>
                <w:color w:val="auto"/>
                <w:lang w:val="en-US" w:eastAsia="zh-CN"/>
              </w:rPr>
            </w:pPr>
            <w:r>
              <w:rPr>
                <w:rFonts w:hint="eastAsia"/>
                <w:color w:val="auto"/>
                <w:lang w:val="en-US" w:eastAsia="zh-CN"/>
              </w:rPr>
              <w:t>（3）废水</w:t>
            </w:r>
          </w:p>
          <w:p w14:paraId="2804FFE3">
            <w:pPr>
              <w:pStyle w:val="84"/>
              <w:rPr>
                <w:color w:val="auto"/>
                <w:lang w:val="en-US" w:eastAsia="zh-CN"/>
              </w:rPr>
            </w:pPr>
            <w:r>
              <w:rPr>
                <w:rFonts w:hint="eastAsia"/>
                <w:color w:val="auto"/>
                <w:lang w:val="en-US" w:eastAsia="zh-CN"/>
              </w:rPr>
              <w:t>现有工程运营期用水主要成型冷却用水、生活用水，其中成型冷却用水循环使用，定期补充自然消耗部分，不外排。工程外排废水主要为生活废水（含食堂废水）。</w:t>
            </w:r>
            <w:r>
              <w:rPr>
                <w:color w:val="auto"/>
                <w:lang w:val="en-US" w:eastAsia="zh-CN"/>
              </w:rPr>
              <w:t>另外，仅对生产车间地面进行清理，不进行地面冲洗，无地面冲洗用水。</w:t>
            </w:r>
            <w:r>
              <w:rPr>
                <w:rFonts w:hint="eastAsia"/>
                <w:color w:val="auto"/>
                <w:lang w:val="en-US" w:eastAsia="zh-CN"/>
              </w:rPr>
              <w:t>食堂废水经隔油池预处理后同生活污水一并进入化粪池预处理后接管入进一步处理，尾水最终排入淮河。</w:t>
            </w:r>
          </w:p>
          <w:p w14:paraId="7E6C1B24">
            <w:pPr>
              <w:pStyle w:val="86"/>
              <w:rPr>
                <w:color w:val="auto"/>
              </w:rPr>
            </w:pPr>
            <w:r>
              <w:rPr>
                <w:rFonts w:hint="eastAsia"/>
                <w:color w:val="auto"/>
              </w:rPr>
              <w:t>表2-</w:t>
            </w:r>
            <w:r>
              <w:rPr>
                <w:color w:val="auto"/>
              </w:rPr>
              <w:t>1</w:t>
            </w:r>
            <w:r>
              <w:rPr>
                <w:rFonts w:hint="eastAsia"/>
                <w:color w:val="auto"/>
                <w:lang w:val="en-US" w:eastAsia="zh-CN"/>
              </w:rPr>
              <w:t xml:space="preserve">5 </w:t>
            </w:r>
            <w:r>
              <w:rPr>
                <w:rFonts w:hint="eastAsia"/>
                <w:color w:val="auto"/>
              </w:rPr>
              <w:t>废水监测结果一览表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996"/>
              <w:gridCol w:w="1110"/>
              <w:gridCol w:w="437"/>
              <w:gridCol w:w="652"/>
              <w:gridCol w:w="1101"/>
              <w:gridCol w:w="1035"/>
              <w:gridCol w:w="1041"/>
            </w:tblGrid>
            <w:tr w14:paraId="4A68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07D17686">
                  <w:pPr>
                    <w:pStyle w:val="135"/>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采样位置</w:t>
                  </w:r>
                </w:p>
              </w:tc>
              <w:tc>
                <w:tcPr>
                  <w:tcW w:w="2543" w:type="dxa"/>
                  <w:gridSpan w:val="3"/>
                  <w:noWrap w:val="0"/>
                  <w:vAlign w:val="center"/>
                </w:tcPr>
                <w:p w14:paraId="3671B7FD">
                  <w:pPr>
                    <w:pStyle w:val="135"/>
                    <w:jc w:val="center"/>
                    <w:rPr>
                      <w:rFonts w:ascii="Times New Roman" w:hAnsi="Times New Roman"/>
                      <w:color w:val="auto"/>
                      <w:kern w:val="2"/>
                      <w:sz w:val="18"/>
                      <w:szCs w:val="18"/>
                    </w:rPr>
                  </w:pPr>
                  <w:r>
                    <w:rPr>
                      <w:rFonts w:hint="eastAsia" w:ascii="Times New Roman" w:hAnsi="Times New Roman" w:eastAsia="宋体"/>
                      <w:color w:val="auto"/>
                      <w:kern w:val="2"/>
                      <w:sz w:val="18"/>
                      <w:szCs w:val="18"/>
                    </w:rPr>
                    <w:t>废水排口</w:t>
                  </w:r>
                </w:p>
              </w:tc>
              <w:tc>
                <w:tcPr>
                  <w:tcW w:w="1753" w:type="dxa"/>
                  <w:gridSpan w:val="2"/>
                  <w:noWrap w:val="0"/>
                  <w:vAlign w:val="center"/>
                </w:tcPr>
                <w:p w14:paraId="4B92E691">
                  <w:pPr>
                    <w:pStyle w:val="135"/>
                    <w:jc w:val="center"/>
                    <w:rPr>
                      <w:rFonts w:ascii="Times New Roman" w:hAnsi="Times New Roman"/>
                      <w:color w:val="auto"/>
                      <w:kern w:val="2"/>
                      <w:sz w:val="18"/>
                      <w:szCs w:val="18"/>
                    </w:rPr>
                  </w:pPr>
                  <w:r>
                    <w:rPr>
                      <w:rFonts w:hint="eastAsia" w:ascii="Times New Roman" w:hAnsi="Times New Roman" w:eastAsia="宋体"/>
                      <w:color w:val="auto"/>
                      <w:kern w:val="2"/>
                      <w:sz w:val="18"/>
                      <w:szCs w:val="18"/>
                    </w:rPr>
                    <w:t>完成日期</w:t>
                  </w:r>
                </w:p>
              </w:tc>
              <w:tc>
                <w:tcPr>
                  <w:tcW w:w="2076" w:type="dxa"/>
                  <w:gridSpan w:val="2"/>
                  <w:noWrap w:val="0"/>
                  <w:vAlign w:val="center"/>
                </w:tcPr>
                <w:p w14:paraId="27E9FF74">
                  <w:pPr>
                    <w:pStyle w:val="135"/>
                    <w:jc w:val="center"/>
                    <w:rPr>
                      <w:rFonts w:ascii="Times New Roman" w:hAnsi="Times New Roman"/>
                      <w:color w:val="auto"/>
                      <w:kern w:val="2"/>
                      <w:sz w:val="18"/>
                      <w:szCs w:val="18"/>
                    </w:rPr>
                  </w:pPr>
                  <w:r>
                    <w:rPr>
                      <w:rFonts w:ascii="Times New Roman" w:hAnsi="Times New Roman"/>
                      <w:color w:val="auto"/>
                      <w:kern w:val="2"/>
                      <w:sz w:val="18"/>
                      <w:szCs w:val="18"/>
                    </w:rPr>
                    <w:t>202</w:t>
                  </w:r>
                  <w:r>
                    <w:rPr>
                      <w:rFonts w:hint="eastAsia" w:ascii="Times New Roman" w:hAnsi="Times New Roman" w:eastAsia="宋体"/>
                      <w:color w:val="auto"/>
                      <w:kern w:val="2"/>
                      <w:sz w:val="18"/>
                      <w:szCs w:val="18"/>
                      <w:lang w:val="en-US" w:eastAsia="zh-CN"/>
                    </w:rPr>
                    <w:t>4</w:t>
                  </w:r>
                  <w:r>
                    <w:rPr>
                      <w:rFonts w:ascii="Times New Roman" w:hAnsi="Times New Roman"/>
                      <w:color w:val="auto"/>
                      <w:kern w:val="2"/>
                      <w:sz w:val="18"/>
                      <w:szCs w:val="18"/>
                    </w:rPr>
                    <w:t>-0</w:t>
                  </w:r>
                  <w:r>
                    <w:rPr>
                      <w:rFonts w:hint="eastAsia" w:ascii="Times New Roman" w:hAnsi="Times New Roman" w:eastAsia="宋体"/>
                      <w:color w:val="auto"/>
                      <w:kern w:val="2"/>
                      <w:sz w:val="18"/>
                      <w:szCs w:val="18"/>
                      <w:lang w:val="en-US" w:eastAsia="zh-CN"/>
                    </w:rPr>
                    <w:t>5</w:t>
                  </w:r>
                  <w:r>
                    <w:rPr>
                      <w:rFonts w:ascii="Times New Roman" w:hAnsi="Times New Roman"/>
                      <w:color w:val="auto"/>
                      <w:kern w:val="2"/>
                      <w:sz w:val="18"/>
                      <w:szCs w:val="18"/>
                    </w:rPr>
                    <w:t>-</w:t>
                  </w:r>
                  <w:r>
                    <w:rPr>
                      <w:rFonts w:hint="eastAsia" w:ascii="Times New Roman" w:hAnsi="Times New Roman" w:eastAsia="宋体"/>
                      <w:color w:val="auto"/>
                      <w:kern w:val="2"/>
                      <w:sz w:val="18"/>
                      <w:szCs w:val="18"/>
                      <w:lang w:val="en-US" w:eastAsia="zh-CN"/>
                    </w:rPr>
                    <w:t>30</w:t>
                  </w:r>
                  <w:r>
                    <w:rPr>
                      <w:rFonts w:ascii="Times New Roman" w:hAnsi="Times New Roman"/>
                      <w:color w:val="auto"/>
                      <w:kern w:val="2"/>
                      <w:sz w:val="18"/>
                      <w:szCs w:val="18"/>
                    </w:rPr>
                    <w:t>~0</w:t>
                  </w:r>
                  <w:r>
                    <w:rPr>
                      <w:rFonts w:hint="eastAsia" w:ascii="Times New Roman" w:hAnsi="Times New Roman" w:eastAsia="宋体"/>
                      <w:color w:val="auto"/>
                      <w:kern w:val="2"/>
                      <w:sz w:val="18"/>
                      <w:szCs w:val="18"/>
                      <w:lang w:val="en-US" w:eastAsia="zh-CN"/>
                    </w:rPr>
                    <w:t>5</w:t>
                  </w:r>
                  <w:r>
                    <w:rPr>
                      <w:rFonts w:ascii="Times New Roman" w:hAnsi="Times New Roman"/>
                      <w:color w:val="auto"/>
                      <w:kern w:val="2"/>
                      <w:sz w:val="18"/>
                      <w:szCs w:val="18"/>
                    </w:rPr>
                    <w:t>-31</w:t>
                  </w:r>
                </w:p>
              </w:tc>
            </w:tr>
            <w:tr w14:paraId="689D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vMerge w:val="restart"/>
                  <w:noWrap w:val="0"/>
                  <w:vAlign w:val="center"/>
                </w:tcPr>
                <w:p w14:paraId="6007124D">
                  <w:pPr>
                    <w:pStyle w:val="135"/>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检测项目</w:t>
                  </w:r>
                </w:p>
              </w:tc>
              <w:tc>
                <w:tcPr>
                  <w:tcW w:w="6372" w:type="dxa"/>
                  <w:gridSpan w:val="7"/>
                  <w:noWrap w:val="0"/>
                  <w:vAlign w:val="center"/>
                </w:tcPr>
                <w:p w14:paraId="1D690F34">
                  <w:pPr>
                    <w:pStyle w:val="135"/>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采样日期、时间及结果</w:t>
                  </w:r>
                </w:p>
              </w:tc>
            </w:tr>
            <w:tr w14:paraId="6F20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vMerge w:val="continue"/>
                  <w:noWrap w:val="0"/>
                  <w:vAlign w:val="center"/>
                </w:tcPr>
                <w:p w14:paraId="68D24911">
                  <w:pPr>
                    <w:pStyle w:val="135"/>
                    <w:jc w:val="center"/>
                    <w:rPr>
                      <w:rFonts w:ascii="Times New Roman" w:hAnsi="Times New Roman"/>
                      <w:color w:val="auto"/>
                      <w:kern w:val="2"/>
                      <w:sz w:val="18"/>
                      <w:szCs w:val="18"/>
                    </w:rPr>
                  </w:pPr>
                </w:p>
              </w:tc>
              <w:tc>
                <w:tcPr>
                  <w:tcW w:w="3195" w:type="dxa"/>
                  <w:gridSpan w:val="4"/>
                  <w:noWrap w:val="0"/>
                  <w:vAlign w:val="center"/>
                </w:tcPr>
                <w:p w14:paraId="21446303">
                  <w:pPr>
                    <w:pStyle w:val="134"/>
                    <w:jc w:val="center"/>
                    <w:rPr>
                      <w:color w:val="auto"/>
                      <w:sz w:val="18"/>
                      <w:szCs w:val="18"/>
                    </w:rPr>
                  </w:pPr>
                  <w:r>
                    <w:rPr>
                      <w:rFonts w:ascii="Times New Roman" w:hAnsi="Times New Roman"/>
                      <w:color w:val="auto"/>
                      <w:kern w:val="2"/>
                      <w:sz w:val="18"/>
                      <w:szCs w:val="18"/>
                    </w:rPr>
                    <w:t>202</w:t>
                  </w:r>
                  <w:r>
                    <w:rPr>
                      <w:rFonts w:hint="eastAsia" w:ascii="Times New Roman" w:hAnsi="Times New Roman" w:eastAsia="宋体"/>
                      <w:color w:val="auto"/>
                      <w:kern w:val="2"/>
                      <w:sz w:val="18"/>
                      <w:szCs w:val="18"/>
                      <w:lang w:val="en-US" w:eastAsia="zh-CN"/>
                    </w:rPr>
                    <w:t>4</w:t>
                  </w:r>
                  <w:r>
                    <w:rPr>
                      <w:rFonts w:ascii="Times New Roman" w:hAnsi="Times New Roman"/>
                      <w:color w:val="auto"/>
                      <w:kern w:val="2"/>
                      <w:sz w:val="18"/>
                      <w:szCs w:val="18"/>
                    </w:rPr>
                    <w:t>-0</w:t>
                  </w:r>
                  <w:r>
                    <w:rPr>
                      <w:rFonts w:hint="eastAsia" w:ascii="Times New Roman" w:hAnsi="Times New Roman" w:eastAsia="宋体"/>
                      <w:color w:val="auto"/>
                      <w:kern w:val="2"/>
                      <w:sz w:val="18"/>
                      <w:szCs w:val="18"/>
                      <w:lang w:val="en-US" w:eastAsia="zh-CN"/>
                    </w:rPr>
                    <w:t>5</w:t>
                  </w:r>
                  <w:r>
                    <w:rPr>
                      <w:rFonts w:ascii="Times New Roman" w:hAnsi="Times New Roman"/>
                      <w:color w:val="auto"/>
                      <w:kern w:val="2"/>
                      <w:sz w:val="18"/>
                      <w:szCs w:val="18"/>
                    </w:rPr>
                    <w:t>-</w:t>
                  </w:r>
                  <w:r>
                    <w:rPr>
                      <w:rFonts w:hint="eastAsia" w:ascii="Times New Roman" w:hAnsi="Times New Roman" w:eastAsia="宋体"/>
                      <w:color w:val="auto"/>
                      <w:kern w:val="2"/>
                      <w:sz w:val="18"/>
                      <w:szCs w:val="18"/>
                      <w:lang w:val="en-US" w:eastAsia="zh-CN"/>
                    </w:rPr>
                    <w:t>30</w:t>
                  </w:r>
                </w:p>
              </w:tc>
              <w:tc>
                <w:tcPr>
                  <w:tcW w:w="3177" w:type="dxa"/>
                  <w:gridSpan w:val="3"/>
                  <w:noWrap w:val="0"/>
                  <w:vAlign w:val="center"/>
                </w:tcPr>
                <w:p w14:paraId="742E9A05">
                  <w:pPr>
                    <w:pStyle w:val="134"/>
                    <w:jc w:val="center"/>
                    <w:rPr>
                      <w:rFonts w:hint="default" w:eastAsia="宋体"/>
                      <w:color w:val="auto"/>
                      <w:sz w:val="18"/>
                      <w:szCs w:val="18"/>
                      <w:lang w:val="en-US" w:eastAsia="zh-CN"/>
                    </w:rPr>
                  </w:pPr>
                  <w:r>
                    <w:rPr>
                      <w:color w:val="auto"/>
                      <w:sz w:val="18"/>
                      <w:szCs w:val="18"/>
                    </w:rPr>
                    <w:t>202</w:t>
                  </w:r>
                  <w:r>
                    <w:rPr>
                      <w:rFonts w:hint="eastAsia"/>
                      <w:color w:val="auto"/>
                      <w:sz w:val="18"/>
                      <w:szCs w:val="18"/>
                      <w:lang w:val="en-US" w:eastAsia="zh-CN"/>
                    </w:rPr>
                    <w:t>4</w:t>
                  </w:r>
                  <w:r>
                    <w:rPr>
                      <w:color w:val="auto"/>
                      <w:sz w:val="18"/>
                      <w:szCs w:val="18"/>
                    </w:rPr>
                    <w:t>-0</w:t>
                  </w:r>
                  <w:r>
                    <w:rPr>
                      <w:rFonts w:hint="eastAsia"/>
                      <w:color w:val="auto"/>
                      <w:sz w:val="18"/>
                      <w:szCs w:val="18"/>
                      <w:lang w:val="en-US" w:eastAsia="zh-CN"/>
                    </w:rPr>
                    <w:t>5</w:t>
                  </w:r>
                  <w:r>
                    <w:rPr>
                      <w:color w:val="auto"/>
                      <w:sz w:val="18"/>
                      <w:szCs w:val="18"/>
                    </w:rPr>
                    <w:t>-</w:t>
                  </w:r>
                  <w:r>
                    <w:rPr>
                      <w:rFonts w:hint="eastAsia"/>
                      <w:color w:val="auto"/>
                      <w:sz w:val="18"/>
                      <w:szCs w:val="18"/>
                      <w:lang w:val="en-US" w:eastAsia="zh-CN"/>
                    </w:rPr>
                    <w:t>31</w:t>
                  </w:r>
                </w:p>
              </w:tc>
            </w:tr>
            <w:tr w14:paraId="6081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vMerge w:val="continue"/>
                  <w:noWrap w:val="0"/>
                  <w:vAlign w:val="center"/>
                </w:tcPr>
                <w:p w14:paraId="561C84E1">
                  <w:pPr>
                    <w:pStyle w:val="135"/>
                    <w:jc w:val="center"/>
                    <w:rPr>
                      <w:rFonts w:ascii="Times New Roman" w:hAnsi="Times New Roman"/>
                      <w:color w:val="auto"/>
                      <w:kern w:val="2"/>
                      <w:sz w:val="18"/>
                      <w:szCs w:val="18"/>
                    </w:rPr>
                  </w:pPr>
                </w:p>
              </w:tc>
              <w:tc>
                <w:tcPr>
                  <w:tcW w:w="996" w:type="dxa"/>
                  <w:noWrap w:val="0"/>
                  <w:vAlign w:val="center"/>
                </w:tcPr>
                <w:p w14:paraId="332D562E">
                  <w:pPr>
                    <w:pStyle w:val="134"/>
                    <w:jc w:val="center"/>
                    <w:rPr>
                      <w:rFonts w:hint="eastAsia" w:eastAsia="宋体"/>
                      <w:color w:val="auto"/>
                      <w:sz w:val="18"/>
                      <w:szCs w:val="18"/>
                      <w:lang w:eastAsia="zh-CN"/>
                    </w:rPr>
                  </w:pPr>
                  <w:r>
                    <w:rPr>
                      <w:rFonts w:hint="eastAsia"/>
                      <w:color w:val="auto"/>
                      <w:sz w:val="18"/>
                      <w:szCs w:val="18"/>
                      <w:lang w:val="en-US" w:eastAsia="zh-CN"/>
                    </w:rPr>
                    <w:t>第一次</w:t>
                  </w:r>
                </w:p>
              </w:tc>
              <w:tc>
                <w:tcPr>
                  <w:tcW w:w="1110" w:type="dxa"/>
                  <w:noWrap w:val="0"/>
                  <w:vAlign w:val="center"/>
                </w:tcPr>
                <w:p w14:paraId="36007717">
                  <w:pPr>
                    <w:pStyle w:val="134"/>
                    <w:jc w:val="center"/>
                    <w:rPr>
                      <w:rFonts w:hint="eastAsia" w:eastAsia="宋体"/>
                      <w:color w:val="auto"/>
                      <w:sz w:val="18"/>
                      <w:szCs w:val="18"/>
                      <w:lang w:eastAsia="zh-CN"/>
                    </w:rPr>
                  </w:pPr>
                  <w:r>
                    <w:rPr>
                      <w:rFonts w:hint="eastAsia"/>
                      <w:color w:val="auto"/>
                      <w:sz w:val="18"/>
                      <w:szCs w:val="18"/>
                      <w:lang w:val="en-US" w:eastAsia="zh-CN"/>
                    </w:rPr>
                    <w:t>第二次</w:t>
                  </w:r>
                </w:p>
              </w:tc>
              <w:tc>
                <w:tcPr>
                  <w:tcW w:w="1089" w:type="dxa"/>
                  <w:gridSpan w:val="2"/>
                  <w:noWrap w:val="0"/>
                  <w:vAlign w:val="center"/>
                </w:tcPr>
                <w:p w14:paraId="2ABD2F43">
                  <w:pPr>
                    <w:pStyle w:val="134"/>
                    <w:jc w:val="center"/>
                    <w:rPr>
                      <w:rFonts w:hint="eastAsia" w:eastAsia="宋体"/>
                      <w:color w:val="auto"/>
                      <w:sz w:val="18"/>
                      <w:szCs w:val="18"/>
                      <w:lang w:eastAsia="zh-CN"/>
                    </w:rPr>
                  </w:pPr>
                  <w:r>
                    <w:rPr>
                      <w:rFonts w:hint="eastAsia"/>
                      <w:color w:val="auto"/>
                      <w:sz w:val="18"/>
                      <w:szCs w:val="18"/>
                      <w:lang w:val="en-US" w:eastAsia="zh-CN"/>
                    </w:rPr>
                    <w:t>第三次</w:t>
                  </w:r>
                </w:p>
              </w:tc>
              <w:tc>
                <w:tcPr>
                  <w:tcW w:w="1101" w:type="dxa"/>
                  <w:noWrap w:val="0"/>
                  <w:vAlign w:val="center"/>
                </w:tcPr>
                <w:p w14:paraId="13A7B86B">
                  <w:pPr>
                    <w:pStyle w:val="134"/>
                    <w:jc w:val="center"/>
                    <w:rPr>
                      <w:color w:val="auto"/>
                      <w:sz w:val="18"/>
                      <w:szCs w:val="18"/>
                    </w:rPr>
                  </w:pPr>
                  <w:r>
                    <w:rPr>
                      <w:rFonts w:hint="eastAsia"/>
                      <w:color w:val="auto"/>
                      <w:sz w:val="18"/>
                      <w:szCs w:val="18"/>
                      <w:lang w:val="en-US" w:eastAsia="zh-CN"/>
                    </w:rPr>
                    <w:t>第一次</w:t>
                  </w:r>
                </w:p>
              </w:tc>
              <w:tc>
                <w:tcPr>
                  <w:tcW w:w="1035" w:type="dxa"/>
                  <w:noWrap w:val="0"/>
                  <w:vAlign w:val="center"/>
                </w:tcPr>
                <w:p w14:paraId="59119469">
                  <w:pPr>
                    <w:pStyle w:val="134"/>
                    <w:jc w:val="center"/>
                    <w:rPr>
                      <w:color w:val="auto"/>
                      <w:sz w:val="18"/>
                      <w:szCs w:val="18"/>
                    </w:rPr>
                  </w:pPr>
                  <w:r>
                    <w:rPr>
                      <w:rFonts w:hint="eastAsia"/>
                      <w:color w:val="auto"/>
                      <w:sz w:val="18"/>
                      <w:szCs w:val="18"/>
                      <w:lang w:val="en-US" w:eastAsia="zh-CN"/>
                    </w:rPr>
                    <w:t>第二次</w:t>
                  </w:r>
                </w:p>
              </w:tc>
              <w:tc>
                <w:tcPr>
                  <w:tcW w:w="1041" w:type="dxa"/>
                  <w:noWrap w:val="0"/>
                  <w:vAlign w:val="center"/>
                </w:tcPr>
                <w:p w14:paraId="342ACCC2">
                  <w:pPr>
                    <w:pStyle w:val="134"/>
                    <w:jc w:val="center"/>
                    <w:rPr>
                      <w:color w:val="auto"/>
                      <w:sz w:val="18"/>
                      <w:szCs w:val="18"/>
                    </w:rPr>
                  </w:pPr>
                  <w:r>
                    <w:rPr>
                      <w:rFonts w:hint="eastAsia"/>
                      <w:color w:val="auto"/>
                      <w:sz w:val="18"/>
                      <w:szCs w:val="18"/>
                      <w:lang w:val="en-US" w:eastAsia="zh-CN"/>
                    </w:rPr>
                    <w:t>第三次</w:t>
                  </w:r>
                </w:p>
              </w:tc>
            </w:tr>
            <w:tr w14:paraId="32E1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338FB21B">
                  <w:pPr>
                    <w:pStyle w:val="134"/>
                    <w:jc w:val="center"/>
                    <w:rPr>
                      <w:color w:val="auto"/>
                      <w:sz w:val="18"/>
                      <w:szCs w:val="18"/>
                    </w:rPr>
                  </w:pPr>
                  <w:r>
                    <w:rPr>
                      <w:rFonts w:hint="eastAsia" w:ascii="宋体"/>
                      <w:color w:val="auto"/>
                      <w:sz w:val="18"/>
                      <w:szCs w:val="18"/>
                    </w:rPr>
                    <w:t>化学需氧量</w:t>
                  </w:r>
                </w:p>
              </w:tc>
              <w:tc>
                <w:tcPr>
                  <w:tcW w:w="996" w:type="dxa"/>
                  <w:noWrap w:val="0"/>
                  <w:vAlign w:val="center"/>
                </w:tcPr>
                <w:p w14:paraId="29DED254">
                  <w:pPr>
                    <w:pStyle w:val="134"/>
                    <w:jc w:val="center"/>
                    <w:rPr>
                      <w:rFonts w:hint="default" w:eastAsia="宋体"/>
                      <w:color w:val="auto"/>
                      <w:sz w:val="18"/>
                      <w:szCs w:val="18"/>
                      <w:lang w:val="en-US" w:eastAsia="zh-CN"/>
                    </w:rPr>
                  </w:pPr>
                  <w:r>
                    <w:rPr>
                      <w:rFonts w:hint="eastAsia"/>
                      <w:color w:val="auto"/>
                      <w:sz w:val="18"/>
                      <w:szCs w:val="18"/>
                      <w:lang w:val="en-US" w:eastAsia="zh-CN"/>
                    </w:rPr>
                    <w:t>20</w:t>
                  </w:r>
                </w:p>
              </w:tc>
              <w:tc>
                <w:tcPr>
                  <w:tcW w:w="1110" w:type="dxa"/>
                  <w:noWrap w:val="0"/>
                  <w:vAlign w:val="center"/>
                </w:tcPr>
                <w:p w14:paraId="54D06152">
                  <w:pPr>
                    <w:pStyle w:val="134"/>
                    <w:jc w:val="center"/>
                    <w:rPr>
                      <w:rFonts w:hint="default" w:eastAsia="宋体"/>
                      <w:color w:val="auto"/>
                      <w:sz w:val="18"/>
                      <w:szCs w:val="18"/>
                      <w:lang w:val="en-US" w:eastAsia="zh-CN"/>
                    </w:rPr>
                  </w:pPr>
                  <w:r>
                    <w:rPr>
                      <w:rFonts w:hint="eastAsia"/>
                      <w:color w:val="auto"/>
                      <w:sz w:val="18"/>
                      <w:szCs w:val="18"/>
                      <w:lang w:val="en-US" w:eastAsia="zh-CN"/>
                    </w:rPr>
                    <w:t>18</w:t>
                  </w:r>
                </w:p>
              </w:tc>
              <w:tc>
                <w:tcPr>
                  <w:tcW w:w="1089" w:type="dxa"/>
                  <w:gridSpan w:val="2"/>
                  <w:noWrap w:val="0"/>
                  <w:vAlign w:val="center"/>
                </w:tcPr>
                <w:p w14:paraId="305A4400">
                  <w:pPr>
                    <w:pStyle w:val="134"/>
                    <w:jc w:val="center"/>
                    <w:rPr>
                      <w:rFonts w:hint="default" w:eastAsia="宋体"/>
                      <w:color w:val="auto"/>
                      <w:sz w:val="18"/>
                      <w:szCs w:val="18"/>
                      <w:lang w:val="en-US" w:eastAsia="zh-CN"/>
                    </w:rPr>
                  </w:pPr>
                  <w:r>
                    <w:rPr>
                      <w:rFonts w:hint="eastAsia"/>
                      <w:color w:val="auto"/>
                      <w:sz w:val="18"/>
                      <w:szCs w:val="18"/>
                      <w:lang w:val="en-US" w:eastAsia="zh-CN"/>
                    </w:rPr>
                    <w:t>17</w:t>
                  </w:r>
                </w:p>
              </w:tc>
              <w:tc>
                <w:tcPr>
                  <w:tcW w:w="1101" w:type="dxa"/>
                  <w:noWrap w:val="0"/>
                  <w:vAlign w:val="center"/>
                </w:tcPr>
                <w:p w14:paraId="1F1FBE33">
                  <w:pPr>
                    <w:pStyle w:val="134"/>
                    <w:jc w:val="center"/>
                    <w:rPr>
                      <w:rFonts w:hint="default" w:eastAsia="宋体"/>
                      <w:color w:val="auto"/>
                      <w:sz w:val="18"/>
                      <w:szCs w:val="18"/>
                      <w:lang w:val="en-US" w:eastAsia="zh-CN"/>
                    </w:rPr>
                  </w:pPr>
                  <w:r>
                    <w:rPr>
                      <w:rFonts w:hint="eastAsia"/>
                      <w:color w:val="auto"/>
                      <w:sz w:val="18"/>
                      <w:szCs w:val="18"/>
                      <w:lang w:val="en-US" w:eastAsia="zh-CN"/>
                    </w:rPr>
                    <w:t>12</w:t>
                  </w:r>
                </w:p>
              </w:tc>
              <w:tc>
                <w:tcPr>
                  <w:tcW w:w="1035" w:type="dxa"/>
                  <w:noWrap w:val="0"/>
                  <w:vAlign w:val="center"/>
                </w:tcPr>
                <w:p w14:paraId="04F6B3BD">
                  <w:pPr>
                    <w:pStyle w:val="134"/>
                    <w:jc w:val="center"/>
                    <w:rPr>
                      <w:rFonts w:hint="default" w:eastAsia="宋体"/>
                      <w:color w:val="auto"/>
                      <w:sz w:val="18"/>
                      <w:szCs w:val="18"/>
                      <w:lang w:val="en-US" w:eastAsia="zh-CN"/>
                    </w:rPr>
                  </w:pPr>
                  <w:r>
                    <w:rPr>
                      <w:rFonts w:hint="eastAsia"/>
                      <w:color w:val="auto"/>
                      <w:sz w:val="18"/>
                      <w:szCs w:val="18"/>
                      <w:lang w:val="en-US" w:eastAsia="zh-CN"/>
                    </w:rPr>
                    <w:t>13</w:t>
                  </w:r>
                </w:p>
              </w:tc>
              <w:tc>
                <w:tcPr>
                  <w:tcW w:w="1041" w:type="dxa"/>
                  <w:noWrap w:val="0"/>
                  <w:vAlign w:val="center"/>
                </w:tcPr>
                <w:p w14:paraId="1AF6924E">
                  <w:pPr>
                    <w:pStyle w:val="134"/>
                    <w:jc w:val="center"/>
                    <w:rPr>
                      <w:rFonts w:hint="default" w:eastAsia="宋体"/>
                      <w:color w:val="auto"/>
                      <w:sz w:val="18"/>
                      <w:szCs w:val="18"/>
                      <w:lang w:val="en-US" w:eastAsia="zh-CN"/>
                    </w:rPr>
                  </w:pPr>
                  <w:r>
                    <w:rPr>
                      <w:rFonts w:hint="eastAsia"/>
                      <w:color w:val="auto"/>
                      <w:sz w:val="18"/>
                      <w:szCs w:val="18"/>
                      <w:lang w:val="en-US" w:eastAsia="zh-CN"/>
                    </w:rPr>
                    <w:t>14</w:t>
                  </w:r>
                </w:p>
              </w:tc>
            </w:tr>
            <w:tr w14:paraId="6FC2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4646CD73">
                  <w:pPr>
                    <w:pStyle w:val="134"/>
                    <w:jc w:val="center"/>
                    <w:rPr>
                      <w:color w:val="auto"/>
                      <w:sz w:val="18"/>
                      <w:szCs w:val="18"/>
                    </w:rPr>
                  </w:pPr>
                  <w:r>
                    <w:rPr>
                      <w:color w:val="auto"/>
                      <w:sz w:val="18"/>
                      <w:szCs w:val="18"/>
                    </w:rPr>
                    <w:t>pH</w:t>
                  </w:r>
                  <w:r>
                    <w:rPr>
                      <w:rFonts w:hint="eastAsia" w:ascii="宋体"/>
                      <w:color w:val="auto"/>
                      <w:sz w:val="18"/>
                      <w:szCs w:val="18"/>
                    </w:rPr>
                    <w:t>（无量纲）</w:t>
                  </w:r>
                </w:p>
              </w:tc>
              <w:tc>
                <w:tcPr>
                  <w:tcW w:w="996" w:type="dxa"/>
                  <w:noWrap w:val="0"/>
                  <w:vAlign w:val="center"/>
                </w:tcPr>
                <w:p w14:paraId="222D378A">
                  <w:pPr>
                    <w:pStyle w:val="134"/>
                    <w:jc w:val="center"/>
                    <w:rPr>
                      <w:rFonts w:hint="default" w:eastAsia="宋体"/>
                      <w:color w:val="auto"/>
                      <w:sz w:val="18"/>
                      <w:szCs w:val="18"/>
                      <w:lang w:val="en-US" w:eastAsia="zh-CN"/>
                    </w:rPr>
                  </w:pPr>
                  <w:r>
                    <w:rPr>
                      <w:rFonts w:hint="eastAsia"/>
                      <w:color w:val="auto"/>
                      <w:sz w:val="18"/>
                      <w:szCs w:val="18"/>
                      <w:lang w:val="en-US" w:eastAsia="zh-CN"/>
                    </w:rPr>
                    <w:t>7.2</w:t>
                  </w:r>
                </w:p>
              </w:tc>
              <w:tc>
                <w:tcPr>
                  <w:tcW w:w="1110" w:type="dxa"/>
                  <w:noWrap w:val="0"/>
                  <w:vAlign w:val="center"/>
                </w:tcPr>
                <w:p w14:paraId="4A667947">
                  <w:pPr>
                    <w:pStyle w:val="134"/>
                    <w:jc w:val="center"/>
                    <w:rPr>
                      <w:rFonts w:hint="default" w:eastAsia="宋体"/>
                      <w:color w:val="auto"/>
                      <w:sz w:val="18"/>
                      <w:szCs w:val="18"/>
                      <w:lang w:val="en-US" w:eastAsia="zh-CN"/>
                    </w:rPr>
                  </w:pPr>
                  <w:r>
                    <w:rPr>
                      <w:rFonts w:hint="eastAsia"/>
                      <w:color w:val="auto"/>
                      <w:sz w:val="18"/>
                      <w:szCs w:val="18"/>
                      <w:lang w:val="en-US" w:eastAsia="zh-CN"/>
                    </w:rPr>
                    <w:t>7.2</w:t>
                  </w:r>
                </w:p>
              </w:tc>
              <w:tc>
                <w:tcPr>
                  <w:tcW w:w="1089" w:type="dxa"/>
                  <w:gridSpan w:val="2"/>
                  <w:noWrap w:val="0"/>
                  <w:vAlign w:val="center"/>
                </w:tcPr>
                <w:p w14:paraId="7D4D6986">
                  <w:pPr>
                    <w:pStyle w:val="134"/>
                    <w:jc w:val="center"/>
                    <w:rPr>
                      <w:color w:val="auto"/>
                      <w:sz w:val="18"/>
                      <w:szCs w:val="18"/>
                    </w:rPr>
                  </w:pPr>
                  <w:r>
                    <w:rPr>
                      <w:rFonts w:hint="eastAsia"/>
                      <w:color w:val="auto"/>
                      <w:sz w:val="18"/>
                      <w:szCs w:val="18"/>
                      <w:lang w:val="en-US" w:eastAsia="zh-CN"/>
                    </w:rPr>
                    <w:t>7.2</w:t>
                  </w:r>
                </w:p>
              </w:tc>
              <w:tc>
                <w:tcPr>
                  <w:tcW w:w="1101" w:type="dxa"/>
                  <w:noWrap w:val="0"/>
                  <w:vAlign w:val="center"/>
                </w:tcPr>
                <w:p w14:paraId="364EAE46">
                  <w:pPr>
                    <w:pStyle w:val="134"/>
                    <w:jc w:val="center"/>
                    <w:rPr>
                      <w:rFonts w:hint="default" w:eastAsia="宋体"/>
                      <w:color w:val="auto"/>
                      <w:sz w:val="18"/>
                      <w:szCs w:val="18"/>
                      <w:lang w:val="en-US" w:eastAsia="zh-CN"/>
                    </w:rPr>
                  </w:pPr>
                  <w:r>
                    <w:rPr>
                      <w:rFonts w:hint="eastAsia"/>
                      <w:color w:val="auto"/>
                      <w:sz w:val="18"/>
                      <w:szCs w:val="18"/>
                      <w:lang w:val="en-US" w:eastAsia="zh-CN"/>
                    </w:rPr>
                    <w:t>7.2</w:t>
                  </w:r>
                </w:p>
              </w:tc>
              <w:tc>
                <w:tcPr>
                  <w:tcW w:w="1035" w:type="dxa"/>
                  <w:noWrap w:val="0"/>
                  <w:vAlign w:val="center"/>
                </w:tcPr>
                <w:p w14:paraId="182F14CE">
                  <w:pPr>
                    <w:pStyle w:val="134"/>
                    <w:jc w:val="center"/>
                    <w:rPr>
                      <w:color w:val="auto"/>
                      <w:sz w:val="18"/>
                      <w:szCs w:val="18"/>
                    </w:rPr>
                  </w:pPr>
                  <w:r>
                    <w:rPr>
                      <w:color w:val="auto"/>
                      <w:sz w:val="18"/>
                      <w:szCs w:val="18"/>
                    </w:rPr>
                    <w:t>7.88</w:t>
                  </w:r>
                </w:p>
              </w:tc>
              <w:tc>
                <w:tcPr>
                  <w:tcW w:w="1041" w:type="dxa"/>
                  <w:noWrap w:val="0"/>
                  <w:vAlign w:val="center"/>
                </w:tcPr>
                <w:p w14:paraId="7AC38305">
                  <w:pPr>
                    <w:pStyle w:val="134"/>
                    <w:jc w:val="center"/>
                    <w:rPr>
                      <w:color w:val="auto"/>
                      <w:sz w:val="18"/>
                      <w:szCs w:val="18"/>
                    </w:rPr>
                  </w:pPr>
                  <w:r>
                    <w:rPr>
                      <w:color w:val="auto"/>
                      <w:sz w:val="18"/>
                      <w:szCs w:val="18"/>
                    </w:rPr>
                    <w:t>7.86</w:t>
                  </w:r>
                </w:p>
              </w:tc>
            </w:tr>
            <w:tr w14:paraId="1807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1DBFAD39">
                  <w:pPr>
                    <w:pStyle w:val="134"/>
                    <w:jc w:val="center"/>
                    <w:rPr>
                      <w:color w:val="auto"/>
                      <w:sz w:val="18"/>
                      <w:szCs w:val="18"/>
                    </w:rPr>
                  </w:pPr>
                  <w:r>
                    <w:rPr>
                      <w:rFonts w:hint="eastAsia" w:ascii="宋体"/>
                      <w:color w:val="auto"/>
                      <w:sz w:val="18"/>
                      <w:szCs w:val="18"/>
                    </w:rPr>
                    <w:t>氨氮</w:t>
                  </w:r>
                </w:p>
              </w:tc>
              <w:tc>
                <w:tcPr>
                  <w:tcW w:w="996" w:type="dxa"/>
                  <w:noWrap w:val="0"/>
                  <w:vAlign w:val="center"/>
                </w:tcPr>
                <w:p w14:paraId="51C4CFC1">
                  <w:pPr>
                    <w:pStyle w:val="134"/>
                    <w:jc w:val="center"/>
                    <w:rPr>
                      <w:rFonts w:hint="default" w:eastAsia="宋体"/>
                      <w:color w:val="auto"/>
                      <w:sz w:val="18"/>
                      <w:szCs w:val="18"/>
                      <w:lang w:val="en-US" w:eastAsia="zh-CN"/>
                    </w:rPr>
                  </w:pPr>
                  <w:r>
                    <w:rPr>
                      <w:rFonts w:hint="eastAsia"/>
                      <w:color w:val="auto"/>
                      <w:sz w:val="18"/>
                      <w:szCs w:val="18"/>
                      <w:lang w:val="en-US" w:eastAsia="zh-CN"/>
                    </w:rPr>
                    <w:t>1.30</w:t>
                  </w:r>
                </w:p>
              </w:tc>
              <w:tc>
                <w:tcPr>
                  <w:tcW w:w="1110" w:type="dxa"/>
                  <w:noWrap w:val="0"/>
                  <w:vAlign w:val="center"/>
                </w:tcPr>
                <w:p w14:paraId="086EC553">
                  <w:pPr>
                    <w:pStyle w:val="134"/>
                    <w:jc w:val="center"/>
                    <w:rPr>
                      <w:rFonts w:hint="default" w:eastAsia="宋体"/>
                      <w:color w:val="auto"/>
                      <w:sz w:val="18"/>
                      <w:szCs w:val="18"/>
                      <w:lang w:val="en-US" w:eastAsia="zh-CN"/>
                    </w:rPr>
                  </w:pPr>
                  <w:r>
                    <w:rPr>
                      <w:rFonts w:hint="eastAsia"/>
                      <w:color w:val="auto"/>
                      <w:sz w:val="18"/>
                      <w:szCs w:val="18"/>
                      <w:lang w:val="en-US" w:eastAsia="zh-CN"/>
                    </w:rPr>
                    <w:t>1.16</w:t>
                  </w:r>
                </w:p>
              </w:tc>
              <w:tc>
                <w:tcPr>
                  <w:tcW w:w="1089" w:type="dxa"/>
                  <w:gridSpan w:val="2"/>
                  <w:noWrap w:val="0"/>
                  <w:vAlign w:val="center"/>
                </w:tcPr>
                <w:p w14:paraId="553F4B60">
                  <w:pPr>
                    <w:pStyle w:val="134"/>
                    <w:jc w:val="center"/>
                    <w:rPr>
                      <w:rFonts w:hint="default" w:eastAsia="宋体"/>
                      <w:color w:val="auto"/>
                      <w:sz w:val="18"/>
                      <w:szCs w:val="18"/>
                      <w:lang w:val="en-US" w:eastAsia="zh-CN"/>
                    </w:rPr>
                  </w:pPr>
                  <w:r>
                    <w:rPr>
                      <w:rFonts w:hint="eastAsia"/>
                      <w:color w:val="auto"/>
                      <w:sz w:val="18"/>
                      <w:szCs w:val="18"/>
                      <w:lang w:val="en-US" w:eastAsia="zh-CN"/>
                    </w:rPr>
                    <w:t>1.20</w:t>
                  </w:r>
                </w:p>
              </w:tc>
              <w:tc>
                <w:tcPr>
                  <w:tcW w:w="1101" w:type="dxa"/>
                  <w:noWrap w:val="0"/>
                  <w:vAlign w:val="center"/>
                </w:tcPr>
                <w:p w14:paraId="067BB44A">
                  <w:pPr>
                    <w:pStyle w:val="134"/>
                    <w:jc w:val="center"/>
                    <w:rPr>
                      <w:rFonts w:hint="default" w:eastAsia="宋体"/>
                      <w:color w:val="auto"/>
                      <w:sz w:val="18"/>
                      <w:szCs w:val="18"/>
                      <w:lang w:val="en-US" w:eastAsia="zh-CN"/>
                    </w:rPr>
                  </w:pPr>
                  <w:r>
                    <w:rPr>
                      <w:rFonts w:hint="eastAsia"/>
                      <w:color w:val="auto"/>
                      <w:sz w:val="18"/>
                      <w:szCs w:val="18"/>
                      <w:lang w:val="en-US" w:eastAsia="zh-CN"/>
                    </w:rPr>
                    <w:t>1.22</w:t>
                  </w:r>
                </w:p>
              </w:tc>
              <w:tc>
                <w:tcPr>
                  <w:tcW w:w="1035" w:type="dxa"/>
                  <w:noWrap w:val="0"/>
                  <w:vAlign w:val="center"/>
                </w:tcPr>
                <w:p w14:paraId="33451778">
                  <w:pPr>
                    <w:pStyle w:val="134"/>
                    <w:jc w:val="center"/>
                    <w:rPr>
                      <w:rFonts w:hint="default" w:eastAsia="宋体"/>
                      <w:color w:val="auto"/>
                      <w:sz w:val="18"/>
                      <w:szCs w:val="18"/>
                      <w:lang w:val="en-US" w:eastAsia="zh-CN"/>
                    </w:rPr>
                  </w:pPr>
                  <w:r>
                    <w:rPr>
                      <w:rFonts w:hint="eastAsia"/>
                      <w:color w:val="auto"/>
                      <w:sz w:val="18"/>
                      <w:szCs w:val="18"/>
                      <w:lang w:val="en-US" w:eastAsia="zh-CN"/>
                    </w:rPr>
                    <w:t>1.34</w:t>
                  </w:r>
                </w:p>
              </w:tc>
              <w:tc>
                <w:tcPr>
                  <w:tcW w:w="1041" w:type="dxa"/>
                  <w:noWrap w:val="0"/>
                  <w:vAlign w:val="center"/>
                </w:tcPr>
                <w:p w14:paraId="6A44FFD1">
                  <w:pPr>
                    <w:pStyle w:val="134"/>
                    <w:jc w:val="center"/>
                    <w:rPr>
                      <w:rFonts w:hint="default" w:eastAsia="宋体"/>
                      <w:color w:val="auto"/>
                      <w:sz w:val="18"/>
                      <w:szCs w:val="18"/>
                      <w:lang w:val="en-US" w:eastAsia="zh-CN"/>
                    </w:rPr>
                  </w:pPr>
                  <w:r>
                    <w:rPr>
                      <w:rFonts w:hint="eastAsia"/>
                      <w:color w:val="auto"/>
                      <w:sz w:val="18"/>
                      <w:szCs w:val="18"/>
                      <w:lang w:val="en-US" w:eastAsia="zh-CN"/>
                    </w:rPr>
                    <w:t>1.30</w:t>
                  </w:r>
                </w:p>
              </w:tc>
            </w:tr>
            <w:tr w14:paraId="1E13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49F9C931">
                  <w:pPr>
                    <w:pStyle w:val="134"/>
                    <w:jc w:val="center"/>
                    <w:rPr>
                      <w:color w:val="auto"/>
                      <w:sz w:val="18"/>
                      <w:szCs w:val="18"/>
                    </w:rPr>
                  </w:pPr>
                  <w:r>
                    <w:rPr>
                      <w:rFonts w:hint="eastAsia" w:ascii="宋体"/>
                      <w:color w:val="auto"/>
                      <w:sz w:val="18"/>
                      <w:szCs w:val="18"/>
                    </w:rPr>
                    <w:t>五日生化需氧量</w:t>
                  </w:r>
                </w:p>
              </w:tc>
              <w:tc>
                <w:tcPr>
                  <w:tcW w:w="996" w:type="dxa"/>
                  <w:noWrap w:val="0"/>
                  <w:vAlign w:val="center"/>
                </w:tcPr>
                <w:p w14:paraId="1F572784">
                  <w:pPr>
                    <w:pStyle w:val="134"/>
                    <w:jc w:val="center"/>
                    <w:rPr>
                      <w:rFonts w:hint="default" w:eastAsia="宋体"/>
                      <w:color w:val="auto"/>
                      <w:sz w:val="18"/>
                      <w:szCs w:val="18"/>
                      <w:lang w:val="en-US" w:eastAsia="zh-CN"/>
                    </w:rPr>
                  </w:pPr>
                  <w:r>
                    <w:rPr>
                      <w:rFonts w:hint="eastAsia"/>
                      <w:color w:val="auto"/>
                      <w:sz w:val="18"/>
                      <w:szCs w:val="18"/>
                      <w:lang w:val="en-US" w:eastAsia="zh-CN"/>
                    </w:rPr>
                    <w:t>5.7</w:t>
                  </w:r>
                </w:p>
              </w:tc>
              <w:tc>
                <w:tcPr>
                  <w:tcW w:w="1110" w:type="dxa"/>
                  <w:noWrap w:val="0"/>
                  <w:vAlign w:val="center"/>
                </w:tcPr>
                <w:p w14:paraId="61CA3617">
                  <w:pPr>
                    <w:pStyle w:val="134"/>
                    <w:jc w:val="center"/>
                    <w:rPr>
                      <w:rFonts w:hint="default" w:eastAsia="宋体"/>
                      <w:color w:val="auto"/>
                      <w:sz w:val="18"/>
                      <w:szCs w:val="18"/>
                      <w:lang w:val="en-US" w:eastAsia="zh-CN"/>
                    </w:rPr>
                  </w:pPr>
                  <w:r>
                    <w:rPr>
                      <w:rFonts w:hint="eastAsia"/>
                      <w:color w:val="auto"/>
                      <w:sz w:val="18"/>
                      <w:szCs w:val="18"/>
                      <w:lang w:val="en-US" w:eastAsia="zh-CN"/>
                    </w:rPr>
                    <w:t>5.9</w:t>
                  </w:r>
                </w:p>
              </w:tc>
              <w:tc>
                <w:tcPr>
                  <w:tcW w:w="1089" w:type="dxa"/>
                  <w:gridSpan w:val="2"/>
                  <w:noWrap w:val="0"/>
                  <w:vAlign w:val="center"/>
                </w:tcPr>
                <w:p w14:paraId="50D83D28">
                  <w:pPr>
                    <w:pStyle w:val="134"/>
                    <w:jc w:val="center"/>
                    <w:rPr>
                      <w:rFonts w:hint="default" w:eastAsia="宋体"/>
                      <w:color w:val="auto"/>
                      <w:sz w:val="18"/>
                      <w:szCs w:val="18"/>
                      <w:lang w:val="en-US" w:eastAsia="zh-CN"/>
                    </w:rPr>
                  </w:pPr>
                  <w:r>
                    <w:rPr>
                      <w:rFonts w:hint="eastAsia"/>
                      <w:color w:val="auto"/>
                      <w:sz w:val="18"/>
                      <w:szCs w:val="18"/>
                      <w:lang w:val="en-US" w:eastAsia="zh-CN"/>
                    </w:rPr>
                    <w:t>5.5</w:t>
                  </w:r>
                </w:p>
              </w:tc>
              <w:tc>
                <w:tcPr>
                  <w:tcW w:w="1101" w:type="dxa"/>
                  <w:noWrap w:val="0"/>
                  <w:vAlign w:val="center"/>
                </w:tcPr>
                <w:p w14:paraId="76713E16">
                  <w:pPr>
                    <w:pStyle w:val="134"/>
                    <w:jc w:val="center"/>
                    <w:rPr>
                      <w:rFonts w:hint="default" w:eastAsia="宋体"/>
                      <w:color w:val="auto"/>
                      <w:sz w:val="18"/>
                      <w:szCs w:val="18"/>
                      <w:lang w:val="en-US" w:eastAsia="zh-CN"/>
                    </w:rPr>
                  </w:pPr>
                  <w:r>
                    <w:rPr>
                      <w:rFonts w:hint="eastAsia"/>
                      <w:color w:val="auto"/>
                      <w:sz w:val="18"/>
                      <w:szCs w:val="18"/>
                      <w:lang w:val="en-US" w:eastAsia="zh-CN"/>
                    </w:rPr>
                    <w:t>4.4</w:t>
                  </w:r>
                </w:p>
              </w:tc>
              <w:tc>
                <w:tcPr>
                  <w:tcW w:w="1035" w:type="dxa"/>
                  <w:noWrap w:val="0"/>
                  <w:vAlign w:val="center"/>
                </w:tcPr>
                <w:p w14:paraId="4B70127A">
                  <w:pPr>
                    <w:pStyle w:val="134"/>
                    <w:jc w:val="center"/>
                    <w:rPr>
                      <w:rFonts w:hint="default" w:eastAsia="宋体"/>
                      <w:color w:val="auto"/>
                      <w:sz w:val="18"/>
                      <w:szCs w:val="18"/>
                      <w:lang w:val="en-US" w:eastAsia="zh-CN"/>
                    </w:rPr>
                  </w:pPr>
                  <w:r>
                    <w:rPr>
                      <w:rFonts w:hint="eastAsia"/>
                      <w:color w:val="auto"/>
                      <w:sz w:val="18"/>
                      <w:szCs w:val="18"/>
                      <w:lang w:val="en-US" w:eastAsia="zh-CN"/>
                    </w:rPr>
                    <w:t>4.6</w:t>
                  </w:r>
                </w:p>
              </w:tc>
              <w:tc>
                <w:tcPr>
                  <w:tcW w:w="1041" w:type="dxa"/>
                  <w:noWrap w:val="0"/>
                  <w:vAlign w:val="center"/>
                </w:tcPr>
                <w:p w14:paraId="0AB5DA69">
                  <w:pPr>
                    <w:pStyle w:val="134"/>
                    <w:jc w:val="center"/>
                    <w:rPr>
                      <w:rFonts w:hint="default" w:eastAsia="宋体"/>
                      <w:color w:val="auto"/>
                      <w:sz w:val="18"/>
                      <w:szCs w:val="18"/>
                      <w:lang w:val="en-US" w:eastAsia="zh-CN"/>
                    </w:rPr>
                  </w:pPr>
                  <w:r>
                    <w:rPr>
                      <w:rFonts w:hint="eastAsia"/>
                      <w:color w:val="auto"/>
                      <w:sz w:val="18"/>
                      <w:szCs w:val="18"/>
                      <w:lang w:val="en-US" w:eastAsia="zh-CN"/>
                    </w:rPr>
                    <w:t>4.4</w:t>
                  </w:r>
                </w:p>
              </w:tc>
            </w:tr>
            <w:tr w14:paraId="0FB5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52BF45A6">
                  <w:pPr>
                    <w:pStyle w:val="134"/>
                    <w:jc w:val="center"/>
                    <w:rPr>
                      <w:color w:val="auto"/>
                      <w:sz w:val="18"/>
                      <w:szCs w:val="18"/>
                    </w:rPr>
                  </w:pPr>
                  <w:r>
                    <w:rPr>
                      <w:rFonts w:hint="eastAsia" w:ascii="宋体"/>
                      <w:color w:val="auto"/>
                      <w:sz w:val="18"/>
                      <w:szCs w:val="18"/>
                    </w:rPr>
                    <w:t>悬浮物</w:t>
                  </w:r>
                </w:p>
              </w:tc>
              <w:tc>
                <w:tcPr>
                  <w:tcW w:w="996" w:type="dxa"/>
                  <w:noWrap w:val="0"/>
                  <w:vAlign w:val="center"/>
                </w:tcPr>
                <w:p w14:paraId="67950CE7">
                  <w:pPr>
                    <w:pStyle w:val="134"/>
                    <w:jc w:val="center"/>
                    <w:rPr>
                      <w:rFonts w:hint="default" w:eastAsia="宋体"/>
                      <w:color w:val="auto"/>
                      <w:sz w:val="18"/>
                      <w:szCs w:val="18"/>
                      <w:lang w:val="en-US" w:eastAsia="zh-CN"/>
                    </w:rPr>
                  </w:pPr>
                  <w:r>
                    <w:rPr>
                      <w:rFonts w:hint="eastAsia"/>
                      <w:color w:val="auto"/>
                      <w:sz w:val="18"/>
                      <w:szCs w:val="18"/>
                      <w:lang w:val="en-US" w:eastAsia="zh-CN"/>
                    </w:rPr>
                    <w:t>21</w:t>
                  </w:r>
                </w:p>
              </w:tc>
              <w:tc>
                <w:tcPr>
                  <w:tcW w:w="1110" w:type="dxa"/>
                  <w:noWrap w:val="0"/>
                  <w:vAlign w:val="center"/>
                </w:tcPr>
                <w:p w14:paraId="5F3025F6">
                  <w:pPr>
                    <w:pStyle w:val="134"/>
                    <w:jc w:val="center"/>
                    <w:rPr>
                      <w:rFonts w:hint="default" w:eastAsia="宋体"/>
                      <w:color w:val="auto"/>
                      <w:sz w:val="18"/>
                      <w:szCs w:val="18"/>
                      <w:lang w:val="en-US" w:eastAsia="zh-CN"/>
                    </w:rPr>
                  </w:pPr>
                  <w:r>
                    <w:rPr>
                      <w:rFonts w:hint="eastAsia"/>
                      <w:color w:val="auto"/>
                      <w:sz w:val="18"/>
                      <w:szCs w:val="18"/>
                      <w:lang w:val="en-US" w:eastAsia="zh-CN"/>
                    </w:rPr>
                    <w:t>19</w:t>
                  </w:r>
                </w:p>
              </w:tc>
              <w:tc>
                <w:tcPr>
                  <w:tcW w:w="1089" w:type="dxa"/>
                  <w:gridSpan w:val="2"/>
                  <w:noWrap w:val="0"/>
                  <w:vAlign w:val="center"/>
                </w:tcPr>
                <w:p w14:paraId="5E240691">
                  <w:pPr>
                    <w:pStyle w:val="134"/>
                    <w:jc w:val="center"/>
                    <w:rPr>
                      <w:rFonts w:hint="default" w:eastAsia="宋体"/>
                      <w:color w:val="auto"/>
                      <w:sz w:val="18"/>
                      <w:szCs w:val="18"/>
                      <w:lang w:val="en-US" w:eastAsia="zh-CN"/>
                    </w:rPr>
                  </w:pPr>
                  <w:r>
                    <w:rPr>
                      <w:rFonts w:hint="eastAsia"/>
                      <w:color w:val="auto"/>
                      <w:sz w:val="18"/>
                      <w:szCs w:val="18"/>
                      <w:lang w:val="en-US" w:eastAsia="zh-CN"/>
                    </w:rPr>
                    <w:t>22</w:t>
                  </w:r>
                </w:p>
              </w:tc>
              <w:tc>
                <w:tcPr>
                  <w:tcW w:w="1101" w:type="dxa"/>
                  <w:noWrap w:val="0"/>
                  <w:vAlign w:val="center"/>
                </w:tcPr>
                <w:p w14:paraId="2DF929A0">
                  <w:pPr>
                    <w:pStyle w:val="134"/>
                    <w:jc w:val="center"/>
                    <w:rPr>
                      <w:rFonts w:hint="default" w:eastAsia="宋体"/>
                      <w:color w:val="auto"/>
                      <w:sz w:val="18"/>
                      <w:szCs w:val="18"/>
                      <w:lang w:val="en-US" w:eastAsia="zh-CN"/>
                    </w:rPr>
                  </w:pPr>
                  <w:r>
                    <w:rPr>
                      <w:rFonts w:hint="eastAsia"/>
                      <w:color w:val="auto"/>
                      <w:sz w:val="18"/>
                      <w:szCs w:val="18"/>
                      <w:lang w:val="en-US" w:eastAsia="zh-CN"/>
                    </w:rPr>
                    <w:t>24</w:t>
                  </w:r>
                </w:p>
              </w:tc>
              <w:tc>
                <w:tcPr>
                  <w:tcW w:w="1035" w:type="dxa"/>
                  <w:noWrap w:val="0"/>
                  <w:vAlign w:val="center"/>
                </w:tcPr>
                <w:p w14:paraId="711F110C">
                  <w:pPr>
                    <w:pStyle w:val="134"/>
                    <w:jc w:val="center"/>
                    <w:rPr>
                      <w:rFonts w:hint="default" w:eastAsia="宋体"/>
                      <w:color w:val="auto"/>
                      <w:sz w:val="18"/>
                      <w:szCs w:val="18"/>
                      <w:lang w:val="en-US" w:eastAsia="zh-CN"/>
                    </w:rPr>
                  </w:pPr>
                  <w:r>
                    <w:rPr>
                      <w:rFonts w:hint="eastAsia"/>
                      <w:color w:val="auto"/>
                      <w:sz w:val="18"/>
                      <w:szCs w:val="18"/>
                      <w:lang w:val="en-US" w:eastAsia="zh-CN"/>
                    </w:rPr>
                    <w:t>26</w:t>
                  </w:r>
                </w:p>
              </w:tc>
              <w:tc>
                <w:tcPr>
                  <w:tcW w:w="1041" w:type="dxa"/>
                  <w:noWrap w:val="0"/>
                  <w:vAlign w:val="center"/>
                </w:tcPr>
                <w:p w14:paraId="38CEEC27">
                  <w:pPr>
                    <w:pStyle w:val="134"/>
                    <w:jc w:val="center"/>
                    <w:rPr>
                      <w:rFonts w:hint="default" w:eastAsia="宋体"/>
                      <w:color w:val="auto"/>
                      <w:sz w:val="18"/>
                      <w:szCs w:val="18"/>
                      <w:lang w:val="en-US" w:eastAsia="zh-CN"/>
                    </w:rPr>
                  </w:pPr>
                  <w:r>
                    <w:rPr>
                      <w:rFonts w:hint="eastAsia"/>
                      <w:color w:val="auto"/>
                      <w:sz w:val="18"/>
                      <w:szCs w:val="18"/>
                      <w:lang w:val="en-US" w:eastAsia="zh-CN"/>
                    </w:rPr>
                    <w:t>25</w:t>
                  </w:r>
                </w:p>
              </w:tc>
            </w:tr>
            <w:tr w14:paraId="175A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3" w:type="dxa"/>
                  <w:noWrap w:val="0"/>
                  <w:vAlign w:val="center"/>
                </w:tcPr>
                <w:p w14:paraId="42772F61">
                  <w:pPr>
                    <w:pStyle w:val="134"/>
                    <w:jc w:val="center"/>
                    <w:rPr>
                      <w:color w:val="auto"/>
                      <w:sz w:val="18"/>
                      <w:szCs w:val="18"/>
                    </w:rPr>
                  </w:pPr>
                  <w:r>
                    <w:rPr>
                      <w:rFonts w:hint="eastAsia" w:ascii="宋体"/>
                      <w:color w:val="auto"/>
                      <w:sz w:val="18"/>
                      <w:szCs w:val="18"/>
                    </w:rPr>
                    <w:t>动植物油</w:t>
                  </w:r>
                </w:p>
              </w:tc>
              <w:tc>
                <w:tcPr>
                  <w:tcW w:w="996" w:type="dxa"/>
                  <w:noWrap w:val="0"/>
                  <w:vAlign w:val="center"/>
                </w:tcPr>
                <w:p w14:paraId="69B38BE1">
                  <w:pPr>
                    <w:pStyle w:val="134"/>
                    <w:jc w:val="center"/>
                    <w:rPr>
                      <w:rFonts w:hint="default" w:eastAsia="宋体"/>
                      <w:color w:val="auto"/>
                      <w:sz w:val="18"/>
                      <w:szCs w:val="18"/>
                      <w:lang w:val="en-US" w:eastAsia="zh-CN"/>
                    </w:rPr>
                  </w:pPr>
                  <w:r>
                    <w:rPr>
                      <w:rFonts w:hint="eastAsia"/>
                      <w:color w:val="auto"/>
                      <w:sz w:val="18"/>
                      <w:szCs w:val="18"/>
                      <w:lang w:val="en-US" w:eastAsia="zh-CN"/>
                    </w:rPr>
                    <w:t>9.5</w:t>
                  </w:r>
                </w:p>
              </w:tc>
              <w:tc>
                <w:tcPr>
                  <w:tcW w:w="1110" w:type="dxa"/>
                  <w:noWrap w:val="0"/>
                  <w:vAlign w:val="center"/>
                </w:tcPr>
                <w:p w14:paraId="1945229D">
                  <w:pPr>
                    <w:pStyle w:val="134"/>
                    <w:jc w:val="center"/>
                    <w:rPr>
                      <w:rFonts w:hint="default" w:eastAsia="宋体"/>
                      <w:color w:val="auto"/>
                      <w:sz w:val="18"/>
                      <w:szCs w:val="18"/>
                      <w:lang w:val="en-US" w:eastAsia="zh-CN"/>
                    </w:rPr>
                  </w:pPr>
                  <w:r>
                    <w:rPr>
                      <w:rFonts w:hint="eastAsia"/>
                      <w:color w:val="auto"/>
                      <w:sz w:val="18"/>
                      <w:szCs w:val="18"/>
                      <w:lang w:val="en-US" w:eastAsia="zh-CN"/>
                    </w:rPr>
                    <w:t>9.48</w:t>
                  </w:r>
                </w:p>
              </w:tc>
              <w:tc>
                <w:tcPr>
                  <w:tcW w:w="1089" w:type="dxa"/>
                  <w:gridSpan w:val="2"/>
                  <w:noWrap w:val="0"/>
                  <w:vAlign w:val="center"/>
                </w:tcPr>
                <w:p w14:paraId="1116B2A0">
                  <w:pPr>
                    <w:pStyle w:val="134"/>
                    <w:jc w:val="center"/>
                    <w:rPr>
                      <w:rFonts w:hint="default" w:eastAsia="宋体"/>
                      <w:color w:val="auto"/>
                      <w:sz w:val="18"/>
                      <w:szCs w:val="18"/>
                      <w:lang w:val="en-US" w:eastAsia="zh-CN"/>
                    </w:rPr>
                  </w:pPr>
                  <w:r>
                    <w:rPr>
                      <w:rFonts w:hint="eastAsia"/>
                      <w:color w:val="auto"/>
                      <w:sz w:val="18"/>
                      <w:szCs w:val="18"/>
                      <w:lang w:val="en-US" w:eastAsia="zh-CN"/>
                    </w:rPr>
                    <w:t>9.33</w:t>
                  </w:r>
                </w:p>
              </w:tc>
              <w:tc>
                <w:tcPr>
                  <w:tcW w:w="1101" w:type="dxa"/>
                  <w:noWrap w:val="0"/>
                  <w:vAlign w:val="center"/>
                </w:tcPr>
                <w:p w14:paraId="5318E762">
                  <w:pPr>
                    <w:pStyle w:val="134"/>
                    <w:jc w:val="center"/>
                    <w:rPr>
                      <w:rFonts w:hint="eastAsia" w:eastAsia="宋体"/>
                      <w:color w:val="auto"/>
                      <w:sz w:val="18"/>
                      <w:szCs w:val="18"/>
                      <w:lang w:eastAsia="zh-CN"/>
                    </w:rPr>
                  </w:pPr>
                  <w:r>
                    <w:rPr>
                      <w:color w:val="auto"/>
                      <w:sz w:val="18"/>
                      <w:szCs w:val="18"/>
                    </w:rPr>
                    <w:t>12.</w:t>
                  </w:r>
                  <w:r>
                    <w:rPr>
                      <w:rFonts w:hint="eastAsia"/>
                      <w:color w:val="auto"/>
                      <w:sz w:val="18"/>
                      <w:szCs w:val="18"/>
                      <w:lang w:val="en-US" w:eastAsia="zh-CN"/>
                    </w:rPr>
                    <w:t>5</w:t>
                  </w:r>
                </w:p>
              </w:tc>
              <w:tc>
                <w:tcPr>
                  <w:tcW w:w="1035" w:type="dxa"/>
                  <w:noWrap w:val="0"/>
                  <w:vAlign w:val="center"/>
                </w:tcPr>
                <w:p w14:paraId="71BE057F">
                  <w:pPr>
                    <w:pStyle w:val="134"/>
                    <w:jc w:val="center"/>
                    <w:rPr>
                      <w:rFonts w:hint="default" w:eastAsia="宋体"/>
                      <w:color w:val="auto"/>
                      <w:sz w:val="18"/>
                      <w:szCs w:val="18"/>
                      <w:lang w:val="en-US" w:eastAsia="zh-CN"/>
                    </w:rPr>
                  </w:pPr>
                  <w:r>
                    <w:rPr>
                      <w:rFonts w:hint="eastAsia"/>
                      <w:color w:val="auto"/>
                      <w:sz w:val="18"/>
                      <w:szCs w:val="18"/>
                      <w:lang w:val="en-US" w:eastAsia="zh-CN"/>
                    </w:rPr>
                    <w:t>10.1</w:t>
                  </w:r>
                </w:p>
              </w:tc>
              <w:tc>
                <w:tcPr>
                  <w:tcW w:w="1041" w:type="dxa"/>
                  <w:noWrap w:val="0"/>
                  <w:vAlign w:val="center"/>
                </w:tcPr>
                <w:p w14:paraId="1527220C">
                  <w:pPr>
                    <w:pStyle w:val="134"/>
                    <w:jc w:val="center"/>
                    <w:rPr>
                      <w:rFonts w:hint="default"/>
                      <w:color w:val="auto"/>
                      <w:sz w:val="18"/>
                      <w:szCs w:val="18"/>
                      <w:lang w:val="en-US" w:eastAsia="zh-CN"/>
                    </w:rPr>
                  </w:pPr>
                  <w:r>
                    <w:rPr>
                      <w:rFonts w:hint="eastAsia"/>
                      <w:color w:val="auto"/>
                      <w:sz w:val="18"/>
                      <w:szCs w:val="18"/>
                      <w:lang w:val="en-US" w:eastAsia="zh-CN"/>
                    </w:rPr>
                    <w:t>9.56</w:t>
                  </w:r>
                </w:p>
              </w:tc>
            </w:tr>
          </w:tbl>
          <w:p w14:paraId="0D616407">
            <w:pPr>
              <w:pStyle w:val="84"/>
              <w:rPr>
                <w:color w:val="auto"/>
                <w:lang w:val="en-US" w:eastAsia="zh-CN"/>
              </w:rPr>
            </w:pPr>
            <w:r>
              <w:rPr>
                <w:rFonts w:hint="eastAsia"/>
                <w:color w:val="auto"/>
                <w:lang w:val="en-US" w:eastAsia="zh-CN"/>
              </w:rPr>
              <w:t>经核算，现有工程年废水排放量约6770</w:t>
            </w:r>
            <w:r>
              <w:rPr>
                <w:color w:val="auto"/>
                <w:lang w:val="en-US" w:eastAsia="zh-CN"/>
              </w:rPr>
              <w:t>t</w:t>
            </w:r>
            <w:r>
              <w:rPr>
                <w:rFonts w:hint="eastAsia"/>
                <w:color w:val="auto"/>
                <w:lang w:val="en-US" w:eastAsia="zh-CN"/>
              </w:rPr>
              <w:t>。</w:t>
            </w:r>
            <w:r>
              <w:rPr>
                <w:rFonts w:hint="eastAsia" w:ascii="Times New Roman" w:hAnsi="Times New Roman" w:eastAsia="宋体" w:cs="Times New Roman"/>
                <w:color w:val="auto"/>
                <w:lang w:val="en-US" w:eastAsia="zh-CN"/>
              </w:rPr>
              <w:t>验收监测期间，</w:t>
            </w:r>
            <w:r>
              <w:rPr>
                <w:rFonts w:hint="eastAsia" w:cs="Times New Roman"/>
                <w:color w:val="auto"/>
                <w:lang w:val="en-US" w:eastAsia="zh-CN"/>
              </w:rPr>
              <w:t>外排废</w:t>
            </w:r>
            <w:r>
              <w:rPr>
                <w:rFonts w:hint="eastAsia" w:ascii="Times New Roman" w:hAnsi="Times New Roman" w:eastAsia="宋体" w:cs="Times New Roman"/>
                <w:color w:val="auto"/>
                <w:lang w:val="en-US" w:eastAsia="zh-CN"/>
              </w:rPr>
              <w:t>水中主要污染物pH、COD、BOD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、SS、NH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-N、动植物油指标均满足《</w:t>
            </w:r>
            <w:r>
              <w:rPr>
                <w:rFonts w:hint="eastAsia" w:cs="Times New Roman"/>
                <w:color w:val="auto"/>
                <w:lang w:val="en-US" w:eastAsia="zh-CN"/>
              </w:rPr>
              <w:t>污水排入城镇下水道水质标准</w:t>
            </w:r>
            <w:r>
              <w:rPr>
                <w:rFonts w:hint="eastAsia" w:ascii="Times New Roman" w:hAnsi="Times New Roman" w:eastAsia="宋体" w:cs="Times New Roman"/>
                <w:color w:val="auto"/>
                <w:lang w:val="en-US" w:eastAsia="zh-CN"/>
              </w:rPr>
              <w:t>》（GB/T31962-2015）中B级标准</w:t>
            </w:r>
            <w:r>
              <w:rPr>
                <w:color w:val="auto"/>
                <w:lang w:val="en-US" w:eastAsia="zh-CN"/>
              </w:rPr>
              <w:t>。</w:t>
            </w:r>
          </w:p>
          <w:p w14:paraId="028CAC01">
            <w:pPr>
              <w:pStyle w:val="84"/>
              <w:rPr>
                <w:color w:val="auto"/>
                <w:lang w:val="en-US" w:eastAsia="zh-CN"/>
              </w:rPr>
            </w:pPr>
            <w:r>
              <w:rPr>
                <w:rFonts w:hint="eastAsia"/>
                <w:color w:val="auto"/>
                <w:lang w:val="en-US" w:eastAsia="zh-CN"/>
              </w:rPr>
              <w:t>（4）厂界噪声</w:t>
            </w:r>
          </w:p>
          <w:p w14:paraId="1B635220">
            <w:pPr>
              <w:pStyle w:val="84"/>
              <w:rPr>
                <w:color w:val="auto"/>
                <w:lang w:val="en-US" w:eastAsia="zh-CN"/>
              </w:rPr>
            </w:pPr>
            <w:r>
              <w:rPr>
                <w:rFonts w:hint="eastAsia"/>
                <w:color w:val="auto"/>
                <w:lang w:val="en-US" w:eastAsia="zh-CN"/>
              </w:rPr>
              <w:t>厂区厂界噪声监测结果见下表。</w:t>
            </w:r>
          </w:p>
          <w:p w14:paraId="7D8C1DA3">
            <w:pPr>
              <w:pStyle w:val="86"/>
              <w:rPr>
                <w:color w:val="auto"/>
              </w:rPr>
            </w:pPr>
            <w:r>
              <w:rPr>
                <w:rFonts w:hint="eastAsia"/>
                <w:color w:val="auto"/>
              </w:rPr>
              <w:t>表2-</w:t>
            </w:r>
            <w:r>
              <w:rPr>
                <w:color w:val="auto"/>
              </w:rPr>
              <w:t>1</w:t>
            </w:r>
            <w:r>
              <w:rPr>
                <w:rFonts w:hint="eastAsia"/>
                <w:color w:val="auto"/>
                <w:lang w:val="en-US" w:eastAsia="zh-CN"/>
              </w:rPr>
              <w:t>6</w:t>
            </w:r>
            <w:r>
              <w:rPr>
                <w:color w:val="auto"/>
              </w:rPr>
              <w:t xml:space="preserve">   </w:t>
            </w:r>
            <w:r>
              <w:rPr>
                <w:rFonts w:hint="eastAsia"/>
                <w:color w:val="auto"/>
              </w:rPr>
              <w:t>厂界噪声监测结果一览表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1868"/>
              <w:gridCol w:w="1818"/>
              <w:gridCol w:w="974"/>
              <w:gridCol w:w="1295"/>
            </w:tblGrid>
            <w:tr w14:paraId="6AC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noWrap w:val="0"/>
                  <w:vAlign w:val="center"/>
                </w:tcPr>
                <w:p w14:paraId="7340B3F5">
                  <w:pPr>
                    <w:adjustRightInd w:val="0"/>
                    <w:snapToGrid w:val="0"/>
                    <w:jc w:val="center"/>
                    <w:rPr>
                      <w:color w:val="auto"/>
                      <w:sz w:val="18"/>
                      <w:szCs w:val="18"/>
                    </w:rPr>
                  </w:pPr>
                  <w:r>
                    <w:rPr>
                      <w:color w:val="auto"/>
                      <w:sz w:val="18"/>
                      <w:szCs w:val="18"/>
                    </w:rPr>
                    <w:t>监测位置</w:t>
                  </w:r>
                </w:p>
              </w:tc>
              <w:tc>
                <w:tcPr>
                  <w:tcW w:w="992" w:type="dxa"/>
                  <w:noWrap w:val="0"/>
                  <w:vAlign w:val="center"/>
                </w:tcPr>
                <w:p w14:paraId="1F4D7630">
                  <w:pPr>
                    <w:adjustRightInd w:val="0"/>
                    <w:snapToGrid w:val="0"/>
                    <w:jc w:val="center"/>
                    <w:rPr>
                      <w:color w:val="auto"/>
                      <w:sz w:val="18"/>
                      <w:szCs w:val="18"/>
                    </w:rPr>
                  </w:pPr>
                  <w:r>
                    <w:rPr>
                      <w:rFonts w:hint="eastAsia"/>
                      <w:color w:val="auto"/>
                      <w:sz w:val="18"/>
                      <w:szCs w:val="18"/>
                    </w:rPr>
                    <w:t>时间</w:t>
                  </w:r>
                </w:p>
              </w:tc>
              <w:tc>
                <w:tcPr>
                  <w:tcW w:w="1868" w:type="dxa"/>
                  <w:noWrap w:val="0"/>
                  <w:vAlign w:val="center"/>
                </w:tcPr>
                <w:p w14:paraId="159AE1DC">
                  <w:pPr>
                    <w:adjustRightInd w:val="0"/>
                    <w:snapToGrid w:val="0"/>
                    <w:jc w:val="center"/>
                    <w:rPr>
                      <w:color w:val="auto"/>
                      <w:sz w:val="18"/>
                      <w:szCs w:val="18"/>
                    </w:rPr>
                  </w:pPr>
                  <w:r>
                    <w:rPr>
                      <w:color w:val="auto"/>
                      <w:sz w:val="18"/>
                      <w:szCs w:val="18"/>
                    </w:rPr>
                    <w:t>Leq A（</w:t>
                  </w: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30</w:t>
                  </w:r>
                  <w:r>
                    <w:rPr>
                      <w:color w:val="auto"/>
                      <w:sz w:val="18"/>
                      <w:szCs w:val="18"/>
                    </w:rPr>
                    <w:t>日）</w:t>
                  </w:r>
                </w:p>
              </w:tc>
              <w:tc>
                <w:tcPr>
                  <w:tcW w:w="1818" w:type="dxa"/>
                  <w:noWrap w:val="0"/>
                  <w:vAlign w:val="top"/>
                </w:tcPr>
                <w:p w14:paraId="06589C33">
                  <w:pPr>
                    <w:adjustRightInd w:val="0"/>
                    <w:snapToGrid w:val="0"/>
                    <w:jc w:val="center"/>
                    <w:rPr>
                      <w:b/>
                      <w:bCs/>
                      <w:color w:val="auto"/>
                      <w:sz w:val="18"/>
                      <w:szCs w:val="18"/>
                    </w:rPr>
                  </w:pPr>
                  <w:r>
                    <w:rPr>
                      <w:color w:val="auto"/>
                      <w:sz w:val="18"/>
                      <w:szCs w:val="18"/>
                    </w:rPr>
                    <w:t>Leq A（</w:t>
                  </w:r>
                  <w:r>
                    <w:rPr>
                      <w:rFonts w:hint="eastAsia"/>
                      <w:color w:val="auto"/>
                      <w:sz w:val="18"/>
                      <w:szCs w:val="18"/>
                      <w:lang w:val="en-US" w:eastAsia="zh-CN"/>
                    </w:rPr>
                    <w:t>5</w:t>
                  </w:r>
                  <w:r>
                    <w:rPr>
                      <w:color w:val="auto"/>
                      <w:sz w:val="18"/>
                      <w:szCs w:val="18"/>
                    </w:rPr>
                    <w:t>月</w:t>
                  </w:r>
                  <w:r>
                    <w:rPr>
                      <w:rFonts w:hint="eastAsia"/>
                      <w:color w:val="auto"/>
                      <w:sz w:val="18"/>
                      <w:szCs w:val="18"/>
                      <w:lang w:val="en-US" w:eastAsia="zh-CN"/>
                    </w:rPr>
                    <w:t>31</w:t>
                  </w:r>
                  <w:r>
                    <w:rPr>
                      <w:color w:val="auto"/>
                      <w:sz w:val="18"/>
                      <w:szCs w:val="18"/>
                    </w:rPr>
                    <w:t>日）</w:t>
                  </w:r>
                </w:p>
              </w:tc>
              <w:tc>
                <w:tcPr>
                  <w:tcW w:w="974" w:type="dxa"/>
                  <w:noWrap w:val="0"/>
                  <w:vAlign w:val="center"/>
                </w:tcPr>
                <w:p w14:paraId="559A0809">
                  <w:pPr>
                    <w:adjustRightInd w:val="0"/>
                    <w:snapToGrid w:val="0"/>
                    <w:jc w:val="center"/>
                    <w:rPr>
                      <w:b/>
                      <w:bCs/>
                      <w:color w:val="auto"/>
                      <w:sz w:val="18"/>
                      <w:szCs w:val="18"/>
                    </w:rPr>
                  </w:pPr>
                  <w:r>
                    <w:rPr>
                      <w:b/>
                      <w:bCs/>
                      <w:color w:val="auto"/>
                      <w:sz w:val="18"/>
                      <w:szCs w:val="18"/>
                    </w:rPr>
                    <w:t>评价标准</w:t>
                  </w:r>
                </w:p>
              </w:tc>
              <w:tc>
                <w:tcPr>
                  <w:tcW w:w="1295" w:type="dxa"/>
                  <w:noWrap w:val="0"/>
                  <w:vAlign w:val="center"/>
                </w:tcPr>
                <w:p w14:paraId="2AB5DFC6">
                  <w:pPr>
                    <w:adjustRightInd w:val="0"/>
                    <w:snapToGrid w:val="0"/>
                    <w:jc w:val="center"/>
                    <w:rPr>
                      <w:b/>
                      <w:bCs/>
                      <w:color w:val="auto"/>
                      <w:sz w:val="18"/>
                      <w:szCs w:val="18"/>
                    </w:rPr>
                  </w:pPr>
                  <w:r>
                    <w:rPr>
                      <w:b/>
                      <w:bCs/>
                      <w:color w:val="auto"/>
                      <w:sz w:val="18"/>
                      <w:szCs w:val="18"/>
                    </w:rPr>
                    <w:t>评价结果</w:t>
                  </w:r>
                </w:p>
              </w:tc>
            </w:tr>
            <w:tr w14:paraId="3BDC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restart"/>
                  <w:noWrap w:val="0"/>
                  <w:vAlign w:val="center"/>
                </w:tcPr>
                <w:p w14:paraId="4AFB09C3">
                  <w:pPr>
                    <w:adjustRightInd w:val="0"/>
                    <w:snapToGrid w:val="0"/>
                    <w:jc w:val="center"/>
                    <w:rPr>
                      <w:color w:val="auto"/>
                      <w:sz w:val="18"/>
                      <w:szCs w:val="18"/>
                    </w:rPr>
                  </w:pPr>
                  <w:r>
                    <w:rPr>
                      <w:color w:val="auto"/>
                      <w:sz w:val="18"/>
                      <w:szCs w:val="18"/>
                    </w:rPr>
                    <w:t>N1</w:t>
                  </w:r>
                </w:p>
              </w:tc>
              <w:tc>
                <w:tcPr>
                  <w:tcW w:w="992" w:type="dxa"/>
                  <w:noWrap w:val="0"/>
                  <w:vAlign w:val="center"/>
                </w:tcPr>
                <w:p w14:paraId="2990D12B">
                  <w:pPr>
                    <w:adjustRightInd w:val="0"/>
                    <w:snapToGrid w:val="0"/>
                    <w:jc w:val="center"/>
                    <w:rPr>
                      <w:color w:val="auto"/>
                      <w:sz w:val="18"/>
                      <w:szCs w:val="18"/>
                    </w:rPr>
                  </w:pPr>
                  <w:r>
                    <w:rPr>
                      <w:color w:val="auto"/>
                      <w:sz w:val="18"/>
                      <w:szCs w:val="18"/>
                    </w:rPr>
                    <w:t>昼间</w:t>
                  </w:r>
                </w:p>
              </w:tc>
              <w:tc>
                <w:tcPr>
                  <w:tcW w:w="1868" w:type="dxa"/>
                  <w:noWrap w:val="0"/>
                  <w:vAlign w:val="center"/>
                </w:tcPr>
                <w:p w14:paraId="5081301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54.4</w:t>
                  </w:r>
                </w:p>
              </w:tc>
              <w:tc>
                <w:tcPr>
                  <w:tcW w:w="1818" w:type="dxa"/>
                  <w:noWrap w:val="0"/>
                  <w:vAlign w:val="center"/>
                </w:tcPr>
                <w:p w14:paraId="6F069E0A">
                  <w:pPr>
                    <w:adjustRightInd w:val="0"/>
                    <w:snapToGrid w:val="0"/>
                    <w:jc w:val="center"/>
                    <w:rPr>
                      <w:rFonts w:hint="default" w:eastAsia="宋体"/>
                      <w:color w:val="auto"/>
                      <w:sz w:val="18"/>
                      <w:lang w:val="en-US" w:eastAsia="zh-CN"/>
                    </w:rPr>
                  </w:pPr>
                  <w:r>
                    <w:rPr>
                      <w:rFonts w:hint="eastAsia"/>
                      <w:color w:val="auto"/>
                      <w:sz w:val="18"/>
                      <w:lang w:val="en-US" w:eastAsia="zh-CN"/>
                    </w:rPr>
                    <w:t>57.9</w:t>
                  </w:r>
                </w:p>
              </w:tc>
              <w:tc>
                <w:tcPr>
                  <w:tcW w:w="974" w:type="dxa"/>
                  <w:noWrap w:val="0"/>
                  <w:vAlign w:val="center"/>
                </w:tcPr>
                <w:p w14:paraId="4CE557A3">
                  <w:pPr>
                    <w:adjustRightInd w:val="0"/>
                    <w:snapToGrid w:val="0"/>
                    <w:jc w:val="center"/>
                    <w:rPr>
                      <w:b/>
                      <w:bCs/>
                      <w:color w:val="auto"/>
                      <w:sz w:val="18"/>
                      <w:szCs w:val="18"/>
                    </w:rPr>
                  </w:pPr>
                  <w:r>
                    <w:rPr>
                      <w:b/>
                      <w:bCs/>
                      <w:color w:val="auto"/>
                      <w:sz w:val="18"/>
                      <w:szCs w:val="18"/>
                    </w:rPr>
                    <w:t>6</w:t>
                  </w:r>
                  <w:r>
                    <w:rPr>
                      <w:rFonts w:hint="eastAsia"/>
                      <w:b/>
                      <w:bCs/>
                      <w:color w:val="auto"/>
                      <w:sz w:val="18"/>
                      <w:szCs w:val="18"/>
                    </w:rPr>
                    <w:t>5</w:t>
                  </w:r>
                </w:p>
              </w:tc>
              <w:tc>
                <w:tcPr>
                  <w:tcW w:w="1295" w:type="dxa"/>
                  <w:noWrap w:val="0"/>
                  <w:vAlign w:val="center"/>
                </w:tcPr>
                <w:p w14:paraId="00758FB3">
                  <w:pPr>
                    <w:adjustRightInd w:val="0"/>
                    <w:snapToGrid w:val="0"/>
                    <w:jc w:val="center"/>
                    <w:rPr>
                      <w:b/>
                      <w:bCs/>
                      <w:color w:val="auto"/>
                      <w:sz w:val="18"/>
                      <w:szCs w:val="18"/>
                    </w:rPr>
                  </w:pPr>
                  <w:r>
                    <w:rPr>
                      <w:b/>
                      <w:bCs/>
                      <w:color w:val="auto"/>
                      <w:sz w:val="18"/>
                      <w:szCs w:val="18"/>
                    </w:rPr>
                    <w:t>达标</w:t>
                  </w:r>
                </w:p>
              </w:tc>
            </w:tr>
            <w:tr w14:paraId="5CD7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continue"/>
                  <w:noWrap w:val="0"/>
                  <w:vAlign w:val="center"/>
                </w:tcPr>
                <w:p w14:paraId="4A7C7582">
                  <w:pPr>
                    <w:adjustRightInd w:val="0"/>
                    <w:snapToGrid w:val="0"/>
                    <w:jc w:val="center"/>
                    <w:rPr>
                      <w:color w:val="auto"/>
                      <w:sz w:val="18"/>
                      <w:szCs w:val="18"/>
                    </w:rPr>
                  </w:pPr>
                </w:p>
              </w:tc>
              <w:tc>
                <w:tcPr>
                  <w:tcW w:w="992" w:type="dxa"/>
                  <w:noWrap w:val="0"/>
                  <w:vAlign w:val="center"/>
                </w:tcPr>
                <w:p w14:paraId="680B39C5">
                  <w:pPr>
                    <w:adjustRightInd w:val="0"/>
                    <w:snapToGrid w:val="0"/>
                    <w:jc w:val="center"/>
                    <w:rPr>
                      <w:color w:val="auto"/>
                      <w:sz w:val="18"/>
                      <w:szCs w:val="18"/>
                    </w:rPr>
                  </w:pPr>
                  <w:r>
                    <w:rPr>
                      <w:color w:val="auto"/>
                      <w:sz w:val="18"/>
                      <w:szCs w:val="18"/>
                    </w:rPr>
                    <w:t>夜间</w:t>
                  </w:r>
                </w:p>
              </w:tc>
              <w:tc>
                <w:tcPr>
                  <w:tcW w:w="1868" w:type="dxa"/>
                  <w:noWrap w:val="0"/>
                  <w:vAlign w:val="center"/>
                </w:tcPr>
                <w:p w14:paraId="0D83F5E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45.3</w:t>
                  </w:r>
                </w:p>
              </w:tc>
              <w:tc>
                <w:tcPr>
                  <w:tcW w:w="1818" w:type="dxa"/>
                  <w:noWrap w:val="0"/>
                  <w:vAlign w:val="center"/>
                </w:tcPr>
                <w:p w14:paraId="62D0A7FF">
                  <w:pPr>
                    <w:adjustRightInd w:val="0"/>
                    <w:snapToGrid w:val="0"/>
                    <w:jc w:val="center"/>
                    <w:rPr>
                      <w:rFonts w:hint="default" w:eastAsia="宋体"/>
                      <w:color w:val="auto"/>
                      <w:sz w:val="18"/>
                      <w:lang w:val="en-US" w:eastAsia="zh-CN"/>
                    </w:rPr>
                  </w:pPr>
                  <w:r>
                    <w:rPr>
                      <w:rFonts w:hint="eastAsia"/>
                      <w:color w:val="auto"/>
                      <w:sz w:val="18"/>
                      <w:lang w:val="en-US" w:eastAsia="zh-CN"/>
                    </w:rPr>
                    <w:t>45.5</w:t>
                  </w:r>
                </w:p>
              </w:tc>
              <w:tc>
                <w:tcPr>
                  <w:tcW w:w="974" w:type="dxa"/>
                  <w:noWrap w:val="0"/>
                  <w:vAlign w:val="center"/>
                </w:tcPr>
                <w:p w14:paraId="7C2D80CE">
                  <w:pPr>
                    <w:adjustRightInd w:val="0"/>
                    <w:snapToGrid w:val="0"/>
                    <w:jc w:val="center"/>
                    <w:rPr>
                      <w:b/>
                      <w:bCs/>
                      <w:color w:val="auto"/>
                      <w:sz w:val="18"/>
                      <w:szCs w:val="18"/>
                    </w:rPr>
                  </w:pPr>
                  <w:r>
                    <w:rPr>
                      <w:b/>
                      <w:bCs/>
                      <w:color w:val="auto"/>
                      <w:sz w:val="18"/>
                      <w:szCs w:val="18"/>
                    </w:rPr>
                    <w:t>5</w:t>
                  </w:r>
                  <w:r>
                    <w:rPr>
                      <w:rFonts w:hint="eastAsia"/>
                      <w:b/>
                      <w:bCs/>
                      <w:color w:val="auto"/>
                      <w:sz w:val="18"/>
                      <w:szCs w:val="18"/>
                    </w:rPr>
                    <w:t>5</w:t>
                  </w:r>
                </w:p>
              </w:tc>
              <w:tc>
                <w:tcPr>
                  <w:tcW w:w="1295" w:type="dxa"/>
                  <w:noWrap w:val="0"/>
                  <w:vAlign w:val="center"/>
                </w:tcPr>
                <w:p w14:paraId="44986D39">
                  <w:pPr>
                    <w:adjustRightInd w:val="0"/>
                    <w:snapToGrid w:val="0"/>
                    <w:jc w:val="center"/>
                    <w:rPr>
                      <w:b/>
                      <w:bCs/>
                      <w:color w:val="auto"/>
                      <w:sz w:val="18"/>
                      <w:szCs w:val="18"/>
                    </w:rPr>
                  </w:pPr>
                  <w:r>
                    <w:rPr>
                      <w:b/>
                      <w:bCs/>
                      <w:color w:val="auto"/>
                      <w:sz w:val="18"/>
                      <w:szCs w:val="18"/>
                    </w:rPr>
                    <w:t>达标</w:t>
                  </w:r>
                </w:p>
              </w:tc>
            </w:tr>
            <w:tr w14:paraId="2B77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restart"/>
                  <w:noWrap w:val="0"/>
                  <w:vAlign w:val="center"/>
                </w:tcPr>
                <w:p w14:paraId="39EA1F55">
                  <w:pPr>
                    <w:adjustRightInd w:val="0"/>
                    <w:snapToGrid w:val="0"/>
                    <w:jc w:val="center"/>
                    <w:rPr>
                      <w:color w:val="auto"/>
                      <w:sz w:val="18"/>
                      <w:szCs w:val="18"/>
                    </w:rPr>
                  </w:pPr>
                  <w:r>
                    <w:rPr>
                      <w:color w:val="auto"/>
                      <w:sz w:val="18"/>
                      <w:szCs w:val="18"/>
                    </w:rPr>
                    <w:t>N2</w:t>
                  </w:r>
                </w:p>
              </w:tc>
              <w:tc>
                <w:tcPr>
                  <w:tcW w:w="992" w:type="dxa"/>
                  <w:noWrap w:val="0"/>
                  <w:vAlign w:val="center"/>
                </w:tcPr>
                <w:p w14:paraId="427209CC">
                  <w:pPr>
                    <w:adjustRightInd w:val="0"/>
                    <w:snapToGrid w:val="0"/>
                    <w:jc w:val="center"/>
                    <w:rPr>
                      <w:color w:val="auto"/>
                      <w:sz w:val="18"/>
                      <w:szCs w:val="18"/>
                    </w:rPr>
                  </w:pPr>
                  <w:r>
                    <w:rPr>
                      <w:color w:val="auto"/>
                      <w:sz w:val="18"/>
                      <w:szCs w:val="18"/>
                    </w:rPr>
                    <w:t>昼间</w:t>
                  </w:r>
                </w:p>
              </w:tc>
              <w:tc>
                <w:tcPr>
                  <w:tcW w:w="1868" w:type="dxa"/>
                  <w:noWrap w:val="0"/>
                  <w:vAlign w:val="center"/>
                </w:tcPr>
                <w:p w14:paraId="2102FC3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55.0</w:t>
                  </w:r>
                </w:p>
              </w:tc>
              <w:tc>
                <w:tcPr>
                  <w:tcW w:w="1818" w:type="dxa"/>
                  <w:noWrap w:val="0"/>
                  <w:vAlign w:val="center"/>
                </w:tcPr>
                <w:p w14:paraId="3AF82EE7">
                  <w:pPr>
                    <w:adjustRightInd w:val="0"/>
                    <w:snapToGrid w:val="0"/>
                    <w:jc w:val="center"/>
                    <w:rPr>
                      <w:rFonts w:hint="default" w:eastAsia="宋体"/>
                      <w:color w:val="auto"/>
                      <w:sz w:val="18"/>
                      <w:lang w:val="en-US" w:eastAsia="zh-CN"/>
                    </w:rPr>
                  </w:pPr>
                  <w:r>
                    <w:rPr>
                      <w:rFonts w:hint="eastAsia"/>
                      <w:color w:val="auto"/>
                      <w:sz w:val="18"/>
                      <w:lang w:val="en-US" w:eastAsia="zh-CN"/>
                    </w:rPr>
                    <w:t>51.0</w:t>
                  </w:r>
                </w:p>
              </w:tc>
              <w:tc>
                <w:tcPr>
                  <w:tcW w:w="974" w:type="dxa"/>
                  <w:noWrap w:val="0"/>
                  <w:vAlign w:val="center"/>
                </w:tcPr>
                <w:p w14:paraId="3B556BCF">
                  <w:pPr>
                    <w:adjustRightInd w:val="0"/>
                    <w:snapToGrid w:val="0"/>
                    <w:jc w:val="center"/>
                    <w:rPr>
                      <w:b/>
                      <w:bCs/>
                      <w:color w:val="auto"/>
                      <w:sz w:val="18"/>
                      <w:szCs w:val="18"/>
                    </w:rPr>
                  </w:pPr>
                  <w:r>
                    <w:rPr>
                      <w:b/>
                      <w:bCs/>
                      <w:color w:val="auto"/>
                      <w:sz w:val="18"/>
                      <w:szCs w:val="18"/>
                    </w:rPr>
                    <w:t>6</w:t>
                  </w:r>
                  <w:r>
                    <w:rPr>
                      <w:rFonts w:hint="eastAsia"/>
                      <w:b/>
                      <w:bCs/>
                      <w:color w:val="auto"/>
                      <w:sz w:val="18"/>
                      <w:szCs w:val="18"/>
                    </w:rPr>
                    <w:t>5</w:t>
                  </w:r>
                </w:p>
              </w:tc>
              <w:tc>
                <w:tcPr>
                  <w:tcW w:w="1295" w:type="dxa"/>
                  <w:noWrap w:val="0"/>
                  <w:vAlign w:val="center"/>
                </w:tcPr>
                <w:p w14:paraId="464F1EF9">
                  <w:pPr>
                    <w:adjustRightInd w:val="0"/>
                    <w:snapToGrid w:val="0"/>
                    <w:jc w:val="center"/>
                    <w:rPr>
                      <w:b/>
                      <w:bCs/>
                      <w:color w:val="auto"/>
                      <w:sz w:val="18"/>
                      <w:szCs w:val="18"/>
                    </w:rPr>
                  </w:pPr>
                  <w:r>
                    <w:rPr>
                      <w:b/>
                      <w:bCs/>
                      <w:color w:val="auto"/>
                      <w:sz w:val="18"/>
                      <w:szCs w:val="18"/>
                    </w:rPr>
                    <w:t>达标</w:t>
                  </w:r>
                </w:p>
              </w:tc>
            </w:tr>
            <w:tr w14:paraId="5C67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continue"/>
                  <w:noWrap w:val="0"/>
                  <w:vAlign w:val="center"/>
                </w:tcPr>
                <w:p w14:paraId="795D859D">
                  <w:pPr>
                    <w:adjustRightInd w:val="0"/>
                    <w:snapToGrid w:val="0"/>
                    <w:jc w:val="center"/>
                    <w:rPr>
                      <w:color w:val="auto"/>
                      <w:sz w:val="18"/>
                      <w:szCs w:val="18"/>
                    </w:rPr>
                  </w:pPr>
                </w:p>
              </w:tc>
              <w:tc>
                <w:tcPr>
                  <w:tcW w:w="992" w:type="dxa"/>
                  <w:noWrap w:val="0"/>
                  <w:vAlign w:val="center"/>
                </w:tcPr>
                <w:p w14:paraId="2AF152F3">
                  <w:pPr>
                    <w:adjustRightInd w:val="0"/>
                    <w:snapToGrid w:val="0"/>
                    <w:jc w:val="center"/>
                    <w:rPr>
                      <w:color w:val="auto"/>
                      <w:sz w:val="18"/>
                      <w:szCs w:val="18"/>
                    </w:rPr>
                  </w:pPr>
                  <w:r>
                    <w:rPr>
                      <w:color w:val="auto"/>
                      <w:sz w:val="18"/>
                      <w:szCs w:val="18"/>
                    </w:rPr>
                    <w:t>夜间</w:t>
                  </w:r>
                </w:p>
              </w:tc>
              <w:tc>
                <w:tcPr>
                  <w:tcW w:w="1868" w:type="dxa"/>
                  <w:noWrap w:val="0"/>
                  <w:vAlign w:val="center"/>
                </w:tcPr>
                <w:p w14:paraId="2011DC6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43.2</w:t>
                  </w:r>
                </w:p>
              </w:tc>
              <w:tc>
                <w:tcPr>
                  <w:tcW w:w="1818" w:type="dxa"/>
                  <w:noWrap w:val="0"/>
                  <w:vAlign w:val="center"/>
                </w:tcPr>
                <w:p w14:paraId="1ADE8C14">
                  <w:pPr>
                    <w:adjustRightInd w:val="0"/>
                    <w:snapToGrid w:val="0"/>
                    <w:jc w:val="center"/>
                    <w:rPr>
                      <w:rFonts w:hint="default" w:eastAsia="宋体"/>
                      <w:color w:val="auto"/>
                      <w:sz w:val="18"/>
                      <w:lang w:val="en-US" w:eastAsia="zh-CN"/>
                    </w:rPr>
                  </w:pPr>
                  <w:r>
                    <w:rPr>
                      <w:rFonts w:hint="eastAsia"/>
                      <w:color w:val="auto"/>
                      <w:sz w:val="18"/>
                      <w:lang w:val="en-US" w:eastAsia="zh-CN"/>
                    </w:rPr>
                    <w:t>46.3</w:t>
                  </w:r>
                </w:p>
              </w:tc>
              <w:tc>
                <w:tcPr>
                  <w:tcW w:w="974" w:type="dxa"/>
                  <w:noWrap w:val="0"/>
                  <w:vAlign w:val="center"/>
                </w:tcPr>
                <w:p w14:paraId="1C646919">
                  <w:pPr>
                    <w:adjustRightInd w:val="0"/>
                    <w:snapToGrid w:val="0"/>
                    <w:jc w:val="center"/>
                    <w:rPr>
                      <w:b/>
                      <w:bCs/>
                      <w:color w:val="auto"/>
                      <w:sz w:val="18"/>
                      <w:szCs w:val="18"/>
                    </w:rPr>
                  </w:pPr>
                  <w:r>
                    <w:rPr>
                      <w:b/>
                      <w:bCs/>
                      <w:color w:val="auto"/>
                      <w:sz w:val="18"/>
                      <w:szCs w:val="18"/>
                    </w:rPr>
                    <w:t>5</w:t>
                  </w:r>
                  <w:r>
                    <w:rPr>
                      <w:rFonts w:hint="eastAsia"/>
                      <w:b/>
                      <w:bCs/>
                      <w:color w:val="auto"/>
                      <w:sz w:val="18"/>
                      <w:szCs w:val="18"/>
                    </w:rPr>
                    <w:t>5</w:t>
                  </w:r>
                </w:p>
              </w:tc>
              <w:tc>
                <w:tcPr>
                  <w:tcW w:w="1295" w:type="dxa"/>
                  <w:noWrap w:val="0"/>
                  <w:vAlign w:val="center"/>
                </w:tcPr>
                <w:p w14:paraId="222FA863">
                  <w:pPr>
                    <w:adjustRightInd w:val="0"/>
                    <w:snapToGrid w:val="0"/>
                    <w:jc w:val="center"/>
                    <w:rPr>
                      <w:b/>
                      <w:bCs/>
                      <w:color w:val="auto"/>
                      <w:sz w:val="18"/>
                      <w:szCs w:val="18"/>
                    </w:rPr>
                  </w:pPr>
                  <w:r>
                    <w:rPr>
                      <w:b/>
                      <w:bCs/>
                      <w:color w:val="auto"/>
                      <w:sz w:val="18"/>
                      <w:szCs w:val="18"/>
                    </w:rPr>
                    <w:t>达标</w:t>
                  </w:r>
                </w:p>
              </w:tc>
            </w:tr>
            <w:tr w14:paraId="3199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restart"/>
                  <w:noWrap w:val="0"/>
                  <w:vAlign w:val="center"/>
                </w:tcPr>
                <w:p w14:paraId="732DA8A3">
                  <w:pPr>
                    <w:adjustRightInd w:val="0"/>
                    <w:snapToGrid w:val="0"/>
                    <w:jc w:val="center"/>
                    <w:rPr>
                      <w:color w:val="auto"/>
                      <w:sz w:val="18"/>
                      <w:szCs w:val="18"/>
                    </w:rPr>
                  </w:pPr>
                  <w:r>
                    <w:rPr>
                      <w:color w:val="auto"/>
                      <w:sz w:val="18"/>
                      <w:szCs w:val="18"/>
                    </w:rPr>
                    <w:t>N3</w:t>
                  </w:r>
                </w:p>
              </w:tc>
              <w:tc>
                <w:tcPr>
                  <w:tcW w:w="992" w:type="dxa"/>
                  <w:noWrap w:val="0"/>
                  <w:vAlign w:val="center"/>
                </w:tcPr>
                <w:p w14:paraId="4051D32E">
                  <w:pPr>
                    <w:adjustRightInd w:val="0"/>
                    <w:snapToGrid w:val="0"/>
                    <w:jc w:val="center"/>
                    <w:rPr>
                      <w:color w:val="auto"/>
                      <w:sz w:val="18"/>
                      <w:szCs w:val="18"/>
                    </w:rPr>
                  </w:pPr>
                  <w:r>
                    <w:rPr>
                      <w:color w:val="auto"/>
                      <w:sz w:val="18"/>
                      <w:szCs w:val="18"/>
                    </w:rPr>
                    <w:t>昼间</w:t>
                  </w:r>
                </w:p>
              </w:tc>
              <w:tc>
                <w:tcPr>
                  <w:tcW w:w="1868" w:type="dxa"/>
                  <w:noWrap w:val="0"/>
                  <w:vAlign w:val="center"/>
                </w:tcPr>
                <w:p w14:paraId="21F8266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53.6</w:t>
                  </w:r>
                </w:p>
              </w:tc>
              <w:tc>
                <w:tcPr>
                  <w:tcW w:w="1818" w:type="dxa"/>
                  <w:noWrap w:val="0"/>
                  <w:vAlign w:val="center"/>
                </w:tcPr>
                <w:p w14:paraId="5189CF37">
                  <w:pPr>
                    <w:adjustRightInd w:val="0"/>
                    <w:snapToGrid w:val="0"/>
                    <w:jc w:val="center"/>
                    <w:rPr>
                      <w:rFonts w:hint="default" w:eastAsia="宋体"/>
                      <w:color w:val="auto"/>
                      <w:sz w:val="18"/>
                      <w:lang w:val="en-US" w:eastAsia="zh-CN"/>
                    </w:rPr>
                  </w:pPr>
                  <w:r>
                    <w:rPr>
                      <w:rFonts w:hint="eastAsia"/>
                      <w:color w:val="auto"/>
                      <w:sz w:val="18"/>
                      <w:lang w:val="en-US" w:eastAsia="zh-CN"/>
                    </w:rPr>
                    <w:t>52.6</w:t>
                  </w:r>
                </w:p>
              </w:tc>
              <w:tc>
                <w:tcPr>
                  <w:tcW w:w="974" w:type="dxa"/>
                  <w:noWrap w:val="0"/>
                  <w:vAlign w:val="center"/>
                </w:tcPr>
                <w:p w14:paraId="57622C2C">
                  <w:pPr>
                    <w:adjustRightInd w:val="0"/>
                    <w:snapToGrid w:val="0"/>
                    <w:jc w:val="center"/>
                    <w:rPr>
                      <w:b/>
                      <w:bCs/>
                      <w:color w:val="auto"/>
                      <w:sz w:val="18"/>
                      <w:szCs w:val="18"/>
                    </w:rPr>
                  </w:pPr>
                  <w:r>
                    <w:rPr>
                      <w:b/>
                      <w:bCs/>
                      <w:color w:val="auto"/>
                      <w:sz w:val="18"/>
                      <w:szCs w:val="18"/>
                    </w:rPr>
                    <w:t>6</w:t>
                  </w:r>
                  <w:r>
                    <w:rPr>
                      <w:rFonts w:hint="eastAsia"/>
                      <w:b/>
                      <w:bCs/>
                      <w:color w:val="auto"/>
                      <w:sz w:val="18"/>
                      <w:szCs w:val="18"/>
                    </w:rPr>
                    <w:t>5</w:t>
                  </w:r>
                </w:p>
              </w:tc>
              <w:tc>
                <w:tcPr>
                  <w:tcW w:w="1295" w:type="dxa"/>
                  <w:noWrap w:val="0"/>
                  <w:vAlign w:val="center"/>
                </w:tcPr>
                <w:p w14:paraId="7B2282C4">
                  <w:pPr>
                    <w:adjustRightInd w:val="0"/>
                    <w:snapToGrid w:val="0"/>
                    <w:jc w:val="center"/>
                    <w:rPr>
                      <w:b/>
                      <w:bCs/>
                      <w:color w:val="auto"/>
                      <w:sz w:val="18"/>
                      <w:szCs w:val="18"/>
                    </w:rPr>
                  </w:pPr>
                  <w:r>
                    <w:rPr>
                      <w:b/>
                      <w:bCs/>
                      <w:color w:val="auto"/>
                      <w:sz w:val="18"/>
                      <w:szCs w:val="18"/>
                    </w:rPr>
                    <w:t>达标</w:t>
                  </w:r>
                </w:p>
              </w:tc>
            </w:tr>
            <w:tr w14:paraId="7A16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continue"/>
                  <w:noWrap w:val="0"/>
                  <w:vAlign w:val="center"/>
                </w:tcPr>
                <w:p w14:paraId="33EEEF6C">
                  <w:pPr>
                    <w:adjustRightInd w:val="0"/>
                    <w:snapToGrid w:val="0"/>
                    <w:jc w:val="center"/>
                    <w:rPr>
                      <w:color w:val="auto"/>
                      <w:sz w:val="18"/>
                      <w:szCs w:val="18"/>
                    </w:rPr>
                  </w:pPr>
                </w:p>
              </w:tc>
              <w:tc>
                <w:tcPr>
                  <w:tcW w:w="992" w:type="dxa"/>
                  <w:noWrap w:val="0"/>
                  <w:vAlign w:val="center"/>
                </w:tcPr>
                <w:p w14:paraId="5DC0ED38">
                  <w:pPr>
                    <w:adjustRightInd w:val="0"/>
                    <w:snapToGrid w:val="0"/>
                    <w:jc w:val="center"/>
                    <w:rPr>
                      <w:color w:val="auto"/>
                      <w:sz w:val="18"/>
                      <w:szCs w:val="18"/>
                    </w:rPr>
                  </w:pPr>
                  <w:r>
                    <w:rPr>
                      <w:color w:val="auto"/>
                      <w:sz w:val="18"/>
                      <w:szCs w:val="18"/>
                    </w:rPr>
                    <w:t>夜间</w:t>
                  </w:r>
                </w:p>
              </w:tc>
              <w:tc>
                <w:tcPr>
                  <w:tcW w:w="1868" w:type="dxa"/>
                  <w:noWrap w:val="0"/>
                  <w:vAlign w:val="center"/>
                </w:tcPr>
                <w:p w14:paraId="51C4197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43.3</w:t>
                  </w:r>
                </w:p>
              </w:tc>
              <w:tc>
                <w:tcPr>
                  <w:tcW w:w="1818" w:type="dxa"/>
                  <w:noWrap w:val="0"/>
                  <w:vAlign w:val="center"/>
                </w:tcPr>
                <w:p w14:paraId="18CDC4AB">
                  <w:pPr>
                    <w:adjustRightInd w:val="0"/>
                    <w:snapToGrid w:val="0"/>
                    <w:jc w:val="center"/>
                    <w:rPr>
                      <w:rFonts w:hint="default" w:eastAsia="宋体"/>
                      <w:color w:val="auto"/>
                      <w:sz w:val="18"/>
                      <w:lang w:val="en-US" w:eastAsia="zh-CN"/>
                    </w:rPr>
                  </w:pPr>
                  <w:r>
                    <w:rPr>
                      <w:rFonts w:hint="eastAsia"/>
                      <w:color w:val="auto"/>
                      <w:sz w:val="18"/>
                      <w:lang w:val="en-US" w:eastAsia="zh-CN"/>
                    </w:rPr>
                    <w:t>45.7</w:t>
                  </w:r>
                </w:p>
              </w:tc>
              <w:tc>
                <w:tcPr>
                  <w:tcW w:w="974" w:type="dxa"/>
                  <w:noWrap w:val="0"/>
                  <w:vAlign w:val="center"/>
                </w:tcPr>
                <w:p w14:paraId="054089AE">
                  <w:pPr>
                    <w:adjustRightInd w:val="0"/>
                    <w:snapToGrid w:val="0"/>
                    <w:jc w:val="center"/>
                    <w:rPr>
                      <w:b/>
                      <w:bCs/>
                      <w:color w:val="auto"/>
                      <w:sz w:val="18"/>
                      <w:szCs w:val="18"/>
                    </w:rPr>
                  </w:pPr>
                  <w:r>
                    <w:rPr>
                      <w:b/>
                      <w:bCs/>
                      <w:color w:val="auto"/>
                      <w:sz w:val="18"/>
                      <w:szCs w:val="18"/>
                    </w:rPr>
                    <w:t>5</w:t>
                  </w:r>
                  <w:r>
                    <w:rPr>
                      <w:rFonts w:hint="eastAsia"/>
                      <w:b/>
                      <w:bCs/>
                      <w:color w:val="auto"/>
                      <w:sz w:val="18"/>
                      <w:szCs w:val="18"/>
                    </w:rPr>
                    <w:t>5</w:t>
                  </w:r>
                </w:p>
              </w:tc>
              <w:tc>
                <w:tcPr>
                  <w:tcW w:w="1295" w:type="dxa"/>
                  <w:noWrap w:val="0"/>
                  <w:vAlign w:val="center"/>
                </w:tcPr>
                <w:p w14:paraId="33240C48">
                  <w:pPr>
                    <w:adjustRightInd w:val="0"/>
                    <w:snapToGrid w:val="0"/>
                    <w:jc w:val="center"/>
                    <w:rPr>
                      <w:b/>
                      <w:bCs/>
                      <w:color w:val="auto"/>
                      <w:sz w:val="18"/>
                      <w:szCs w:val="18"/>
                    </w:rPr>
                  </w:pPr>
                  <w:r>
                    <w:rPr>
                      <w:b/>
                      <w:bCs/>
                      <w:color w:val="auto"/>
                      <w:sz w:val="18"/>
                      <w:szCs w:val="18"/>
                    </w:rPr>
                    <w:t>达标</w:t>
                  </w:r>
                </w:p>
              </w:tc>
            </w:tr>
            <w:tr w14:paraId="4FA4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restart"/>
                  <w:noWrap w:val="0"/>
                  <w:vAlign w:val="center"/>
                </w:tcPr>
                <w:p w14:paraId="1818F965">
                  <w:pPr>
                    <w:adjustRightInd w:val="0"/>
                    <w:snapToGrid w:val="0"/>
                    <w:jc w:val="center"/>
                    <w:rPr>
                      <w:color w:val="auto"/>
                      <w:sz w:val="18"/>
                      <w:szCs w:val="18"/>
                    </w:rPr>
                  </w:pPr>
                  <w:r>
                    <w:rPr>
                      <w:color w:val="auto"/>
                      <w:sz w:val="18"/>
                      <w:szCs w:val="18"/>
                    </w:rPr>
                    <w:t>N4</w:t>
                  </w:r>
                </w:p>
              </w:tc>
              <w:tc>
                <w:tcPr>
                  <w:tcW w:w="992" w:type="dxa"/>
                  <w:noWrap w:val="0"/>
                  <w:vAlign w:val="center"/>
                </w:tcPr>
                <w:p w14:paraId="6337C175">
                  <w:pPr>
                    <w:adjustRightInd w:val="0"/>
                    <w:snapToGrid w:val="0"/>
                    <w:jc w:val="center"/>
                    <w:rPr>
                      <w:color w:val="auto"/>
                      <w:sz w:val="18"/>
                      <w:szCs w:val="18"/>
                    </w:rPr>
                  </w:pPr>
                  <w:r>
                    <w:rPr>
                      <w:color w:val="auto"/>
                      <w:sz w:val="18"/>
                      <w:szCs w:val="18"/>
                    </w:rPr>
                    <w:t>昼间</w:t>
                  </w:r>
                </w:p>
              </w:tc>
              <w:tc>
                <w:tcPr>
                  <w:tcW w:w="1868" w:type="dxa"/>
                  <w:noWrap w:val="0"/>
                  <w:vAlign w:val="center"/>
                </w:tcPr>
                <w:p w14:paraId="415D632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54.3</w:t>
                  </w:r>
                </w:p>
              </w:tc>
              <w:tc>
                <w:tcPr>
                  <w:tcW w:w="1818" w:type="dxa"/>
                  <w:noWrap w:val="0"/>
                  <w:vAlign w:val="center"/>
                </w:tcPr>
                <w:p w14:paraId="3E708D68">
                  <w:pPr>
                    <w:adjustRightInd w:val="0"/>
                    <w:snapToGrid w:val="0"/>
                    <w:jc w:val="center"/>
                    <w:rPr>
                      <w:rFonts w:hint="default" w:eastAsia="宋体"/>
                      <w:color w:val="auto"/>
                      <w:sz w:val="18"/>
                      <w:lang w:val="en-US" w:eastAsia="zh-CN"/>
                    </w:rPr>
                  </w:pPr>
                  <w:r>
                    <w:rPr>
                      <w:rFonts w:hint="eastAsia"/>
                      <w:color w:val="auto"/>
                      <w:sz w:val="18"/>
                      <w:lang w:val="en-US" w:eastAsia="zh-CN"/>
                    </w:rPr>
                    <w:t>54.5</w:t>
                  </w:r>
                </w:p>
              </w:tc>
              <w:tc>
                <w:tcPr>
                  <w:tcW w:w="974" w:type="dxa"/>
                  <w:noWrap w:val="0"/>
                  <w:vAlign w:val="center"/>
                </w:tcPr>
                <w:p w14:paraId="0FA73C0B">
                  <w:pPr>
                    <w:adjustRightInd w:val="0"/>
                    <w:snapToGrid w:val="0"/>
                    <w:jc w:val="center"/>
                    <w:rPr>
                      <w:b/>
                      <w:bCs/>
                      <w:color w:val="auto"/>
                      <w:sz w:val="18"/>
                      <w:szCs w:val="18"/>
                    </w:rPr>
                  </w:pPr>
                  <w:r>
                    <w:rPr>
                      <w:b/>
                      <w:bCs/>
                      <w:color w:val="auto"/>
                      <w:sz w:val="18"/>
                      <w:szCs w:val="18"/>
                    </w:rPr>
                    <w:t>6</w:t>
                  </w:r>
                  <w:r>
                    <w:rPr>
                      <w:rFonts w:hint="eastAsia"/>
                      <w:b/>
                      <w:bCs/>
                      <w:color w:val="auto"/>
                      <w:sz w:val="18"/>
                      <w:szCs w:val="18"/>
                    </w:rPr>
                    <w:t>5</w:t>
                  </w:r>
                </w:p>
              </w:tc>
              <w:tc>
                <w:tcPr>
                  <w:tcW w:w="1295" w:type="dxa"/>
                  <w:noWrap w:val="0"/>
                  <w:vAlign w:val="center"/>
                </w:tcPr>
                <w:p w14:paraId="43FCB19F">
                  <w:pPr>
                    <w:adjustRightInd w:val="0"/>
                    <w:snapToGrid w:val="0"/>
                    <w:jc w:val="center"/>
                    <w:rPr>
                      <w:b/>
                      <w:bCs/>
                      <w:color w:val="auto"/>
                      <w:sz w:val="18"/>
                      <w:szCs w:val="18"/>
                    </w:rPr>
                  </w:pPr>
                  <w:r>
                    <w:rPr>
                      <w:b/>
                      <w:bCs/>
                      <w:color w:val="auto"/>
                      <w:sz w:val="18"/>
                      <w:szCs w:val="18"/>
                    </w:rPr>
                    <w:t>达标</w:t>
                  </w:r>
                </w:p>
              </w:tc>
            </w:tr>
            <w:tr w14:paraId="0E87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88" w:type="dxa"/>
                  <w:vMerge w:val="continue"/>
                  <w:noWrap w:val="0"/>
                  <w:vAlign w:val="center"/>
                </w:tcPr>
                <w:p w14:paraId="7D862EEF">
                  <w:pPr>
                    <w:adjustRightInd w:val="0"/>
                    <w:snapToGrid w:val="0"/>
                    <w:jc w:val="center"/>
                    <w:rPr>
                      <w:color w:val="auto"/>
                      <w:sz w:val="18"/>
                      <w:szCs w:val="18"/>
                    </w:rPr>
                  </w:pPr>
                </w:p>
              </w:tc>
              <w:tc>
                <w:tcPr>
                  <w:tcW w:w="992" w:type="dxa"/>
                  <w:noWrap w:val="0"/>
                  <w:vAlign w:val="center"/>
                </w:tcPr>
                <w:p w14:paraId="2AB37650">
                  <w:pPr>
                    <w:adjustRightInd w:val="0"/>
                    <w:snapToGrid w:val="0"/>
                    <w:jc w:val="center"/>
                    <w:rPr>
                      <w:color w:val="auto"/>
                      <w:sz w:val="18"/>
                      <w:szCs w:val="18"/>
                    </w:rPr>
                  </w:pPr>
                  <w:r>
                    <w:rPr>
                      <w:color w:val="auto"/>
                      <w:sz w:val="18"/>
                      <w:szCs w:val="18"/>
                    </w:rPr>
                    <w:t>夜间</w:t>
                  </w:r>
                </w:p>
              </w:tc>
              <w:tc>
                <w:tcPr>
                  <w:tcW w:w="1868" w:type="dxa"/>
                  <w:noWrap w:val="0"/>
                  <w:vAlign w:val="center"/>
                </w:tcPr>
                <w:p w14:paraId="7D0591D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45.0</w:t>
                  </w:r>
                </w:p>
              </w:tc>
              <w:tc>
                <w:tcPr>
                  <w:tcW w:w="1818" w:type="dxa"/>
                  <w:noWrap w:val="0"/>
                  <w:vAlign w:val="center"/>
                </w:tcPr>
                <w:p w14:paraId="5B64C285">
                  <w:pPr>
                    <w:adjustRightInd w:val="0"/>
                    <w:snapToGrid w:val="0"/>
                    <w:jc w:val="center"/>
                    <w:rPr>
                      <w:rFonts w:hint="default" w:eastAsia="宋体"/>
                      <w:color w:val="auto"/>
                      <w:sz w:val="18"/>
                      <w:lang w:val="en-US" w:eastAsia="zh-CN"/>
                    </w:rPr>
                  </w:pPr>
                  <w:r>
                    <w:rPr>
                      <w:rFonts w:hint="eastAsia"/>
                      <w:color w:val="auto"/>
                      <w:sz w:val="18"/>
                      <w:lang w:val="en-US" w:eastAsia="zh-CN"/>
                    </w:rPr>
                    <w:t>44.8</w:t>
                  </w:r>
                </w:p>
              </w:tc>
              <w:tc>
                <w:tcPr>
                  <w:tcW w:w="974" w:type="dxa"/>
                  <w:noWrap w:val="0"/>
                  <w:vAlign w:val="center"/>
                </w:tcPr>
                <w:p w14:paraId="4C113A7E">
                  <w:pPr>
                    <w:adjustRightInd w:val="0"/>
                    <w:snapToGrid w:val="0"/>
                    <w:jc w:val="center"/>
                    <w:rPr>
                      <w:b/>
                      <w:bCs/>
                      <w:color w:val="auto"/>
                      <w:sz w:val="18"/>
                      <w:szCs w:val="18"/>
                    </w:rPr>
                  </w:pPr>
                  <w:r>
                    <w:rPr>
                      <w:b/>
                      <w:bCs/>
                      <w:color w:val="auto"/>
                      <w:sz w:val="18"/>
                      <w:szCs w:val="18"/>
                    </w:rPr>
                    <w:t>5</w:t>
                  </w:r>
                  <w:r>
                    <w:rPr>
                      <w:rFonts w:hint="eastAsia"/>
                      <w:b/>
                      <w:bCs/>
                      <w:color w:val="auto"/>
                      <w:sz w:val="18"/>
                      <w:szCs w:val="18"/>
                    </w:rPr>
                    <w:t>5</w:t>
                  </w:r>
                </w:p>
              </w:tc>
              <w:tc>
                <w:tcPr>
                  <w:tcW w:w="1295" w:type="dxa"/>
                  <w:noWrap w:val="0"/>
                  <w:vAlign w:val="center"/>
                </w:tcPr>
                <w:p w14:paraId="0A3EFFC0">
                  <w:pPr>
                    <w:adjustRightInd w:val="0"/>
                    <w:snapToGrid w:val="0"/>
                    <w:jc w:val="center"/>
                    <w:rPr>
                      <w:b/>
                      <w:bCs/>
                      <w:color w:val="auto"/>
                      <w:sz w:val="18"/>
                      <w:szCs w:val="18"/>
                    </w:rPr>
                  </w:pPr>
                  <w:r>
                    <w:rPr>
                      <w:b/>
                      <w:bCs/>
                      <w:color w:val="auto"/>
                      <w:sz w:val="18"/>
                      <w:szCs w:val="18"/>
                    </w:rPr>
                    <w:t>达标</w:t>
                  </w:r>
                </w:p>
              </w:tc>
            </w:tr>
          </w:tbl>
          <w:p w14:paraId="395D77F0">
            <w:pPr>
              <w:pStyle w:val="84"/>
              <w:rPr>
                <w:color w:val="auto"/>
                <w:lang w:val="en-US" w:eastAsia="zh-CN"/>
              </w:rPr>
            </w:pPr>
            <w:r>
              <w:rPr>
                <w:color w:val="auto"/>
                <w:lang w:val="en-US" w:eastAsia="zh-CN"/>
              </w:rPr>
              <w:t>根据监测结果分析，该项目两日厂界四周界外昼间噪声</w:t>
            </w:r>
            <w:bookmarkStart w:id="10" w:name="OLE_LINK11"/>
            <w:r>
              <w:rPr>
                <w:color w:val="auto"/>
                <w:lang w:val="en-US" w:eastAsia="zh-CN"/>
              </w:rPr>
              <w:t>监测结果为5</w:t>
            </w:r>
            <w:r>
              <w:rPr>
                <w:rFonts w:hint="eastAsia"/>
                <w:color w:val="auto"/>
                <w:lang w:val="en-US" w:eastAsia="zh-CN"/>
              </w:rPr>
              <w:t>1.0</w:t>
            </w:r>
            <w:r>
              <w:rPr>
                <w:color w:val="auto"/>
                <w:lang w:val="en-US" w:eastAsia="zh-CN"/>
              </w:rPr>
              <w:t>～5</w:t>
            </w:r>
            <w:r>
              <w:rPr>
                <w:rFonts w:hint="eastAsia"/>
                <w:color w:val="auto"/>
                <w:lang w:val="en-US" w:eastAsia="zh-CN"/>
              </w:rPr>
              <w:t>7.9</w:t>
            </w:r>
            <w:r>
              <w:rPr>
                <w:color w:val="auto"/>
                <w:lang w:val="en-US" w:eastAsia="zh-CN"/>
              </w:rPr>
              <w:t>dB</w:t>
            </w:r>
            <w:r>
              <w:rPr>
                <w:rFonts w:hint="eastAsia"/>
                <w:color w:val="auto"/>
                <w:lang w:val="en-US" w:eastAsia="zh-CN"/>
              </w:rPr>
              <w:t>（</w:t>
            </w:r>
            <w:r>
              <w:rPr>
                <w:color w:val="auto"/>
                <w:lang w:val="en-US" w:eastAsia="zh-CN"/>
              </w:rPr>
              <w:t>A</w:t>
            </w:r>
            <w:r>
              <w:rPr>
                <w:rFonts w:hint="eastAsia"/>
                <w:color w:val="auto"/>
                <w:lang w:val="en-US" w:eastAsia="zh-CN"/>
              </w:rPr>
              <w:t>）</w:t>
            </w:r>
            <w:r>
              <w:rPr>
                <w:color w:val="auto"/>
                <w:lang w:val="en-US" w:eastAsia="zh-CN"/>
              </w:rPr>
              <w:t>，夜间噪声监测结果为4</w:t>
            </w:r>
            <w:r>
              <w:rPr>
                <w:rFonts w:hint="eastAsia"/>
                <w:color w:val="auto"/>
                <w:lang w:val="en-US" w:eastAsia="zh-CN"/>
              </w:rPr>
              <w:t>3.2</w:t>
            </w:r>
            <w:r>
              <w:rPr>
                <w:color w:val="auto"/>
                <w:lang w:val="en-US" w:eastAsia="zh-CN"/>
              </w:rPr>
              <w:t>～4</w:t>
            </w:r>
            <w:r>
              <w:rPr>
                <w:rFonts w:hint="eastAsia"/>
                <w:color w:val="auto"/>
                <w:lang w:val="en-US" w:eastAsia="zh-CN"/>
              </w:rPr>
              <w:t>6.3</w:t>
            </w:r>
            <w:r>
              <w:rPr>
                <w:color w:val="auto"/>
                <w:lang w:val="en-US" w:eastAsia="zh-CN"/>
              </w:rPr>
              <w:t>dB</w:t>
            </w:r>
            <w:r>
              <w:rPr>
                <w:rFonts w:hint="eastAsia"/>
                <w:color w:val="auto"/>
                <w:lang w:val="en-US" w:eastAsia="zh-CN"/>
              </w:rPr>
              <w:t>（</w:t>
            </w:r>
            <w:r>
              <w:rPr>
                <w:color w:val="auto"/>
                <w:lang w:val="en-US" w:eastAsia="zh-CN"/>
              </w:rPr>
              <w:t>A</w:t>
            </w:r>
            <w:bookmarkEnd w:id="10"/>
            <w:r>
              <w:rPr>
                <w:rFonts w:hint="eastAsia"/>
                <w:color w:val="auto"/>
                <w:lang w:val="en-US" w:eastAsia="zh-CN"/>
              </w:rPr>
              <w:t>）</w:t>
            </w:r>
            <w:r>
              <w:rPr>
                <w:color w:val="auto"/>
                <w:lang w:val="en-US" w:eastAsia="zh-CN"/>
              </w:rPr>
              <w:t>。厂界昼、夜噪声监测结果满足《工业企业厂界环境噪声排放标准》（GB12348-2008）中</w:t>
            </w:r>
            <w:r>
              <w:rPr>
                <w:rFonts w:hint="eastAsia"/>
                <w:color w:val="auto"/>
                <w:highlight w:val="none"/>
                <w:lang w:val="en-US" w:eastAsia="zh-CN"/>
              </w:rPr>
              <w:t>3</w:t>
            </w:r>
            <w:r>
              <w:rPr>
                <w:color w:val="auto"/>
                <w:highlight w:val="none"/>
                <w:lang w:val="en-US" w:eastAsia="zh-CN"/>
              </w:rPr>
              <w:t>类声环境功能区标准要求，</w:t>
            </w:r>
            <w:r>
              <w:rPr>
                <w:color w:val="auto"/>
                <w:lang w:val="en-US" w:eastAsia="zh-CN"/>
              </w:rPr>
              <w:t>即昼间噪声≤6</w:t>
            </w:r>
            <w:r>
              <w:rPr>
                <w:rFonts w:hint="eastAsia"/>
                <w:color w:val="auto"/>
                <w:lang w:val="en-US" w:eastAsia="zh-CN"/>
              </w:rPr>
              <w:t>5</w:t>
            </w:r>
            <w:r>
              <w:rPr>
                <w:color w:val="auto"/>
                <w:lang w:val="en-US" w:eastAsia="zh-CN"/>
              </w:rPr>
              <w:t>dB</w:t>
            </w:r>
            <w:r>
              <w:rPr>
                <w:rFonts w:hint="eastAsia"/>
                <w:color w:val="auto"/>
                <w:lang w:val="en-US" w:eastAsia="zh-CN"/>
              </w:rPr>
              <w:t>（</w:t>
            </w:r>
            <w:r>
              <w:rPr>
                <w:color w:val="auto"/>
                <w:lang w:val="en-US" w:eastAsia="zh-CN"/>
              </w:rPr>
              <w:t>A</w:t>
            </w:r>
            <w:r>
              <w:rPr>
                <w:rFonts w:hint="eastAsia"/>
                <w:color w:val="auto"/>
                <w:lang w:val="en-US" w:eastAsia="zh-CN"/>
              </w:rPr>
              <w:t>）</w:t>
            </w:r>
            <w:r>
              <w:rPr>
                <w:color w:val="auto"/>
                <w:lang w:val="en-US" w:eastAsia="zh-CN"/>
              </w:rPr>
              <w:t>，夜间噪声≤</w:t>
            </w:r>
            <w:r>
              <w:rPr>
                <w:rFonts w:hint="eastAsia"/>
                <w:color w:val="auto"/>
                <w:lang w:val="en-US" w:eastAsia="zh-CN"/>
              </w:rPr>
              <w:t>55</w:t>
            </w:r>
            <w:r>
              <w:rPr>
                <w:color w:val="auto"/>
                <w:lang w:val="en-US" w:eastAsia="zh-CN"/>
              </w:rPr>
              <w:t>dB</w:t>
            </w:r>
            <w:r>
              <w:rPr>
                <w:rFonts w:hint="eastAsia"/>
                <w:color w:val="auto"/>
                <w:lang w:val="en-US" w:eastAsia="zh-CN"/>
              </w:rPr>
              <w:t>（</w:t>
            </w:r>
            <w:r>
              <w:rPr>
                <w:color w:val="auto"/>
                <w:lang w:val="en-US" w:eastAsia="zh-CN"/>
              </w:rPr>
              <w:t>A</w:t>
            </w:r>
            <w:r>
              <w:rPr>
                <w:rFonts w:hint="eastAsia"/>
                <w:color w:val="auto"/>
                <w:lang w:val="en-US" w:eastAsia="zh-CN"/>
              </w:rPr>
              <w:t>）</w:t>
            </w:r>
            <w:r>
              <w:rPr>
                <w:color w:val="auto"/>
                <w:lang w:val="en-US" w:eastAsia="zh-CN"/>
              </w:rPr>
              <w:t>。</w:t>
            </w:r>
          </w:p>
          <w:p w14:paraId="66BC3AE5">
            <w:pPr>
              <w:pStyle w:val="84"/>
              <w:rPr>
                <w:color w:val="auto"/>
                <w:lang w:val="en-US" w:eastAsia="zh-CN"/>
              </w:rPr>
            </w:pPr>
            <w:r>
              <w:rPr>
                <w:rFonts w:hint="eastAsia"/>
                <w:color w:val="auto"/>
                <w:lang w:val="en-US" w:eastAsia="zh-CN"/>
              </w:rPr>
              <w:t>（5）固废产生及处置情况</w:t>
            </w:r>
          </w:p>
          <w:p w14:paraId="48FEB436">
            <w:pPr>
              <w:pStyle w:val="84"/>
              <w:rPr>
                <w:color w:val="auto"/>
                <w:lang w:val="en-US" w:eastAsia="zh-CN"/>
              </w:rPr>
            </w:pPr>
            <w:r>
              <w:rPr>
                <w:rFonts w:hint="eastAsia"/>
                <w:color w:val="auto"/>
                <w:lang w:val="en-US" w:eastAsia="zh-CN"/>
              </w:rPr>
              <w:t>现有厂区西侧建设有10m</w:t>
            </w:r>
            <w:r>
              <w:rPr>
                <w:rFonts w:hint="eastAsia"/>
                <w:color w:val="auto"/>
                <w:vertAlign w:val="superscript"/>
                <w:lang w:val="en-US" w:eastAsia="zh-CN"/>
              </w:rPr>
              <w:t>2</w:t>
            </w:r>
            <w:r>
              <w:rPr>
                <w:rFonts w:hint="eastAsia"/>
                <w:color w:val="auto"/>
                <w:vertAlign w:val="baseline"/>
                <w:lang w:val="en-US" w:eastAsia="zh-CN"/>
              </w:rPr>
              <w:t>一般固废暂存间，</w:t>
            </w:r>
            <w:r>
              <w:rPr>
                <w:rFonts w:hint="eastAsia"/>
                <w:color w:val="auto"/>
                <w:lang w:val="en-US" w:eastAsia="zh-CN"/>
              </w:rPr>
              <w:t>一般固体废弃物主要为检验过程不合格品、布袋收集粉尘、废包装袋以及生活垃圾。其中，不合格品破碎后直接回用于配料、布袋收集粉尘回用于配料、废包装袋收集后外售用；生活垃圾交由环卫部门统一清运。危险废物主要为废机油、废油桶，危险废物依托现有危废暂存库暂存（危废库10m</w:t>
            </w:r>
            <w:r>
              <w:rPr>
                <w:rFonts w:hint="eastAsia"/>
                <w:color w:val="auto"/>
                <w:vertAlign w:val="superscript"/>
                <w:lang w:val="en-US" w:eastAsia="zh-CN"/>
              </w:rPr>
              <w:t>2</w:t>
            </w:r>
            <w:r>
              <w:rPr>
                <w:rFonts w:hint="eastAsia"/>
                <w:color w:val="auto"/>
                <w:lang w:val="en-US" w:eastAsia="zh-CN"/>
              </w:rPr>
              <w:t>，已做防腐防渗处理），定期交给马鞍山澳新环保科技有限公司处置</w:t>
            </w:r>
            <w:r>
              <w:rPr>
                <w:color w:val="auto"/>
                <w:lang w:val="en-US" w:eastAsia="zh-CN"/>
              </w:rPr>
              <w:t>。</w:t>
            </w:r>
          </w:p>
          <w:p w14:paraId="351664E4">
            <w:pPr>
              <w:pStyle w:val="86"/>
              <w:rPr>
                <w:rFonts w:hint="eastAsia"/>
                <w:color w:val="auto"/>
              </w:rPr>
            </w:pPr>
            <w:r>
              <w:rPr>
                <w:rFonts w:hint="eastAsia"/>
                <w:color w:val="auto"/>
              </w:rPr>
              <w:t>表2-</w:t>
            </w:r>
            <w:r>
              <w:rPr>
                <w:color w:val="auto"/>
              </w:rPr>
              <w:t xml:space="preserve">13 </w:t>
            </w:r>
            <w:r>
              <w:rPr>
                <w:rFonts w:hint="eastAsia"/>
                <w:color w:val="auto"/>
              </w:rPr>
              <w:t>现有工程一般固体废物产生及处理措施</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4"/>
              <w:gridCol w:w="1678"/>
              <w:gridCol w:w="1316"/>
              <w:gridCol w:w="1417"/>
              <w:gridCol w:w="2252"/>
              <w:gridCol w:w="868"/>
            </w:tblGrid>
            <w:tr w14:paraId="65AE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4" w:type="dxa"/>
                  <w:noWrap w:val="0"/>
                  <w:vAlign w:val="center"/>
                </w:tcPr>
                <w:p w14:paraId="0CB1DAF0">
                  <w:pPr>
                    <w:jc w:val="center"/>
                    <w:rPr>
                      <w:rFonts w:eastAsia="新宋体"/>
                      <w:bCs/>
                      <w:color w:val="auto"/>
                      <w:sz w:val="18"/>
                      <w:szCs w:val="21"/>
                    </w:rPr>
                  </w:pPr>
                  <w:r>
                    <w:rPr>
                      <w:rFonts w:eastAsia="新宋体"/>
                      <w:bCs/>
                      <w:color w:val="auto"/>
                      <w:sz w:val="18"/>
                      <w:szCs w:val="21"/>
                    </w:rPr>
                    <w:t>序号</w:t>
                  </w:r>
                </w:p>
              </w:tc>
              <w:tc>
                <w:tcPr>
                  <w:tcW w:w="1678" w:type="dxa"/>
                  <w:noWrap w:val="0"/>
                  <w:vAlign w:val="center"/>
                </w:tcPr>
                <w:p w14:paraId="681395AB">
                  <w:pPr>
                    <w:jc w:val="center"/>
                    <w:rPr>
                      <w:rFonts w:eastAsia="新宋体"/>
                      <w:bCs/>
                      <w:color w:val="auto"/>
                      <w:sz w:val="18"/>
                      <w:szCs w:val="21"/>
                    </w:rPr>
                  </w:pPr>
                  <w:r>
                    <w:rPr>
                      <w:rFonts w:eastAsia="新宋体"/>
                      <w:bCs/>
                      <w:color w:val="auto"/>
                      <w:sz w:val="18"/>
                      <w:szCs w:val="21"/>
                    </w:rPr>
                    <w:t>名称</w:t>
                  </w:r>
                </w:p>
              </w:tc>
              <w:tc>
                <w:tcPr>
                  <w:tcW w:w="1316" w:type="dxa"/>
                  <w:noWrap w:val="0"/>
                  <w:vAlign w:val="center"/>
                </w:tcPr>
                <w:p w14:paraId="623B67DF">
                  <w:pPr>
                    <w:jc w:val="center"/>
                    <w:rPr>
                      <w:rFonts w:eastAsia="新宋体"/>
                      <w:bCs/>
                      <w:color w:val="auto"/>
                      <w:sz w:val="18"/>
                      <w:szCs w:val="21"/>
                    </w:rPr>
                  </w:pPr>
                  <w:r>
                    <w:rPr>
                      <w:rFonts w:eastAsia="新宋体"/>
                      <w:bCs/>
                      <w:color w:val="auto"/>
                      <w:sz w:val="18"/>
                      <w:szCs w:val="21"/>
                    </w:rPr>
                    <w:t>实际产量（</w:t>
                  </w:r>
                  <w:r>
                    <w:rPr>
                      <w:color w:val="auto"/>
                      <w:sz w:val="18"/>
                      <w:szCs w:val="21"/>
                    </w:rPr>
                    <w:t>t/a</w:t>
                  </w:r>
                  <w:r>
                    <w:rPr>
                      <w:rFonts w:eastAsia="新宋体"/>
                      <w:bCs/>
                      <w:color w:val="auto"/>
                      <w:sz w:val="18"/>
                      <w:szCs w:val="21"/>
                    </w:rPr>
                    <w:t>）</w:t>
                  </w:r>
                </w:p>
              </w:tc>
              <w:tc>
                <w:tcPr>
                  <w:tcW w:w="1417" w:type="dxa"/>
                  <w:noWrap w:val="0"/>
                  <w:vAlign w:val="center"/>
                </w:tcPr>
                <w:p w14:paraId="423826A9">
                  <w:pPr>
                    <w:jc w:val="center"/>
                    <w:rPr>
                      <w:rFonts w:eastAsia="新宋体"/>
                      <w:bCs/>
                      <w:color w:val="auto"/>
                      <w:sz w:val="18"/>
                      <w:szCs w:val="21"/>
                    </w:rPr>
                  </w:pPr>
                  <w:r>
                    <w:rPr>
                      <w:rFonts w:eastAsia="新宋体"/>
                      <w:bCs/>
                      <w:color w:val="auto"/>
                      <w:sz w:val="18"/>
                      <w:szCs w:val="21"/>
                    </w:rPr>
                    <w:t>产污节点</w:t>
                  </w:r>
                </w:p>
              </w:tc>
              <w:tc>
                <w:tcPr>
                  <w:tcW w:w="2252" w:type="dxa"/>
                  <w:noWrap w:val="0"/>
                  <w:vAlign w:val="center"/>
                </w:tcPr>
                <w:p w14:paraId="66971E40">
                  <w:pPr>
                    <w:jc w:val="center"/>
                    <w:rPr>
                      <w:rFonts w:eastAsia="新宋体"/>
                      <w:bCs/>
                      <w:color w:val="auto"/>
                      <w:sz w:val="18"/>
                      <w:szCs w:val="21"/>
                    </w:rPr>
                  </w:pPr>
                  <w:r>
                    <w:rPr>
                      <w:rFonts w:eastAsia="新宋体"/>
                      <w:bCs/>
                      <w:color w:val="auto"/>
                      <w:sz w:val="18"/>
                      <w:szCs w:val="21"/>
                    </w:rPr>
                    <w:t>处理方式</w:t>
                  </w:r>
                </w:p>
              </w:tc>
              <w:tc>
                <w:tcPr>
                  <w:tcW w:w="868" w:type="dxa"/>
                  <w:noWrap w:val="0"/>
                  <w:vAlign w:val="center"/>
                </w:tcPr>
                <w:p w14:paraId="6E2C06BB">
                  <w:pPr>
                    <w:jc w:val="center"/>
                    <w:rPr>
                      <w:rFonts w:eastAsia="新宋体"/>
                      <w:bCs/>
                      <w:color w:val="auto"/>
                      <w:sz w:val="18"/>
                      <w:szCs w:val="21"/>
                    </w:rPr>
                  </w:pPr>
                  <w:r>
                    <w:rPr>
                      <w:rFonts w:eastAsia="新宋体"/>
                      <w:bCs/>
                      <w:color w:val="auto"/>
                      <w:sz w:val="18"/>
                      <w:szCs w:val="21"/>
                    </w:rPr>
                    <w:t>处置量</w:t>
                  </w:r>
                </w:p>
                <w:p w14:paraId="1608273D">
                  <w:pPr>
                    <w:jc w:val="center"/>
                    <w:rPr>
                      <w:rFonts w:eastAsia="新宋体"/>
                      <w:bCs/>
                      <w:color w:val="auto"/>
                      <w:sz w:val="18"/>
                      <w:szCs w:val="21"/>
                    </w:rPr>
                  </w:pPr>
                  <w:r>
                    <w:rPr>
                      <w:rFonts w:eastAsia="新宋体"/>
                      <w:bCs/>
                      <w:color w:val="auto"/>
                      <w:sz w:val="18"/>
                      <w:szCs w:val="21"/>
                    </w:rPr>
                    <w:t>（</w:t>
                  </w:r>
                  <w:r>
                    <w:rPr>
                      <w:color w:val="auto"/>
                      <w:sz w:val="18"/>
                      <w:szCs w:val="21"/>
                    </w:rPr>
                    <w:t>t/a</w:t>
                  </w:r>
                  <w:r>
                    <w:rPr>
                      <w:rFonts w:eastAsia="新宋体"/>
                      <w:bCs/>
                      <w:color w:val="auto"/>
                      <w:sz w:val="18"/>
                      <w:szCs w:val="21"/>
                    </w:rPr>
                    <w:t>）</w:t>
                  </w:r>
                </w:p>
              </w:tc>
            </w:tr>
            <w:tr w14:paraId="2777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4" w:type="dxa"/>
                  <w:noWrap w:val="0"/>
                  <w:vAlign w:val="center"/>
                </w:tcPr>
                <w:p w14:paraId="628B795F">
                  <w:pPr>
                    <w:jc w:val="center"/>
                    <w:rPr>
                      <w:rFonts w:hint="eastAsia" w:eastAsia="新宋体"/>
                      <w:color w:val="auto"/>
                      <w:sz w:val="18"/>
                      <w:szCs w:val="21"/>
                      <w:lang w:eastAsia="zh-CN"/>
                    </w:rPr>
                  </w:pPr>
                  <w:r>
                    <w:rPr>
                      <w:rFonts w:hint="eastAsia" w:eastAsia="新宋体"/>
                      <w:color w:val="auto"/>
                      <w:sz w:val="18"/>
                      <w:szCs w:val="21"/>
                      <w:lang w:val="en-US" w:eastAsia="zh-CN"/>
                    </w:rPr>
                    <w:t>1</w:t>
                  </w:r>
                </w:p>
              </w:tc>
              <w:tc>
                <w:tcPr>
                  <w:tcW w:w="1678" w:type="dxa"/>
                  <w:noWrap w:val="0"/>
                  <w:vAlign w:val="center"/>
                </w:tcPr>
                <w:p w14:paraId="6405DFA2">
                  <w:pPr>
                    <w:jc w:val="center"/>
                    <w:rPr>
                      <w:color w:val="auto"/>
                      <w:sz w:val="18"/>
                      <w:szCs w:val="21"/>
                    </w:rPr>
                  </w:pPr>
                  <w:r>
                    <w:rPr>
                      <w:rFonts w:hint="eastAsia"/>
                      <w:color w:val="auto"/>
                      <w:sz w:val="18"/>
                      <w:szCs w:val="21"/>
                    </w:rPr>
                    <w:t>不合格品</w:t>
                  </w:r>
                </w:p>
              </w:tc>
              <w:tc>
                <w:tcPr>
                  <w:tcW w:w="1316" w:type="dxa"/>
                  <w:noWrap w:val="0"/>
                  <w:vAlign w:val="center"/>
                </w:tcPr>
                <w:p w14:paraId="172A00B1">
                  <w:pPr>
                    <w:jc w:val="center"/>
                    <w:rPr>
                      <w:rFonts w:hint="default" w:eastAsia="宋体"/>
                      <w:color w:val="auto"/>
                      <w:sz w:val="18"/>
                      <w:szCs w:val="21"/>
                      <w:lang w:val="en-US" w:eastAsia="zh-CN"/>
                    </w:rPr>
                  </w:pPr>
                  <w:r>
                    <w:rPr>
                      <w:rFonts w:hint="eastAsia"/>
                      <w:color w:val="auto"/>
                      <w:sz w:val="18"/>
                      <w:szCs w:val="21"/>
                      <w:lang w:val="en-US" w:eastAsia="zh-CN"/>
                    </w:rPr>
                    <w:t>180</w:t>
                  </w:r>
                </w:p>
              </w:tc>
              <w:tc>
                <w:tcPr>
                  <w:tcW w:w="1417" w:type="dxa"/>
                  <w:noWrap w:val="0"/>
                  <w:vAlign w:val="center"/>
                </w:tcPr>
                <w:p w14:paraId="22BF6594">
                  <w:pPr>
                    <w:jc w:val="center"/>
                    <w:rPr>
                      <w:rFonts w:eastAsia="新宋体"/>
                      <w:color w:val="auto"/>
                      <w:sz w:val="18"/>
                      <w:szCs w:val="21"/>
                    </w:rPr>
                  </w:pPr>
                  <w:r>
                    <w:rPr>
                      <w:color w:val="auto"/>
                      <w:sz w:val="18"/>
                      <w:szCs w:val="21"/>
                    </w:rPr>
                    <w:t>检验</w:t>
                  </w:r>
                </w:p>
              </w:tc>
              <w:tc>
                <w:tcPr>
                  <w:tcW w:w="2252" w:type="dxa"/>
                  <w:noWrap w:val="0"/>
                  <w:vAlign w:val="center"/>
                </w:tcPr>
                <w:p w14:paraId="4D8995E4">
                  <w:pPr>
                    <w:jc w:val="center"/>
                    <w:rPr>
                      <w:rFonts w:hint="default" w:eastAsia="新宋体"/>
                      <w:color w:val="auto"/>
                      <w:sz w:val="18"/>
                      <w:szCs w:val="21"/>
                      <w:lang w:val="en-US" w:eastAsia="zh-CN"/>
                    </w:rPr>
                  </w:pPr>
                  <w:r>
                    <w:rPr>
                      <w:rFonts w:hint="eastAsia" w:eastAsia="新宋体"/>
                      <w:color w:val="auto"/>
                      <w:sz w:val="18"/>
                      <w:szCs w:val="21"/>
                      <w:lang w:val="en-US" w:eastAsia="zh-CN"/>
                    </w:rPr>
                    <w:t>破碎回用</w:t>
                  </w:r>
                </w:p>
              </w:tc>
              <w:tc>
                <w:tcPr>
                  <w:tcW w:w="868" w:type="dxa"/>
                  <w:noWrap w:val="0"/>
                  <w:vAlign w:val="center"/>
                </w:tcPr>
                <w:p w14:paraId="39E38B35">
                  <w:pPr>
                    <w:jc w:val="center"/>
                    <w:rPr>
                      <w:color w:val="auto"/>
                      <w:sz w:val="18"/>
                      <w:szCs w:val="21"/>
                    </w:rPr>
                  </w:pPr>
                  <w:r>
                    <w:rPr>
                      <w:rFonts w:hint="eastAsia"/>
                      <w:color w:val="auto"/>
                      <w:sz w:val="18"/>
                      <w:szCs w:val="21"/>
                      <w:lang w:val="en-US" w:eastAsia="zh-CN"/>
                    </w:rPr>
                    <w:t>180</w:t>
                  </w:r>
                </w:p>
              </w:tc>
            </w:tr>
            <w:tr w14:paraId="69D2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4" w:type="dxa"/>
                  <w:noWrap w:val="0"/>
                  <w:vAlign w:val="center"/>
                </w:tcPr>
                <w:p w14:paraId="63342E00">
                  <w:pPr>
                    <w:jc w:val="center"/>
                    <w:rPr>
                      <w:rFonts w:hint="eastAsia" w:eastAsia="新宋体"/>
                      <w:color w:val="auto"/>
                      <w:sz w:val="18"/>
                      <w:szCs w:val="21"/>
                      <w:lang w:eastAsia="zh-CN"/>
                    </w:rPr>
                  </w:pPr>
                  <w:r>
                    <w:rPr>
                      <w:rFonts w:hint="eastAsia" w:eastAsia="新宋体"/>
                      <w:color w:val="auto"/>
                      <w:sz w:val="18"/>
                      <w:szCs w:val="21"/>
                      <w:lang w:val="en-US" w:eastAsia="zh-CN"/>
                    </w:rPr>
                    <w:t>2</w:t>
                  </w:r>
                </w:p>
              </w:tc>
              <w:tc>
                <w:tcPr>
                  <w:tcW w:w="1678" w:type="dxa"/>
                  <w:noWrap w:val="0"/>
                  <w:vAlign w:val="center"/>
                </w:tcPr>
                <w:p w14:paraId="5EF96C41">
                  <w:pPr>
                    <w:jc w:val="center"/>
                    <w:rPr>
                      <w:rFonts w:hint="eastAsia"/>
                      <w:color w:val="auto"/>
                      <w:sz w:val="18"/>
                      <w:szCs w:val="21"/>
                    </w:rPr>
                  </w:pPr>
                  <w:r>
                    <w:rPr>
                      <w:rFonts w:hint="eastAsia"/>
                      <w:color w:val="auto"/>
                      <w:sz w:val="18"/>
                      <w:szCs w:val="21"/>
                      <w:lang w:val="en-US" w:eastAsia="zh-CN"/>
                    </w:rPr>
                    <w:t>布袋</w:t>
                  </w:r>
                  <w:r>
                    <w:rPr>
                      <w:rFonts w:hint="eastAsia"/>
                      <w:color w:val="auto"/>
                      <w:sz w:val="18"/>
                      <w:szCs w:val="21"/>
                    </w:rPr>
                    <w:t>收集粉尘</w:t>
                  </w:r>
                </w:p>
              </w:tc>
              <w:tc>
                <w:tcPr>
                  <w:tcW w:w="1316" w:type="dxa"/>
                  <w:noWrap w:val="0"/>
                  <w:vAlign w:val="center"/>
                </w:tcPr>
                <w:p w14:paraId="7D630F37">
                  <w:pPr>
                    <w:jc w:val="center"/>
                    <w:rPr>
                      <w:rFonts w:hint="default" w:eastAsia="宋体"/>
                      <w:color w:val="auto"/>
                      <w:sz w:val="18"/>
                      <w:szCs w:val="21"/>
                      <w:lang w:val="en-US" w:eastAsia="zh-CN"/>
                    </w:rPr>
                  </w:pPr>
                  <w:r>
                    <w:rPr>
                      <w:rFonts w:hint="eastAsia"/>
                      <w:color w:val="auto"/>
                      <w:sz w:val="18"/>
                      <w:szCs w:val="21"/>
                      <w:lang w:val="en-US" w:eastAsia="zh-CN"/>
                    </w:rPr>
                    <w:t>31</w:t>
                  </w:r>
                </w:p>
              </w:tc>
              <w:tc>
                <w:tcPr>
                  <w:tcW w:w="1417" w:type="dxa"/>
                  <w:noWrap w:val="0"/>
                  <w:vAlign w:val="center"/>
                </w:tcPr>
                <w:p w14:paraId="0D0C04EB">
                  <w:pPr>
                    <w:jc w:val="center"/>
                    <w:rPr>
                      <w:rFonts w:hint="default" w:eastAsia="宋体"/>
                      <w:color w:val="auto"/>
                      <w:sz w:val="18"/>
                      <w:szCs w:val="21"/>
                      <w:lang w:val="en-US" w:eastAsia="zh-CN"/>
                    </w:rPr>
                  </w:pPr>
                  <w:r>
                    <w:rPr>
                      <w:rFonts w:hint="eastAsia"/>
                      <w:color w:val="auto"/>
                      <w:sz w:val="18"/>
                      <w:szCs w:val="21"/>
                      <w:lang w:val="en-US" w:eastAsia="zh-CN"/>
                    </w:rPr>
                    <w:t>废气处理</w:t>
                  </w:r>
                </w:p>
              </w:tc>
              <w:tc>
                <w:tcPr>
                  <w:tcW w:w="2252" w:type="dxa"/>
                  <w:noWrap w:val="0"/>
                  <w:vAlign w:val="center"/>
                </w:tcPr>
                <w:p w14:paraId="67B8A744">
                  <w:pPr>
                    <w:jc w:val="center"/>
                    <w:rPr>
                      <w:rFonts w:hint="default" w:eastAsia="宋体"/>
                      <w:color w:val="auto"/>
                      <w:sz w:val="18"/>
                      <w:szCs w:val="21"/>
                      <w:lang w:val="en-US" w:eastAsia="zh-CN"/>
                    </w:rPr>
                  </w:pPr>
                  <w:r>
                    <w:rPr>
                      <w:rFonts w:hint="eastAsia"/>
                      <w:color w:val="auto"/>
                      <w:sz w:val="18"/>
                      <w:szCs w:val="21"/>
                      <w:lang w:val="en-US" w:eastAsia="zh-CN"/>
                    </w:rPr>
                    <w:t>收集后回用</w:t>
                  </w:r>
                </w:p>
              </w:tc>
              <w:tc>
                <w:tcPr>
                  <w:tcW w:w="868" w:type="dxa"/>
                  <w:noWrap w:val="0"/>
                  <w:vAlign w:val="center"/>
                </w:tcPr>
                <w:p w14:paraId="7926255C">
                  <w:pPr>
                    <w:jc w:val="center"/>
                    <w:rPr>
                      <w:color w:val="auto"/>
                      <w:sz w:val="18"/>
                      <w:szCs w:val="21"/>
                    </w:rPr>
                  </w:pPr>
                  <w:r>
                    <w:rPr>
                      <w:rFonts w:hint="eastAsia"/>
                      <w:color w:val="auto"/>
                      <w:sz w:val="18"/>
                      <w:szCs w:val="21"/>
                      <w:lang w:val="en-US" w:eastAsia="zh-CN"/>
                    </w:rPr>
                    <w:t>31</w:t>
                  </w:r>
                </w:p>
              </w:tc>
            </w:tr>
            <w:tr w14:paraId="3DE9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4" w:type="dxa"/>
                  <w:noWrap w:val="0"/>
                  <w:vAlign w:val="center"/>
                </w:tcPr>
                <w:p w14:paraId="36174B69">
                  <w:pPr>
                    <w:jc w:val="center"/>
                    <w:rPr>
                      <w:rFonts w:hint="eastAsia" w:eastAsia="新宋体"/>
                      <w:color w:val="auto"/>
                      <w:sz w:val="18"/>
                      <w:szCs w:val="21"/>
                      <w:lang w:eastAsia="zh-CN"/>
                    </w:rPr>
                  </w:pPr>
                  <w:r>
                    <w:rPr>
                      <w:rFonts w:hint="eastAsia" w:eastAsia="新宋体"/>
                      <w:color w:val="auto"/>
                      <w:sz w:val="18"/>
                      <w:szCs w:val="21"/>
                      <w:lang w:val="en-US" w:eastAsia="zh-CN"/>
                    </w:rPr>
                    <w:t>3</w:t>
                  </w:r>
                </w:p>
              </w:tc>
              <w:tc>
                <w:tcPr>
                  <w:tcW w:w="1678" w:type="dxa"/>
                  <w:noWrap w:val="0"/>
                  <w:vAlign w:val="center"/>
                </w:tcPr>
                <w:p w14:paraId="073A0E0A">
                  <w:pPr>
                    <w:jc w:val="center"/>
                    <w:rPr>
                      <w:rFonts w:hint="eastAsia" w:eastAsia="宋体"/>
                      <w:color w:val="auto"/>
                      <w:sz w:val="18"/>
                      <w:szCs w:val="21"/>
                      <w:lang w:eastAsia="zh-CN"/>
                    </w:rPr>
                  </w:pPr>
                  <w:r>
                    <w:rPr>
                      <w:rFonts w:hint="eastAsia"/>
                      <w:color w:val="auto"/>
                      <w:sz w:val="18"/>
                      <w:szCs w:val="21"/>
                      <w:lang w:val="en-US" w:eastAsia="zh-CN"/>
                    </w:rPr>
                    <w:t>废包装袋</w:t>
                  </w:r>
                </w:p>
              </w:tc>
              <w:tc>
                <w:tcPr>
                  <w:tcW w:w="1316" w:type="dxa"/>
                  <w:noWrap w:val="0"/>
                  <w:vAlign w:val="center"/>
                </w:tcPr>
                <w:p w14:paraId="57AA651C">
                  <w:pPr>
                    <w:jc w:val="center"/>
                    <w:rPr>
                      <w:rFonts w:hint="eastAsia" w:eastAsia="宋体"/>
                      <w:color w:val="auto"/>
                      <w:sz w:val="18"/>
                      <w:szCs w:val="21"/>
                      <w:lang w:eastAsia="zh-CN"/>
                    </w:rPr>
                  </w:pPr>
                  <w:r>
                    <w:rPr>
                      <w:rFonts w:hint="eastAsia"/>
                      <w:color w:val="auto"/>
                      <w:sz w:val="18"/>
                      <w:szCs w:val="21"/>
                      <w:lang w:val="en-US" w:eastAsia="zh-CN"/>
                    </w:rPr>
                    <w:t>1</w:t>
                  </w:r>
                </w:p>
              </w:tc>
              <w:tc>
                <w:tcPr>
                  <w:tcW w:w="1417" w:type="dxa"/>
                  <w:noWrap w:val="0"/>
                  <w:vAlign w:val="center"/>
                </w:tcPr>
                <w:p w14:paraId="1C3D88D6">
                  <w:pPr>
                    <w:jc w:val="center"/>
                    <w:rPr>
                      <w:rFonts w:hint="eastAsia" w:eastAsia="宋体"/>
                      <w:color w:val="auto"/>
                      <w:sz w:val="18"/>
                      <w:szCs w:val="21"/>
                      <w:lang w:eastAsia="zh-CN"/>
                    </w:rPr>
                  </w:pPr>
                  <w:r>
                    <w:rPr>
                      <w:rFonts w:hint="eastAsia"/>
                      <w:color w:val="auto"/>
                      <w:sz w:val="18"/>
                      <w:szCs w:val="21"/>
                      <w:lang w:val="en-US" w:eastAsia="zh-CN"/>
                    </w:rPr>
                    <w:t>原料使用</w:t>
                  </w:r>
                </w:p>
              </w:tc>
              <w:tc>
                <w:tcPr>
                  <w:tcW w:w="2252" w:type="dxa"/>
                  <w:noWrap w:val="0"/>
                  <w:vAlign w:val="center"/>
                </w:tcPr>
                <w:p w14:paraId="6A609CBD">
                  <w:pPr>
                    <w:jc w:val="center"/>
                    <w:rPr>
                      <w:rFonts w:hint="eastAsia"/>
                      <w:color w:val="auto"/>
                      <w:sz w:val="18"/>
                      <w:szCs w:val="21"/>
                    </w:rPr>
                  </w:pPr>
                  <w:r>
                    <w:rPr>
                      <w:rFonts w:hint="eastAsia"/>
                      <w:color w:val="auto"/>
                      <w:sz w:val="18"/>
                      <w:szCs w:val="21"/>
                    </w:rPr>
                    <w:t>收集后外售</w:t>
                  </w:r>
                </w:p>
              </w:tc>
              <w:tc>
                <w:tcPr>
                  <w:tcW w:w="868" w:type="dxa"/>
                  <w:noWrap w:val="0"/>
                  <w:vAlign w:val="center"/>
                </w:tcPr>
                <w:p w14:paraId="2DFAA6DC">
                  <w:pPr>
                    <w:jc w:val="center"/>
                    <w:rPr>
                      <w:rFonts w:hint="eastAsia"/>
                      <w:color w:val="auto"/>
                      <w:sz w:val="18"/>
                      <w:szCs w:val="21"/>
                    </w:rPr>
                  </w:pPr>
                  <w:r>
                    <w:rPr>
                      <w:rFonts w:hint="eastAsia"/>
                      <w:color w:val="auto"/>
                      <w:sz w:val="18"/>
                      <w:szCs w:val="21"/>
                      <w:lang w:val="en-US" w:eastAsia="zh-CN"/>
                    </w:rPr>
                    <w:t>1</w:t>
                  </w:r>
                </w:p>
              </w:tc>
            </w:tr>
            <w:tr w14:paraId="7DC8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04" w:type="dxa"/>
                  <w:noWrap w:val="0"/>
                  <w:vAlign w:val="center"/>
                </w:tcPr>
                <w:p w14:paraId="4EFB0532">
                  <w:pPr>
                    <w:jc w:val="center"/>
                    <w:rPr>
                      <w:rFonts w:hint="eastAsia" w:eastAsia="新宋体"/>
                      <w:color w:val="auto"/>
                      <w:sz w:val="18"/>
                      <w:szCs w:val="21"/>
                      <w:lang w:eastAsia="zh-CN"/>
                    </w:rPr>
                  </w:pPr>
                  <w:r>
                    <w:rPr>
                      <w:rFonts w:hint="eastAsia" w:eastAsia="新宋体"/>
                      <w:color w:val="auto"/>
                      <w:sz w:val="18"/>
                      <w:szCs w:val="21"/>
                      <w:lang w:val="en-US" w:eastAsia="zh-CN"/>
                    </w:rPr>
                    <w:t>4</w:t>
                  </w:r>
                </w:p>
              </w:tc>
              <w:tc>
                <w:tcPr>
                  <w:tcW w:w="1678" w:type="dxa"/>
                  <w:noWrap w:val="0"/>
                  <w:vAlign w:val="center"/>
                </w:tcPr>
                <w:p w14:paraId="0192754A">
                  <w:pPr>
                    <w:jc w:val="center"/>
                    <w:rPr>
                      <w:color w:val="auto"/>
                      <w:sz w:val="18"/>
                      <w:szCs w:val="21"/>
                    </w:rPr>
                  </w:pPr>
                  <w:r>
                    <w:rPr>
                      <w:color w:val="auto"/>
                      <w:sz w:val="18"/>
                      <w:szCs w:val="21"/>
                    </w:rPr>
                    <w:t>生活垃圾</w:t>
                  </w:r>
                </w:p>
              </w:tc>
              <w:tc>
                <w:tcPr>
                  <w:tcW w:w="1316" w:type="dxa"/>
                  <w:noWrap w:val="0"/>
                  <w:vAlign w:val="center"/>
                </w:tcPr>
                <w:p w14:paraId="19452AB8">
                  <w:pPr>
                    <w:jc w:val="center"/>
                    <w:rPr>
                      <w:rFonts w:hint="default"/>
                      <w:color w:val="auto"/>
                      <w:sz w:val="18"/>
                      <w:szCs w:val="21"/>
                      <w:lang w:val="en-US"/>
                    </w:rPr>
                  </w:pPr>
                  <w:r>
                    <w:rPr>
                      <w:rFonts w:hint="eastAsia"/>
                      <w:color w:val="auto"/>
                      <w:sz w:val="18"/>
                      <w:szCs w:val="21"/>
                      <w:lang w:val="en-US" w:eastAsia="zh-CN"/>
                    </w:rPr>
                    <w:t>45</w:t>
                  </w:r>
                </w:p>
              </w:tc>
              <w:tc>
                <w:tcPr>
                  <w:tcW w:w="1417" w:type="dxa"/>
                  <w:noWrap w:val="0"/>
                  <w:vAlign w:val="center"/>
                </w:tcPr>
                <w:p w14:paraId="028D5529">
                  <w:pPr>
                    <w:jc w:val="center"/>
                    <w:rPr>
                      <w:rFonts w:hint="default" w:eastAsia="新宋体"/>
                      <w:color w:val="auto"/>
                      <w:sz w:val="18"/>
                      <w:szCs w:val="21"/>
                      <w:lang w:val="en-US" w:eastAsia="zh-CN"/>
                    </w:rPr>
                  </w:pPr>
                  <w:r>
                    <w:rPr>
                      <w:rFonts w:hint="eastAsia" w:eastAsia="新宋体"/>
                      <w:color w:val="auto"/>
                      <w:sz w:val="18"/>
                      <w:szCs w:val="21"/>
                      <w:lang w:val="en-US" w:eastAsia="zh-CN"/>
                    </w:rPr>
                    <w:t>员工生活</w:t>
                  </w:r>
                </w:p>
              </w:tc>
              <w:tc>
                <w:tcPr>
                  <w:tcW w:w="2252" w:type="dxa"/>
                  <w:noWrap w:val="0"/>
                  <w:vAlign w:val="center"/>
                </w:tcPr>
                <w:p w14:paraId="1196136B">
                  <w:pPr>
                    <w:jc w:val="center"/>
                    <w:rPr>
                      <w:rFonts w:eastAsia="新宋体"/>
                      <w:color w:val="auto"/>
                      <w:sz w:val="18"/>
                      <w:szCs w:val="21"/>
                    </w:rPr>
                  </w:pPr>
                  <w:r>
                    <w:rPr>
                      <w:color w:val="auto"/>
                      <w:sz w:val="18"/>
                      <w:szCs w:val="21"/>
                    </w:rPr>
                    <w:t>委托环卫部门清运处置</w:t>
                  </w:r>
                </w:p>
              </w:tc>
              <w:tc>
                <w:tcPr>
                  <w:tcW w:w="868" w:type="dxa"/>
                  <w:noWrap w:val="0"/>
                  <w:vAlign w:val="center"/>
                </w:tcPr>
                <w:p w14:paraId="0DCAB01D">
                  <w:pPr>
                    <w:jc w:val="center"/>
                    <w:rPr>
                      <w:rFonts w:hint="default" w:eastAsia="宋体"/>
                      <w:color w:val="auto"/>
                      <w:sz w:val="18"/>
                      <w:szCs w:val="21"/>
                      <w:lang w:val="en-US" w:eastAsia="zh-CN"/>
                    </w:rPr>
                  </w:pPr>
                  <w:r>
                    <w:rPr>
                      <w:rFonts w:hint="eastAsia"/>
                      <w:color w:val="auto"/>
                      <w:sz w:val="18"/>
                      <w:szCs w:val="21"/>
                      <w:lang w:val="en-US" w:eastAsia="zh-CN"/>
                    </w:rPr>
                    <w:t>45</w:t>
                  </w:r>
                </w:p>
              </w:tc>
            </w:tr>
          </w:tbl>
          <w:p w14:paraId="5F9CE001">
            <w:pPr>
              <w:pStyle w:val="86"/>
              <w:rPr>
                <w:color w:val="auto"/>
              </w:rPr>
            </w:pPr>
            <w:r>
              <w:rPr>
                <w:rFonts w:hint="eastAsia"/>
                <w:color w:val="auto"/>
              </w:rPr>
              <w:t>表</w:t>
            </w:r>
            <w:r>
              <w:rPr>
                <w:color w:val="auto"/>
              </w:rPr>
              <w:t xml:space="preserve">2-14  </w:t>
            </w:r>
            <w:r>
              <w:rPr>
                <w:rFonts w:hint="eastAsia"/>
                <w:color w:val="auto"/>
              </w:rPr>
              <w:t>危险废物产生及处理措施</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2"/>
              <w:gridCol w:w="817"/>
              <w:gridCol w:w="1017"/>
              <w:gridCol w:w="606"/>
              <w:gridCol w:w="1103"/>
              <w:gridCol w:w="992"/>
              <w:gridCol w:w="2101"/>
              <w:gridCol w:w="877"/>
            </w:tblGrid>
            <w:tr w14:paraId="5BE4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422" w:type="dxa"/>
                  <w:noWrap w:val="0"/>
                  <w:vAlign w:val="center"/>
                </w:tcPr>
                <w:p w14:paraId="7D51C2B8">
                  <w:pPr>
                    <w:jc w:val="center"/>
                    <w:rPr>
                      <w:rFonts w:eastAsia="新宋体"/>
                      <w:bCs/>
                      <w:color w:val="auto"/>
                      <w:sz w:val="18"/>
                      <w:szCs w:val="21"/>
                    </w:rPr>
                  </w:pPr>
                  <w:r>
                    <w:rPr>
                      <w:rFonts w:eastAsia="新宋体"/>
                      <w:bCs/>
                      <w:color w:val="auto"/>
                      <w:sz w:val="18"/>
                      <w:szCs w:val="21"/>
                    </w:rPr>
                    <w:t>序号</w:t>
                  </w:r>
                </w:p>
              </w:tc>
              <w:tc>
                <w:tcPr>
                  <w:tcW w:w="817" w:type="dxa"/>
                  <w:noWrap w:val="0"/>
                  <w:vAlign w:val="center"/>
                </w:tcPr>
                <w:p w14:paraId="37863323">
                  <w:pPr>
                    <w:jc w:val="center"/>
                    <w:rPr>
                      <w:rFonts w:eastAsia="新宋体"/>
                      <w:bCs/>
                      <w:color w:val="auto"/>
                      <w:sz w:val="18"/>
                      <w:szCs w:val="21"/>
                    </w:rPr>
                  </w:pPr>
                  <w:r>
                    <w:rPr>
                      <w:rFonts w:eastAsia="新宋体"/>
                      <w:bCs/>
                      <w:color w:val="auto"/>
                      <w:sz w:val="18"/>
                      <w:szCs w:val="21"/>
                    </w:rPr>
                    <w:t>名称</w:t>
                  </w:r>
                </w:p>
              </w:tc>
              <w:tc>
                <w:tcPr>
                  <w:tcW w:w="1017" w:type="dxa"/>
                  <w:noWrap w:val="0"/>
                  <w:vAlign w:val="center"/>
                </w:tcPr>
                <w:p w14:paraId="2CDBE974">
                  <w:pPr>
                    <w:jc w:val="center"/>
                    <w:rPr>
                      <w:rFonts w:eastAsia="新宋体"/>
                      <w:bCs/>
                      <w:color w:val="auto"/>
                      <w:sz w:val="18"/>
                      <w:szCs w:val="21"/>
                    </w:rPr>
                  </w:pPr>
                  <w:r>
                    <w:rPr>
                      <w:rFonts w:eastAsia="新宋体"/>
                      <w:bCs/>
                      <w:color w:val="auto"/>
                      <w:sz w:val="18"/>
                      <w:szCs w:val="21"/>
                    </w:rPr>
                    <w:t>废物代码</w:t>
                  </w:r>
                </w:p>
              </w:tc>
              <w:tc>
                <w:tcPr>
                  <w:tcW w:w="606" w:type="dxa"/>
                  <w:noWrap w:val="0"/>
                  <w:vAlign w:val="center"/>
                </w:tcPr>
                <w:p w14:paraId="54BFC04E">
                  <w:pPr>
                    <w:jc w:val="center"/>
                    <w:rPr>
                      <w:rFonts w:eastAsia="新宋体"/>
                      <w:bCs/>
                      <w:color w:val="auto"/>
                      <w:sz w:val="18"/>
                      <w:szCs w:val="21"/>
                    </w:rPr>
                  </w:pPr>
                  <w:r>
                    <w:rPr>
                      <w:rFonts w:eastAsia="新宋体"/>
                      <w:bCs/>
                      <w:color w:val="auto"/>
                      <w:sz w:val="18"/>
                      <w:szCs w:val="21"/>
                    </w:rPr>
                    <w:t>特性</w:t>
                  </w:r>
                </w:p>
              </w:tc>
              <w:tc>
                <w:tcPr>
                  <w:tcW w:w="1103" w:type="dxa"/>
                  <w:noWrap w:val="0"/>
                  <w:vAlign w:val="center"/>
                </w:tcPr>
                <w:p w14:paraId="201CA29B">
                  <w:pPr>
                    <w:jc w:val="center"/>
                    <w:rPr>
                      <w:rFonts w:eastAsia="新宋体"/>
                      <w:bCs/>
                      <w:color w:val="auto"/>
                      <w:sz w:val="18"/>
                      <w:szCs w:val="21"/>
                    </w:rPr>
                  </w:pPr>
                  <w:r>
                    <w:rPr>
                      <w:rFonts w:eastAsia="新宋体"/>
                      <w:bCs/>
                      <w:color w:val="auto"/>
                      <w:sz w:val="18"/>
                      <w:szCs w:val="21"/>
                    </w:rPr>
                    <w:t>实际产量（</w:t>
                  </w:r>
                  <w:r>
                    <w:rPr>
                      <w:color w:val="auto"/>
                      <w:sz w:val="18"/>
                      <w:szCs w:val="21"/>
                    </w:rPr>
                    <w:t>t/a</w:t>
                  </w:r>
                  <w:r>
                    <w:rPr>
                      <w:rFonts w:eastAsia="新宋体"/>
                      <w:bCs/>
                      <w:color w:val="auto"/>
                      <w:sz w:val="18"/>
                      <w:szCs w:val="21"/>
                    </w:rPr>
                    <w:t>）</w:t>
                  </w:r>
                </w:p>
              </w:tc>
              <w:tc>
                <w:tcPr>
                  <w:tcW w:w="992" w:type="dxa"/>
                  <w:noWrap w:val="0"/>
                  <w:vAlign w:val="center"/>
                </w:tcPr>
                <w:p w14:paraId="094DB3E1">
                  <w:pPr>
                    <w:jc w:val="center"/>
                    <w:rPr>
                      <w:rFonts w:eastAsia="新宋体"/>
                      <w:bCs/>
                      <w:color w:val="auto"/>
                      <w:sz w:val="18"/>
                      <w:szCs w:val="21"/>
                    </w:rPr>
                  </w:pPr>
                  <w:r>
                    <w:rPr>
                      <w:rFonts w:eastAsia="新宋体"/>
                      <w:bCs/>
                      <w:color w:val="auto"/>
                      <w:sz w:val="18"/>
                      <w:szCs w:val="21"/>
                    </w:rPr>
                    <w:t>产污节点</w:t>
                  </w:r>
                </w:p>
              </w:tc>
              <w:tc>
                <w:tcPr>
                  <w:tcW w:w="2101" w:type="dxa"/>
                  <w:noWrap w:val="0"/>
                  <w:vAlign w:val="center"/>
                </w:tcPr>
                <w:p w14:paraId="288C1674">
                  <w:pPr>
                    <w:jc w:val="center"/>
                    <w:rPr>
                      <w:rFonts w:eastAsia="新宋体"/>
                      <w:bCs/>
                      <w:color w:val="auto"/>
                      <w:sz w:val="18"/>
                      <w:szCs w:val="21"/>
                    </w:rPr>
                  </w:pPr>
                  <w:r>
                    <w:rPr>
                      <w:rFonts w:eastAsia="新宋体"/>
                      <w:bCs/>
                      <w:color w:val="auto"/>
                      <w:sz w:val="18"/>
                      <w:szCs w:val="21"/>
                    </w:rPr>
                    <w:t>处理方式</w:t>
                  </w:r>
                </w:p>
              </w:tc>
              <w:tc>
                <w:tcPr>
                  <w:tcW w:w="877" w:type="dxa"/>
                  <w:noWrap w:val="0"/>
                  <w:vAlign w:val="center"/>
                </w:tcPr>
                <w:p w14:paraId="71A9C3D1">
                  <w:pPr>
                    <w:jc w:val="center"/>
                    <w:rPr>
                      <w:rFonts w:eastAsia="新宋体"/>
                      <w:bCs/>
                      <w:color w:val="auto"/>
                      <w:sz w:val="18"/>
                      <w:szCs w:val="21"/>
                    </w:rPr>
                  </w:pPr>
                  <w:r>
                    <w:rPr>
                      <w:rFonts w:eastAsia="新宋体"/>
                      <w:bCs/>
                      <w:color w:val="auto"/>
                      <w:sz w:val="18"/>
                      <w:szCs w:val="21"/>
                    </w:rPr>
                    <w:t>处置量</w:t>
                  </w:r>
                </w:p>
                <w:p w14:paraId="769A1736">
                  <w:pPr>
                    <w:jc w:val="center"/>
                    <w:rPr>
                      <w:rFonts w:eastAsia="新宋体"/>
                      <w:bCs/>
                      <w:color w:val="auto"/>
                      <w:sz w:val="18"/>
                      <w:szCs w:val="21"/>
                    </w:rPr>
                  </w:pPr>
                  <w:r>
                    <w:rPr>
                      <w:rFonts w:eastAsia="新宋体"/>
                      <w:bCs/>
                      <w:color w:val="auto"/>
                      <w:sz w:val="18"/>
                      <w:szCs w:val="21"/>
                    </w:rPr>
                    <w:t>（</w:t>
                  </w:r>
                  <w:r>
                    <w:rPr>
                      <w:color w:val="auto"/>
                      <w:sz w:val="18"/>
                      <w:szCs w:val="21"/>
                    </w:rPr>
                    <w:t>t/a</w:t>
                  </w:r>
                  <w:r>
                    <w:rPr>
                      <w:rFonts w:eastAsia="新宋体"/>
                      <w:bCs/>
                      <w:color w:val="auto"/>
                      <w:sz w:val="18"/>
                      <w:szCs w:val="21"/>
                    </w:rPr>
                    <w:t>）</w:t>
                  </w:r>
                </w:p>
              </w:tc>
            </w:tr>
            <w:tr w14:paraId="495F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22" w:type="dxa"/>
                  <w:noWrap w:val="0"/>
                  <w:vAlign w:val="center"/>
                </w:tcPr>
                <w:p w14:paraId="39F42725">
                  <w:pPr>
                    <w:jc w:val="center"/>
                    <w:rPr>
                      <w:rFonts w:hint="eastAsia" w:eastAsia="新宋体"/>
                      <w:color w:val="auto"/>
                      <w:sz w:val="18"/>
                      <w:szCs w:val="21"/>
                      <w:lang w:eastAsia="zh-CN"/>
                    </w:rPr>
                  </w:pPr>
                  <w:r>
                    <w:rPr>
                      <w:rFonts w:hint="eastAsia" w:eastAsia="新宋体"/>
                      <w:color w:val="auto"/>
                      <w:sz w:val="18"/>
                      <w:szCs w:val="21"/>
                      <w:lang w:val="en-US" w:eastAsia="zh-CN"/>
                    </w:rPr>
                    <w:t>1</w:t>
                  </w:r>
                </w:p>
              </w:tc>
              <w:tc>
                <w:tcPr>
                  <w:tcW w:w="817" w:type="dxa"/>
                  <w:noWrap w:val="0"/>
                  <w:vAlign w:val="center"/>
                </w:tcPr>
                <w:p w14:paraId="1C107606">
                  <w:pPr>
                    <w:jc w:val="center"/>
                    <w:rPr>
                      <w:color w:val="auto"/>
                      <w:sz w:val="18"/>
                    </w:rPr>
                  </w:pPr>
                  <w:r>
                    <w:rPr>
                      <w:color w:val="auto"/>
                      <w:sz w:val="18"/>
                      <w:szCs w:val="21"/>
                    </w:rPr>
                    <w:t>废</w:t>
                  </w:r>
                  <w:r>
                    <w:rPr>
                      <w:rFonts w:hint="eastAsia"/>
                      <w:color w:val="auto"/>
                      <w:sz w:val="18"/>
                      <w:szCs w:val="21"/>
                    </w:rPr>
                    <w:t>机油</w:t>
                  </w:r>
                </w:p>
              </w:tc>
              <w:tc>
                <w:tcPr>
                  <w:tcW w:w="1017" w:type="dxa"/>
                  <w:noWrap w:val="0"/>
                  <w:vAlign w:val="center"/>
                </w:tcPr>
                <w:p w14:paraId="35B2D863">
                  <w:pPr>
                    <w:jc w:val="center"/>
                    <w:rPr>
                      <w:rFonts w:hint="default"/>
                      <w:color w:val="auto"/>
                      <w:sz w:val="18"/>
                      <w:szCs w:val="18"/>
                      <w:lang w:val="en-US" w:eastAsia="zh-CN"/>
                    </w:rPr>
                  </w:pPr>
                  <w:r>
                    <w:rPr>
                      <w:rFonts w:hint="eastAsia"/>
                      <w:color w:val="auto"/>
                      <w:sz w:val="18"/>
                      <w:szCs w:val="18"/>
                      <w:lang w:val="en-US" w:eastAsia="zh-CN"/>
                    </w:rPr>
                    <w:t>HW08</w:t>
                  </w:r>
                </w:p>
                <w:p w14:paraId="023ADB56">
                  <w:pPr>
                    <w:jc w:val="center"/>
                    <w:rPr>
                      <w:rFonts w:eastAsia="新宋体"/>
                      <w:color w:val="auto"/>
                      <w:sz w:val="18"/>
                      <w:szCs w:val="18"/>
                    </w:rPr>
                  </w:pPr>
                  <w:r>
                    <w:rPr>
                      <w:rFonts w:hint="eastAsia" w:eastAsia="新宋体"/>
                      <w:color w:val="auto"/>
                      <w:sz w:val="18"/>
                      <w:szCs w:val="18"/>
                    </w:rPr>
                    <w:t>900-209-08</w:t>
                  </w:r>
                </w:p>
              </w:tc>
              <w:tc>
                <w:tcPr>
                  <w:tcW w:w="606" w:type="dxa"/>
                  <w:noWrap w:val="0"/>
                  <w:vAlign w:val="center"/>
                </w:tcPr>
                <w:p w14:paraId="3CF01594">
                  <w:pPr>
                    <w:jc w:val="center"/>
                    <w:rPr>
                      <w:rFonts w:eastAsia="新宋体"/>
                      <w:color w:val="auto"/>
                      <w:sz w:val="18"/>
                      <w:szCs w:val="21"/>
                    </w:rPr>
                  </w:pPr>
                  <w:r>
                    <w:rPr>
                      <w:rFonts w:eastAsia="新宋体"/>
                      <w:color w:val="auto"/>
                      <w:sz w:val="18"/>
                      <w:szCs w:val="21"/>
                    </w:rPr>
                    <w:t>T</w:t>
                  </w:r>
                  <w:r>
                    <w:rPr>
                      <w:rFonts w:hint="eastAsia" w:eastAsia="新宋体"/>
                      <w:color w:val="auto"/>
                      <w:sz w:val="18"/>
                      <w:szCs w:val="21"/>
                    </w:rPr>
                    <w:t>，</w:t>
                  </w:r>
                  <w:r>
                    <w:rPr>
                      <w:rFonts w:eastAsia="新宋体"/>
                      <w:color w:val="auto"/>
                      <w:sz w:val="18"/>
                      <w:szCs w:val="21"/>
                    </w:rPr>
                    <w:t>I</w:t>
                  </w:r>
                </w:p>
              </w:tc>
              <w:tc>
                <w:tcPr>
                  <w:tcW w:w="1103" w:type="dxa"/>
                  <w:noWrap w:val="0"/>
                  <w:vAlign w:val="center"/>
                </w:tcPr>
                <w:p w14:paraId="3CB2B467">
                  <w:pPr>
                    <w:jc w:val="center"/>
                    <w:rPr>
                      <w:rFonts w:hint="eastAsia" w:eastAsia="宋体"/>
                      <w:color w:val="auto"/>
                      <w:sz w:val="18"/>
                      <w:szCs w:val="21"/>
                      <w:lang w:eastAsia="zh-CN"/>
                    </w:rPr>
                  </w:pPr>
                  <w:r>
                    <w:rPr>
                      <w:rFonts w:hint="eastAsia" w:eastAsia="新宋体"/>
                      <w:color w:val="auto"/>
                      <w:sz w:val="18"/>
                      <w:szCs w:val="21"/>
                      <w:lang w:val="en-US" w:eastAsia="zh-CN"/>
                    </w:rPr>
                    <w:t>1</w:t>
                  </w:r>
                </w:p>
              </w:tc>
              <w:tc>
                <w:tcPr>
                  <w:tcW w:w="992" w:type="dxa"/>
                  <w:noWrap w:val="0"/>
                  <w:vAlign w:val="center"/>
                </w:tcPr>
                <w:p w14:paraId="6A3D187C">
                  <w:pPr>
                    <w:jc w:val="center"/>
                    <w:rPr>
                      <w:rFonts w:hint="default" w:eastAsia="新宋体"/>
                      <w:color w:val="auto"/>
                      <w:sz w:val="18"/>
                      <w:szCs w:val="21"/>
                      <w:lang w:val="en-US" w:eastAsia="zh-CN"/>
                    </w:rPr>
                  </w:pPr>
                  <w:r>
                    <w:rPr>
                      <w:rFonts w:hint="eastAsia" w:eastAsia="新宋体"/>
                      <w:color w:val="auto"/>
                      <w:sz w:val="18"/>
                      <w:szCs w:val="21"/>
                      <w:lang w:val="en-US" w:eastAsia="zh-CN"/>
                    </w:rPr>
                    <w:t>机器维护</w:t>
                  </w:r>
                </w:p>
              </w:tc>
              <w:tc>
                <w:tcPr>
                  <w:tcW w:w="2101" w:type="dxa"/>
                  <w:vMerge w:val="restart"/>
                  <w:noWrap w:val="0"/>
                  <w:vAlign w:val="center"/>
                </w:tcPr>
                <w:p w14:paraId="2182BEDC">
                  <w:pPr>
                    <w:jc w:val="center"/>
                    <w:rPr>
                      <w:rFonts w:eastAsia="新宋体"/>
                      <w:color w:val="auto"/>
                      <w:sz w:val="18"/>
                      <w:szCs w:val="21"/>
                    </w:rPr>
                  </w:pPr>
                  <w:r>
                    <w:rPr>
                      <w:rFonts w:hint="eastAsia" w:eastAsia="新宋体"/>
                      <w:color w:val="auto"/>
                      <w:sz w:val="18"/>
                      <w:szCs w:val="21"/>
                    </w:rPr>
                    <w:t>现有危废暂存库暂存（危废库</w:t>
                  </w:r>
                  <w:r>
                    <w:rPr>
                      <w:rFonts w:hint="eastAsia" w:eastAsia="新宋体"/>
                      <w:color w:val="auto"/>
                      <w:sz w:val="18"/>
                      <w:szCs w:val="21"/>
                      <w:lang w:val="en-US" w:eastAsia="zh-CN"/>
                    </w:rPr>
                    <w:t>6</w:t>
                  </w:r>
                  <w:r>
                    <w:rPr>
                      <w:rFonts w:hint="eastAsia" w:eastAsia="新宋体"/>
                      <w:color w:val="auto"/>
                      <w:sz w:val="18"/>
                      <w:szCs w:val="21"/>
                    </w:rPr>
                    <w:t>m</w:t>
                  </w:r>
                  <w:r>
                    <w:rPr>
                      <w:rFonts w:hint="eastAsia" w:eastAsia="新宋体"/>
                      <w:color w:val="auto"/>
                      <w:sz w:val="18"/>
                      <w:szCs w:val="21"/>
                      <w:vertAlign w:val="superscript"/>
                    </w:rPr>
                    <w:t>2</w:t>
                  </w:r>
                  <w:r>
                    <w:rPr>
                      <w:rFonts w:hint="eastAsia" w:eastAsia="新宋体"/>
                      <w:color w:val="auto"/>
                      <w:sz w:val="18"/>
                      <w:szCs w:val="21"/>
                    </w:rPr>
                    <w:t>，已做防腐防渗处理），张贴标签，定期交给资质单位处理</w:t>
                  </w:r>
                </w:p>
              </w:tc>
              <w:tc>
                <w:tcPr>
                  <w:tcW w:w="877" w:type="dxa"/>
                  <w:noWrap w:val="0"/>
                  <w:vAlign w:val="center"/>
                </w:tcPr>
                <w:p w14:paraId="3A7B63F0">
                  <w:pPr>
                    <w:jc w:val="center"/>
                    <w:rPr>
                      <w:rFonts w:hint="eastAsia" w:eastAsia="宋体"/>
                      <w:color w:val="auto"/>
                      <w:sz w:val="18"/>
                      <w:szCs w:val="21"/>
                      <w:lang w:eastAsia="zh-CN"/>
                    </w:rPr>
                  </w:pPr>
                  <w:r>
                    <w:rPr>
                      <w:rFonts w:hint="eastAsia" w:eastAsia="新宋体"/>
                      <w:color w:val="auto"/>
                      <w:sz w:val="18"/>
                      <w:szCs w:val="21"/>
                      <w:lang w:val="en-US" w:eastAsia="zh-CN"/>
                    </w:rPr>
                    <w:t>1</w:t>
                  </w:r>
                </w:p>
              </w:tc>
            </w:tr>
            <w:tr w14:paraId="7A7A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422" w:type="dxa"/>
                  <w:noWrap w:val="0"/>
                  <w:vAlign w:val="center"/>
                </w:tcPr>
                <w:p w14:paraId="268CA7BE">
                  <w:pPr>
                    <w:jc w:val="center"/>
                    <w:rPr>
                      <w:rFonts w:hint="eastAsia" w:eastAsia="新宋体"/>
                      <w:color w:val="auto"/>
                      <w:sz w:val="18"/>
                      <w:szCs w:val="21"/>
                      <w:lang w:eastAsia="zh-CN"/>
                    </w:rPr>
                  </w:pPr>
                  <w:r>
                    <w:rPr>
                      <w:rFonts w:hint="eastAsia" w:eastAsia="新宋体"/>
                      <w:color w:val="auto"/>
                      <w:sz w:val="18"/>
                      <w:szCs w:val="21"/>
                      <w:lang w:val="en-US" w:eastAsia="zh-CN"/>
                    </w:rPr>
                    <w:t>2</w:t>
                  </w:r>
                </w:p>
              </w:tc>
              <w:tc>
                <w:tcPr>
                  <w:tcW w:w="817" w:type="dxa"/>
                  <w:noWrap w:val="0"/>
                  <w:vAlign w:val="center"/>
                </w:tcPr>
                <w:p w14:paraId="666C4F71">
                  <w:pPr>
                    <w:jc w:val="center"/>
                    <w:rPr>
                      <w:color w:val="auto"/>
                      <w:sz w:val="18"/>
                      <w:szCs w:val="21"/>
                    </w:rPr>
                  </w:pPr>
                  <w:r>
                    <w:rPr>
                      <w:rFonts w:hint="eastAsia"/>
                      <w:color w:val="auto"/>
                      <w:sz w:val="18"/>
                      <w:szCs w:val="21"/>
                    </w:rPr>
                    <w:t>废油桶</w:t>
                  </w:r>
                </w:p>
              </w:tc>
              <w:tc>
                <w:tcPr>
                  <w:tcW w:w="1017" w:type="dxa"/>
                  <w:noWrap w:val="0"/>
                  <w:vAlign w:val="center"/>
                </w:tcPr>
                <w:p w14:paraId="5053E667">
                  <w:pPr>
                    <w:jc w:val="center"/>
                    <w:rPr>
                      <w:rFonts w:hint="default"/>
                      <w:color w:val="auto"/>
                      <w:sz w:val="18"/>
                      <w:szCs w:val="18"/>
                      <w:lang w:val="en-US" w:eastAsia="zh-CN"/>
                    </w:rPr>
                  </w:pPr>
                  <w:r>
                    <w:rPr>
                      <w:rFonts w:hint="eastAsia"/>
                      <w:color w:val="auto"/>
                      <w:sz w:val="18"/>
                      <w:szCs w:val="18"/>
                      <w:lang w:val="en-US" w:eastAsia="zh-CN"/>
                    </w:rPr>
                    <w:t>HW08</w:t>
                  </w:r>
                </w:p>
                <w:p w14:paraId="2DB05C17">
                  <w:pPr>
                    <w:jc w:val="center"/>
                    <w:rPr>
                      <w:rFonts w:hint="eastAsia" w:eastAsia="新宋体"/>
                      <w:color w:val="auto"/>
                      <w:sz w:val="18"/>
                      <w:szCs w:val="18"/>
                    </w:rPr>
                  </w:pPr>
                  <w:r>
                    <w:rPr>
                      <w:rFonts w:eastAsia="新宋体"/>
                      <w:color w:val="auto"/>
                      <w:sz w:val="18"/>
                      <w:szCs w:val="18"/>
                    </w:rPr>
                    <w:t>900-249-08</w:t>
                  </w:r>
                </w:p>
              </w:tc>
              <w:tc>
                <w:tcPr>
                  <w:tcW w:w="606" w:type="dxa"/>
                  <w:noWrap w:val="0"/>
                  <w:vAlign w:val="center"/>
                </w:tcPr>
                <w:p w14:paraId="3911204D">
                  <w:pPr>
                    <w:jc w:val="center"/>
                    <w:rPr>
                      <w:rFonts w:eastAsia="新宋体"/>
                      <w:color w:val="auto"/>
                      <w:sz w:val="18"/>
                      <w:szCs w:val="21"/>
                    </w:rPr>
                  </w:pPr>
                  <w:r>
                    <w:rPr>
                      <w:rFonts w:eastAsia="新宋体"/>
                      <w:color w:val="auto"/>
                      <w:sz w:val="18"/>
                      <w:szCs w:val="21"/>
                    </w:rPr>
                    <w:t>T</w:t>
                  </w:r>
                  <w:r>
                    <w:rPr>
                      <w:rFonts w:hint="eastAsia" w:eastAsia="新宋体"/>
                      <w:color w:val="auto"/>
                      <w:sz w:val="18"/>
                      <w:szCs w:val="21"/>
                    </w:rPr>
                    <w:t>，</w:t>
                  </w:r>
                  <w:r>
                    <w:rPr>
                      <w:rFonts w:eastAsia="新宋体"/>
                      <w:color w:val="auto"/>
                      <w:sz w:val="18"/>
                      <w:szCs w:val="21"/>
                    </w:rPr>
                    <w:t>I</w:t>
                  </w:r>
                </w:p>
              </w:tc>
              <w:tc>
                <w:tcPr>
                  <w:tcW w:w="1103" w:type="dxa"/>
                  <w:noWrap w:val="0"/>
                  <w:vAlign w:val="center"/>
                </w:tcPr>
                <w:p w14:paraId="60327D59">
                  <w:pPr>
                    <w:jc w:val="center"/>
                    <w:rPr>
                      <w:rFonts w:hint="eastAsia" w:eastAsia="新宋体"/>
                      <w:color w:val="auto"/>
                      <w:sz w:val="18"/>
                      <w:szCs w:val="21"/>
                      <w:lang w:eastAsia="zh-CN"/>
                    </w:rPr>
                  </w:pPr>
                  <w:r>
                    <w:rPr>
                      <w:rFonts w:hint="eastAsia" w:eastAsia="新宋体"/>
                      <w:color w:val="auto"/>
                      <w:sz w:val="18"/>
                      <w:szCs w:val="21"/>
                    </w:rPr>
                    <w:t>0.</w:t>
                  </w:r>
                  <w:r>
                    <w:rPr>
                      <w:rFonts w:eastAsia="新宋体"/>
                      <w:color w:val="auto"/>
                      <w:sz w:val="18"/>
                      <w:szCs w:val="21"/>
                    </w:rPr>
                    <w:t>0</w:t>
                  </w:r>
                  <w:r>
                    <w:rPr>
                      <w:rFonts w:hint="eastAsia" w:eastAsia="新宋体"/>
                      <w:color w:val="auto"/>
                      <w:sz w:val="18"/>
                      <w:szCs w:val="21"/>
                      <w:lang w:val="en-US" w:eastAsia="zh-CN"/>
                    </w:rPr>
                    <w:t>3</w:t>
                  </w:r>
                </w:p>
              </w:tc>
              <w:tc>
                <w:tcPr>
                  <w:tcW w:w="992" w:type="dxa"/>
                  <w:noWrap w:val="0"/>
                  <w:vAlign w:val="center"/>
                </w:tcPr>
                <w:p w14:paraId="6A0524B9">
                  <w:pPr>
                    <w:jc w:val="center"/>
                    <w:rPr>
                      <w:rFonts w:hint="eastAsia" w:eastAsia="新宋体"/>
                      <w:color w:val="auto"/>
                      <w:sz w:val="18"/>
                      <w:szCs w:val="21"/>
                      <w:lang w:eastAsia="zh-CN"/>
                    </w:rPr>
                  </w:pPr>
                  <w:r>
                    <w:rPr>
                      <w:rFonts w:hint="eastAsia" w:eastAsia="新宋体"/>
                      <w:color w:val="auto"/>
                      <w:sz w:val="18"/>
                      <w:szCs w:val="21"/>
                      <w:lang w:val="en-US" w:eastAsia="zh-CN"/>
                    </w:rPr>
                    <w:t>辅料使用</w:t>
                  </w:r>
                </w:p>
              </w:tc>
              <w:tc>
                <w:tcPr>
                  <w:tcW w:w="2101" w:type="dxa"/>
                  <w:vMerge w:val="continue"/>
                  <w:noWrap w:val="0"/>
                  <w:vAlign w:val="center"/>
                </w:tcPr>
                <w:p w14:paraId="280CB3C1">
                  <w:pPr>
                    <w:jc w:val="center"/>
                    <w:rPr>
                      <w:rFonts w:eastAsia="新宋体"/>
                      <w:color w:val="auto"/>
                      <w:sz w:val="18"/>
                      <w:szCs w:val="21"/>
                    </w:rPr>
                  </w:pPr>
                </w:p>
              </w:tc>
              <w:tc>
                <w:tcPr>
                  <w:tcW w:w="877" w:type="dxa"/>
                  <w:noWrap w:val="0"/>
                  <w:vAlign w:val="center"/>
                </w:tcPr>
                <w:p w14:paraId="48BE448D">
                  <w:pPr>
                    <w:jc w:val="center"/>
                    <w:rPr>
                      <w:rFonts w:hint="eastAsia" w:eastAsia="新宋体"/>
                      <w:color w:val="auto"/>
                      <w:sz w:val="18"/>
                      <w:szCs w:val="21"/>
                      <w:lang w:eastAsia="zh-CN"/>
                    </w:rPr>
                  </w:pPr>
                  <w:r>
                    <w:rPr>
                      <w:rFonts w:hint="eastAsia" w:eastAsia="新宋体"/>
                      <w:color w:val="auto"/>
                      <w:sz w:val="18"/>
                      <w:szCs w:val="21"/>
                    </w:rPr>
                    <w:t>0.</w:t>
                  </w:r>
                  <w:r>
                    <w:rPr>
                      <w:rFonts w:eastAsia="新宋体"/>
                      <w:color w:val="auto"/>
                      <w:sz w:val="18"/>
                      <w:szCs w:val="21"/>
                    </w:rPr>
                    <w:t>0</w:t>
                  </w:r>
                  <w:r>
                    <w:rPr>
                      <w:rFonts w:hint="eastAsia" w:eastAsia="新宋体"/>
                      <w:color w:val="auto"/>
                      <w:sz w:val="18"/>
                      <w:szCs w:val="21"/>
                      <w:lang w:val="en-US" w:eastAsia="zh-CN"/>
                    </w:rPr>
                    <w:t>3</w:t>
                  </w:r>
                </w:p>
              </w:tc>
            </w:tr>
            <w:tr w14:paraId="5368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22" w:type="dxa"/>
                  <w:noWrap w:val="0"/>
                  <w:vAlign w:val="center"/>
                </w:tcPr>
                <w:p w14:paraId="75C1CA33">
                  <w:pPr>
                    <w:jc w:val="center"/>
                    <w:rPr>
                      <w:rFonts w:hint="default" w:eastAsia="新宋体"/>
                      <w:color w:val="auto"/>
                      <w:sz w:val="18"/>
                      <w:szCs w:val="21"/>
                      <w:lang w:val="en-US" w:eastAsia="zh-CN"/>
                    </w:rPr>
                  </w:pPr>
                  <w:r>
                    <w:rPr>
                      <w:rFonts w:hint="eastAsia" w:eastAsia="新宋体"/>
                      <w:color w:val="auto"/>
                      <w:sz w:val="18"/>
                      <w:szCs w:val="21"/>
                      <w:lang w:val="en-US" w:eastAsia="zh-CN"/>
                    </w:rPr>
                    <w:t>3</w:t>
                  </w:r>
                </w:p>
              </w:tc>
              <w:tc>
                <w:tcPr>
                  <w:tcW w:w="817" w:type="dxa"/>
                  <w:noWrap w:val="0"/>
                  <w:vAlign w:val="center"/>
                </w:tcPr>
                <w:p w14:paraId="012C0543">
                  <w:pPr>
                    <w:jc w:val="center"/>
                    <w:rPr>
                      <w:rFonts w:hint="default" w:eastAsia="宋体"/>
                      <w:color w:val="auto"/>
                      <w:sz w:val="18"/>
                      <w:szCs w:val="21"/>
                      <w:lang w:val="en-US" w:eastAsia="zh-CN"/>
                    </w:rPr>
                  </w:pPr>
                  <w:r>
                    <w:rPr>
                      <w:rFonts w:hint="eastAsia"/>
                      <w:color w:val="auto"/>
                      <w:sz w:val="18"/>
                      <w:szCs w:val="21"/>
                      <w:lang w:val="en-US" w:eastAsia="zh-CN"/>
                    </w:rPr>
                    <w:t>废催化剂</w:t>
                  </w:r>
                </w:p>
              </w:tc>
              <w:tc>
                <w:tcPr>
                  <w:tcW w:w="1017" w:type="dxa"/>
                  <w:noWrap w:val="0"/>
                  <w:vAlign w:val="center"/>
                </w:tcPr>
                <w:p w14:paraId="44D51D16">
                  <w:pPr>
                    <w:jc w:val="center"/>
                    <w:rPr>
                      <w:rFonts w:hint="eastAsia"/>
                      <w:color w:val="auto"/>
                      <w:sz w:val="18"/>
                      <w:szCs w:val="18"/>
                      <w:lang w:val="en-US" w:eastAsia="zh-CN"/>
                    </w:rPr>
                  </w:pPr>
                  <w:r>
                    <w:rPr>
                      <w:rFonts w:hint="eastAsia"/>
                      <w:color w:val="auto"/>
                      <w:sz w:val="18"/>
                      <w:szCs w:val="18"/>
                      <w:lang w:val="en-US" w:eastAsia="zh-CN"/>
                    </w:rPr>
                    <w:t>HW50</w:t>
                  </w:r>
                </w:p>
                <w:p w14:paraId="20433164">
                  <w:pPr>
                    <w:jc w:val="center"/>
                    <w:rPr>
                      <w:rFonts w:eastAsia="新宋体"/>
                      <w:color w:val="auto"/>
                      <w:sz w:val="18"/>
                      <w:szCs w:val="18"/>
                    </w:rPr>
                  </w:pPr>
                  <w:r>
                    <w:rPr>
                      <w:rFonts w:hint="eastAsia"/>
                      <w:color w:val="auto"/>
                      <w:sz w:val="18"/>
                      <w:szCs w:val="18"/>
                      <w:lang w:val="en-US" w:eastAsia="zh-CN"/>
                    </w:rPr>
                    <w:t>772-007-50</w:t>
                  </w:r>
                </w:p>
              </w:tc>
              <w:tc>
                <w:tcPr>
                  <w:tcW w:w="606" w:type="dxa"/>
                  <w:noWrap w:val="0"/>
                  <w:vAlign w:val="center"/>
                </w:tcPr>
                <w:p w14:paraId="702E3C74">
                  <w:pPr>
                    <w:jc w:val="center"/>
                    <w:rPr>
                      <w:rFonts w:eastAsia="新宋体"/>
                      <w:color w:val="auto"/>
                      <w:sz w:val="18"/>
                      <w:szCs w:val="21"/>
                    </w:rPr>
                  </w:pPr>
                  <w:r>
                    <w:rPr>
                      <w:rFonts w:eastAsia="新宋体"/>
                      <w:color w:val="auto"/>
                      <w:sz w:val="18"/>
                      <w:szCs w:val="21"/>
                    </w:rPr>
                    <w:t>T</w:t>
                  </w:r>
                </w:p>
              </w:tc>
              <w:tc>
                <w:tcPr>
                  <w:tcW w:w="1103" w:type="dxa"/>
                  <w:noWrap w:val="0"/>
                  <w:vAlign w:val="center"/>
                </w:tcPr>
                <w:p w14:paraId="247E47B9">
                  <w:pPr>
                    <w:jc w:val="center"/>
                    <w:rPr>
                      <w:rFonts w:hint="eastAsia" w:eastAsia="新宋体"/>
                      <w:color w:val="auto"/>
                      <w:sz w:val="18"/>
                      <w:szCs w:val="21"/>
                      <w:lang w:val="en-US" w:eastAsia="zh-CN"/>
                    </w:rPr>
                  </w:pPr>
                  <w:r>
                    <w:rPr>
                      <w:rFonts w:hint="eastAsia" w:eastAsia="新宋体"/>
                      <w:color w:val="auto"/>
                      <w:sz w:val="18"/>
                      <w:szCs w:val="21"/>
                      <w:lang w:val="en-US" w:eastAsia="zh-CN"/>
                    </w:rPr>
                    <w:t>/</w:t>
                  </w:r>
                </w:p>
              </w:tc>
              <w:tc>
                <w:tcPr>
                  <w:tcW w:w="992" w:type="dxa"/>
                  <w:noWrap w:val="0"/>
                  <w:vAlign w:val="center"/>
                </w:tcPr>
                <w:p w14:paraId="250B6D9E">
                  <w:pPr>
                    <w:jc w:val="center"/>
                    <w:rPr>
                      <w:rFonts w:hint="eastAsia" w:eastAsia="新宋体"/>
                      <w:color w:val="auto"/>
                      <w:sz w:val="18"/>
                      <w:szCs w:val="21"/>
                      <w:lang w:val="en-US" w:eastAsia="zh-CN"/>
                    </w:rPr>
                  </w:pPr>
                  <w:r>
                    <w:rPr>
                      <w:rFonts w:hint="eastAsia" w:eastAsia="新宋体"/>
                      <w:color w:val="auto"/>
                      <w:sz w:val="18"/>
                      <w:szCs w:val="21"/>
                      <w:lang w:val="en-US" w:eastAsia="zh-CN"/>
                    </w:rPr>
                    <w:t>废气处理</w:t>
                  </w:r>
                </w:p>
              </w:tc>
              <w:tc>
                <w:tcPr>
                  <w:tcW w:w="2101" w:type="dxa"/>
                  <w:vMerge w:val="continue"/>
                  <w:noWrap w:val="0"/>
                  <w:vAlign w:val="center"/>
                </w:tcPr>
                <w:p w14:paraId="67D77D28">
                  <w:pPr>
                    <w:jc w:val="center"/>
                    <w:rPr>
                      <w:rFonts w:eastAsia="新宋体"/>
                      <w:color w:val="auto"/>
                      <w:sz w:val="18"/>
                      <w:szCs w:val="21"/>
                    </w:rPr>
                  </w:pPr>
                </w:p>
              </w:tc>
              <w:tc>
                <w:tcPr>
                  <w:tcW w:w="877" w:type="dxa"/>
                  <w:noWrap w:val="0"/>
                  <w:vAlign w:val="center"/>
                </w:tcPr>
                <w:p w14:paraId="59E5AEC7">
                  <w:pPr>
                    <w:jc w:val="center"/>
                    <w:rPr>
                      <w:rFonts w:hint="eastAsia" w:eastAsia="新宋体"/>
                      <w:color w:val="auto"/>
                      <w:sz w:val="18"/>
                      <w:szCs w:val="21"/>
                      <w:lang w:val="en-US" w:eastAsia="zh-CN"/>
                    </w:rPr>
                  </w:pPr>
                  <w:r>
                    <w:rPr>
                      <w:rFonts w:hint="eastAsia" w:eastAsia="新宋体"/>
                      <w:color w:val="auto"/>
                      <w:sz w:val="18"/>
                      <w:szCs w:val="21"/>
                      <w:lang w:val="en-US" w:eastAsia="zh-CN"/>
                    </w:rPr>
                    <w:t>/</w:t>
                  </w:r>
                </w:p>
              </w:tc>
            </w:tr>
          </w:tbl>
          <w:p w14:paraId="57D14EF3">
            <w:pPr>
              <w:pStyle w:val="84"/>
              <w:rPr>
                <w:rFonts w:hint="default"/>
                <w:color w:val="auto"/>
                <w:sz w:val="18"/>
                <w:szCs w:val="18"/>
                <w:lang w:val="en-US" w:eastAsia="zh-CN"/>
              </w:rPr>
            </w:pPr>
            <w:r>
              <w:rPr>
                <w:rFonts w:hint="eastAsia"/>
                <w:color w:val="auto"/>
                <w:sz w:val="18"/>
                <w:szCs w:val="18"/>
                <w:lang w:val="en-US" w:eastAsia="zh-CN"/>
              </w:rPr>
              <w:t>注：现有工程脱硝产生废催化剂，根据危废名录，属于HW50，环境治理业，烟气脱硝过程中产生的废钒钛系催化剂，一般3~5年更换一次。</w:t>
            </w:r>
          </w:p>
          <w:p w14:paraId="2C0DAE79">
            <w:pPr>
              <w:pStyle w:val="84"/>
              <w:rPr>
                <w:color w:val="auto"/>
                <w:lang w:val="en-US" w:eastAsia="zh-CN"/>
              </w:rPr>
            </w:pPr>
            <w:r>
              <w:rPr>
                <w:rFonts w:hint="eastAsia"/>
                <w:color w:val="auto"/>
                <w:lang w:val="en-US" w:eastAsia="zh-CN"/>
              </w:rPr>
              <w:t>（6）污染物排放总量核算</w:t>
            </w:r>
          </w:p>
          <w:p w14:paraId="5DE1CAC7">
            <w:pPr>
              <w:pStyle w:val="84"/>
              <w:rPr>
                <w:rFonts w:hint="eastAsia"/>
                <w:color w:val="auto"/>
                <w:lang w:val="en-US" w:eastAsia="zh-CN"/>
              </w:rPr>
            </w:pPr>
            <w:r>
              <w:rPr>
                <w:rFonts w:hint="eastAsia"/>
                <w:color w:val="auto"/>
                <w:lang w:val="en-US" w:eastAsia="zh-CN"/>
              </w:rPr>
              <w:t>根据现有工程验收监测报告，结合生产工况核算项目有组织废气和废水排放情况如下；无组织废气排放量根据环评数据，核算后现有工程污染物排放量见下表。</w:t>
            </w:r>
          </w:p>
          <w:p w14:paraId="0EA6FB07">
            <w:pPr>
              <w:pStyle w:val="86"/>
              <w:rPr>
                <w:color w:val="auto"/>
              </w:rPr>
            </w:pPr>
            <w:r>
              <w:rPr>
                <w:rFonts w:hint="eastAsia"/>
                <w:color w:val="auto"/>
              </w:rPr>
              <w:t>表2-</w:t>
            </w:r>
            <w:r>
              <w:rPr>
                <w:color w:val="auto"/>
              </w:rPr>
              <w:t xml:space="preserve">15 </w:t>
            </w:r>
            <w:r>
              <w:rPr>
                <w:rFonts w:hint="eastAsia"/>
                <w:color w:val="auto"/>
              </w:rPr>
              <w:t>现有工程污染物排放总量一览表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181"/>
              <w:gridCol w:w="3667"/>
            </w:tblGrid>
            <w:tr w14:paraId="4B39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noWrap w:val="0"/>
                  <w:vAlign w:val="center"/>
                </w:tcPr>
                <w:p w14:paraId="4AECE91A">
                  <w:pPr>
                    <w:widowControl/>
                    <w:jc w:val="center"/>
                    <w:rPr>
                      <w:color w:val="auto"/>
                      <w:kern w:val="0"/>
                      <w:szCs w:val="21"/>
                    </w:rPr>
                  </w:pPr>
                  <w:r>
                    <w:rPr>
                      <w:color w:val="auto"/>
                      <w:kern w:val="0"/>
                      <w:szCs w:val="21"/>
                    </w:rPr>
                    <w:t>类别</w:t>
                  </w:r>
                </w:p>
              </w:tc>
              <w:tc>
                <w:tcPr>
                  <w:tcW w:w="1374" w:type="pct"/>
                  <w:noWrap w:val="0"/>
                  <w:vAlign w:val="center"/>
                </w:tcPr>
                <w:p w14:paraId="72690429">
                  <w:pPr>
                    <w:widowControl/>
                    <w:jc w:val="center"/>
                    <w:rPr>
                      <w:rFonts w:eastAsia="Times New Roman"/>
                      <w:color w:val="auto"/>
                      <w:kern w:val="0"/>
                      <w:szCs w:val="21"/>
                    </w:rPr>
                  </w:pPr>
                  <w:r>
                    <w:rPr>
                      <w:rFonts w:hint="eastAsia" w:ascii="宋体" w:hAnsi="宋体" w:cs="宋体"/>
                      <w:color w:val="auto"/>
                      <w:kern w:val="0"/>
                      <w:szCs w:val="21"/>
                    </w:rPr>
                    <w:t>污染物名称</w:t>
                  </w:r>
                </w:p>
              </w:tc>
              <w:tc>
                <w:tcPr>
                  <w:tcW w:w="2310" w:type="pct"/>
                  <w:noWrap w:val="0"/>
                  <w:vAlign w:val="center"/>
                </w:tcPr>
                <w:p w14:paraId="618F3704">
                  <w:pPr>
                    <w:widowControl/>
                    <w:jc w:val="center"/>
                    <w:rPr>
                      <w:rFonts w:eastAsia="Times New Roman"/>
                      <w:color w:val="auto"/>
                      <w:kern w:val="0"/>
                      <w:szCs w:val="21"/>
                    </w:rPr>
                  </w:pPr>
                  <w:r>
                    <w:rPr>
                      <w:color w:val="auto"/>
                      <w:kern w:val="0"/>
                      <w:szCs w:val="21"/>
                    </w:rPr>
                    <w:t>排放</w:t>
                  </w:r>
                  <w:r>
                    <w:rPr>
                      <w:rFonts w:hint="eastAsia" w:ascii="宋体" w:hAnsi="宋体" w:cs="宋体"/>
                      <w:color w:val="auto"/>
                      <w:kern w:val="0"/>
                      <w:szCs w:val="21"/>
                    </w:rPr>
                    <w:t>量（</w:t>
                  </w:r>
                  <w:r>
                    <w:rPr>
                      <w:rFonts w:eastAsia="Times New Roman"/>
                      <w:color w:val="auto"/>
                      <w:kern w:val="0"/>
                      <w:szCs w:val="21"/>
                    </w:rPr>
                    <w:t>t/a</w:t>
                  </w:r>
                  <w:r>
                    <w:rPr>
                      <w:rFonts w:hint="eastAsia" w:ascii="宋体" w:hAnsi="宋体" w:cs="宋体"/>
                      <w:color w:val="auto"/>
                      <w:kern w:val="0"/>
                      <w:szCs w:val="21"/>
                    </w:rPr>
                    <w:t>）</w:t>
                  </w:r>
                </w:p>
              </w:tc>
            </w:tr>
            <w:tr w14:paraId="54DD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noWrap w:val="0"/>
                  <w:vAlign w:val="center"/>
                </w:tcPr>
                <w:p w14:paraId="78DFB4E4">
                  <w:pPr>
                    <w:widowControl/>
                    <w:jc w:val="center"/>
                    <w:rPr>
                      <w:rFonts w:eastAsia="Times New Roman"/>
                      <w:color w:val="auto"/>
                      <w:kern w:val="0"/>
                      <w:szCs w:val="21"/>
                    </w:rPr>
                  </w:pPr>
                  <w:r>
                    <w:rPr>
                      <w:rFonts w:hint="eastAsia" w:ascii="宋体" w:hAnsi="宋体" w:cs="宋体"/>
                      <w:color w:val="auto"/>
                      <w:kern w:val="0"/>
                      <w:szCs w:val="21"/>
                    </w:rPr>
                    <w:t>有组织</w:t>
                  </w:r>
                  <w:r>
                    <w:rPr>
                      <w:color w:val="auto"/>
                      <w:kern w:val="0"/>
                      <w:szCs w:val="21"/>
                    </w:rPr>
                    <w:t>废气</w:t>
                  </w:r>
                </w:p>
              </w:tc>
              <w:tc>
                <w:tcPr>
                  <w:tcW w:w="1374" w:type="pct"/>
                  <w:noWrap w:val="0"/>
                  <w:vAlign w:val="center"/>
                </w:tcPr>
                <w:p w14:paraId="5054EC3D">
                  <w:pPr>
                    <w:widowControl/>
                    <w:jc w:val="center"/>
                    <w:rPr>
                      <w:rFonts w:eastAsia="Times New Roman"/>
                      <w:color w:val="auto"/>
                      <w:kern w:val="0"/>
                      <w:szCs w:val="21"/>
                    </w:rPr>
                  </w:pPr>
                  <w:r>
                    <w:rPr>
                      <w:color w:val="auto"/>
                      <w:szCs w:val="21"/>
                    </w:rPr>
                    <w:t>颗粒物</w:t>
                  </w:r>
                </w:p>
              </w:tc>
              <w:tc>
                <w:tcPr>
                  <w:tcW w:w="2310" w:type="pct"/>
                  <w:noWrap w:val="0"/>
                  <w:vAlign w:val="center"/>
                </w:tcPr>
                <w:p w14:paraId="41BA5D63">
                  <w:pPr>
                    <w:widowControl/>
                    <w:jc w:val="center"/>
                    <w:rPr>
                      <w:rFonts w:hint="default" w:eastAsia="宋体"/>
                      <w:color w:val="auto"/>
                      <w:kern w:val="0"/>
                      <w:szCs w:val="21"/>
                      <w:lang w:val="en-US" w:eastAsia="zh-CN"/>
                    </w:rPr>
                  </w:pPr>
                  <w:r>
                    <w:rPr>
                      <w:rFonts w:hint="eastAsia" w:eastAsia="等线"/>
                      <w:color w:val="auto"/>
                      <w:szCs w:val="21"/>
                      <w:lang w:val="en-US" w:eastAsia="zh-CN"/>
                    </w:rPr>
                    <w:t>0.924</w:t>
                  </w:r>
                </w:p>
              </w:tc>
            </w:tr>
            <w:tr w14:paraId="16DE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3E198D3B">
                  <w:pPr>
                    <w:widowControl/>
                    <w:jc w:val="center"/>
                    <w:rPr>
                      <w:rFonts w:eastAsia="Times New Roman"/>
                      <w:color w:val="auto"/>
                      <w:kern w:val="0"/>
                      <w:szCs w:val="21"/>
                    </w:rPr>
                  </w:pPr>
                </w:p>
              </w:tc>
              <w:tc>
                <w:tcPr>
                  <w:tcW w:w="1374" w:type="pct"/>
                  <w:noWrap w:val="0"/>
                  <w:vAlign w:val="center"/>
                </w:tcPr>
                <w:p w14:paraId="61C23CC0">
                  <w:pPr>
                    <w:widowControl/>
                    <w:jc w:val="center"/>
                    <w:rPr>
                      <w:color w:val="auto"/>
                      <w:kern w:val="0"/>
                      <w:szCs w:val="21"/>
                    </w:rPr>
                  </w:pPr>
                  <w:r>
                    <w:rPr>
                      <w:rFonts w:eastAsia="等线"/>
                      <w:color w:val="auto"/>
                      <w:szCs w:val="21"/>
                    </w:rPr>
                    <w:t>SO</w:t>
                  </w:r>
                  <w:r>
                    <w:rPr>
                      <w:rFonts w:eastAsia="等线"/>
                      <w:color w:val="auto"/>
                      <w:szCs w:val="21"/>
                      <w:vertAlign w:val="subscript"/>
                    </w:rPr>
                    <w:t>2</w:t>
                  </w:r>
                </w:p>
              </w:tc>
              <w:tc>
                <w:tcPr>
                  <w:tcW w:w="2310" w:type="pct"/>
                  <w:noWrap w:val="0"/>
                  <w:vAlign w:val="center"/>
                </w:tcPr>
                <w:p w14:paraId="6F3C8557">
                  <w:pPr>
                    <w:widowControl/>
                    <w:jc w:val="center"/>
                    <w:rPr>
                      <w:rFonts w:hint="default" w:eastAsia="宋体"/>
                      <w:color w:val="auto"/>
                      <w:kern w:val="0"/>
                      <w:szCs w:val="21"/>
                      <w:lang w:val="en-US" w:eastAsia="zh-CN"/>
                    </w:rPr>
                  </w:pPr>
                  <w:r>
                    <w:rPr>
                      <w:rFonts w:hint="eastAsia" w:eastAsia="等线"/>
                      <w:color w:val="auto"/>
                      <w:szCs w:val="21"/>
                      <w:lang w:val="en-US" w:eastAsia="zh-CN"/>
                    </w:rPr>
                    <w:t>1.01</w:t>
                  </w:r>
                </w:p>
              </w:tc>
            </w:tr>
            <w:tr w14:paraId="4373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547CF880">
                  <w:pPr>
                    <w:widowControl/>
                    <w:jc w:val="center"/>
                    <w:rPr>
                      <w:rFonts w:eastAsia="Times New Roman"/>
                      <w:color w:val="auto"/>
                      <w:kern w:val="0"/>
                      <w:szCs w:val="21"/>
                    </w:rPr>
                  </w:pPr>
                </w:p>
              </w:tc>
              <w:tc>
                <w:tcPr>
                  <w:tcW w:w="1374" w:type="pct"/>
                  <w:noWrap w:val="0"/>
                  <w:vAlign w:val="center"/>
                </w:tcPr>
                <w:p w14:paraId="3CD0DDC6">
                  <w:pPr>
                    <w:widowControl/>
                    <w:jc w:val="center"/>
                    <w:rPr>
                      <w:rFonts w:eastAsia="Times New Roman"/>
                      <w:color w:val="auto"/>
                      <w:kern w:val="0"/>
                      <w:szCs w:val="21"/>
                    </w:rPr>
                  </w:pPr>
                  <w:r>
                    <w:rPr>
                      <w:rFonts w:ascii="Times New Roman" w:hAnsi="Times New Roman" w:eastAsia="等线" w:cs="Times New Roman"/>
                      <w:color w:val="auto"/>
                      <w:szCs w:val="21"/>
                    </w:rPr>
                    <w:t>NOx</w:t>
                  </w:r>
                </w:p>
              </w:tc>
              <w:tc>
                <w:tcPr>
                  <w:tcW w:w="2310" w:type="pct"/>
                  <w:noWrap w:val="0"/>
                  <w:vAlign w:val="center"/>
                </w:tcPr>
                <w:p w14:paraId="402143EC">
                  <w:pPr>
                    <w:widowControl/>
                    <w:jc w:val="center"/>
                    <w:rPr>
                      <w:rFonts w:hint="default" w:eastAsia="宋体"/>
                      <w:color w:val="auto"/>
                      <w:kern w:val="0"/>
                      <w:szCs w:val="21"/>
                      <w:lang w:val="en-US" w:eastAsia="zh-CN"/>
                    </w:rPr>
                  </w:pPr>
                  <w:r>
                    <w:rPr>
                      <w:rFonts w:hint="eastAsia" w:eastAsia="等线"/>
                      <w:color w:val="auto"/>
                      <w:szCs w:val="21"/>
                      <w:lang w:val="en-US" w:eastAsia="zh-CN"/>
                    </w:rPr>
                    <w:t>3.18</w:t>
                  </w:r>
                </w:p>
              </w:tc>
            </w:tr>
            <w:tr w14:paraId="6118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33433C31">
                  <w:pPr>
                    <w:widowControl/>
                    <w:jc w:val="center"/>
                    <w:rPr>
                      <w:rFonts w:eastAsia="Times New Roman"/>
                      <w:color w:val="auto"/>
                      <w:kern w:val="0"/>
                      <w:szCs w:val="21"/>
                    </w:rPr>
                  </w:pPr>
                </w:p>
              </w:tc>
              <w:tc>
                <w:tcPr>
                  <w:tcW w:w="1374" w:type="pct"/>
                  <w:noWrap w:val="0"/>
                  <w:vAlign w:val="center"/>
                </w:tcPr>
                <w:p w14:paraId="2231CB9A">
                  <w:pPr>
                    <w:widowControl/>
                    <w:jc w:val="center"/>
                    <w:rPr>
                      <w:rFonts w:hint="eastAsia" w:eastAsia="等线"/>
                      <w:color w:val="auto"/>
                      <w:szCs w:val="21"/>
                      <w:lang w:val="en-US" w:eastAsia="zh-CN"/>
                    </w:rPr>
                  </w:pPr>
                  <w:r>
                    <w:rPr>
                      <w:rFonts w:hint="eastAsia" w:ascii="宋体" w:hAnsi="宋体" w:eastAsia="宋体" w:cs="宋体"/>
                      <w:color w:val="auto"/>
                      <w:szCs w:val="21"/>
                      <w:lang w:val="en-US" w:eastAsia="zh-CN"/>
                    </w:rPr>
                    <w:t>氨</w:t>
                  </w:r>
                </w:p>
              </w:tc>
              <w:tc>
                <w:tcPr>
                  <w:tcW w:w="2310" w:type="pct"/>
                  <w:noWrap w:val="0"/>
                  <w:vAlign w:val="center"/>
                </w:tcPr>
                <w:p w14:paraId="2DF92538">
                  <w:pPr>
                    <w:widowControl/>
                    <w:jc w:val="center"/>
                    <w:rPr>
                      <w:rFonts w:hint="default" w:eastAsia="等线"/>
                      <w:color w:val="auto"/>
                      <w:szCs w:val="21"/>
                      <w:lang w:val="en-US" w:eastAsia="zh-CN"/>
                    </w:rPr>
                  </w:pPr>
                  <w:r>
                    <w:rPr>
                      <w:rFonts w:hint="eastAsia" w:eastAsia="等线"/>
                      <w:color w:val="auto"/>
                      <w:szCs w:val="21"/>
                      <w:lang w:val="en-US" w:eastAsia="zh-CN"/>
                    </w:rPr>
                    <w:t>0.395</w:t>
                  </w:r>
                </w:p>
              </w:tc>
            </w:tr>
            <w:tr w14:paraId="122E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noWrap w:val="0"/>
                  <w:vAlign w:val="center"/>
                </w:tcPr>
                <w:p w14:paraId="1D818423">
                  <w:pPr>
                    <w:widowControl/>
                    <w:jc w:val="center"/>
                    <w:rPr>
                      <w:rFonts w:eastAsia="Times New Roman"/>
                      <w:color w:val="auto"/>
                      <w:kern w:val="0"/>
                      <w:szCs w:val="21"/>
                    </w:rPr>
                  </w:pPr>
                  <w:r>
                    <w:rPr>
                      <w:rFonts w:hint="eastAsia" w:ascii="宋体" w:hAnsi="宋体" w:cs="宋体"/>
                      <w:color w:val="auto"/>
                      <w:kern w:val="0"/>
                      <w:szCs w:val="21"/>
                    </w:rPr>
                    <w:t>无组织</w:t>
                  </w:r>
                  <w:r>
                    <w:rPr>
                      <w:color w:val="auto"/>
                      <w:kern w:val="0"/>
                      <w:szCs w:val="21"/>
                    </w:rPr>
                    <w:t>废气</w:t>
                  </w:r>
                </w:p>
              </w:tc>
              <w:tc>
                <w:tcPr>
                  <w:tcW w:w="1374" w:type="pct"/>
                  <w:noWrap w:val="0"/>
                  <w:vAlign w:val="center"/>
                </w:tcPr>
                <w:p w14:paraId="17BB64F1">
                  <w:pPr>
                    <w:widowControl/>
                    <w:jc w:val="center"/>
                    <w:rPr>
                      <w:rFonts w:eastAsia="Times New Roman"/>
                      <w:color w:val="auto"/>
                      <w:kern w:val="0"/>
                      <w:szCs w:val="21"/>
                    </w:rPr>
                  </w:pPr>
                  <w:r>
                    <w:rPr>
                      <w:rFonts w:hint="eastAsia" w:ascii="宋体" w:hAnsi="宋体" w:cs="宋体"/>
                      <w:color w:val="auto"/>
                      <w:kern w:val="0"/>
                      <w:szCs w:val="21"/>
                    </w:rPr>
                    <w:t>颗粒物</w:t>
                  </w:r>
                </w:p>
              </w:tc>
              <w:tc>
                <w:tcPr>
                  <w:tcW w:w="2310" w:type="pct"/>
                  <w:noWrap w:val="0"/>
                  <w:vAlign w:val="center"/>
                </w:tcPr>
                <w:p w14:paraId="08C82D7E">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3.11</w:t>
                  </w:r>
                </w:p>
              </w:tc>
            </w:tr>
            <w:tr w14:paraId="7B96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50652719">
                  <w:pPr>
                    <w:widowControl/>
                    <w:jc w:val="center"/>
                    <w:rPr>
                      <w:rFonts w:hint="eastAsia" w:ascii="宋体" w:hAnsi="宋体" w:cs="宋体"/>
                      <w:color w:val="auto"/>
                      <w:kern w:val="0"/>
                      <w:szCs w:val="21"/>
                    </w:rPr>
                  </w:pPr>
                </w:p>
              </w:tc>
              <w:tc>
                <w:tcPr>
                  <w:tcW w:w="1374" w:type="pct"/>
                  <w:noWrap w:val="0"/>
                  <w:vAlign w:val="center"/>
                </w:tcPr>
                <w:p w14:paraId="0BEF97DB">
                  <w:pPr>
                    <w:widowControl/>
                    <w:jc w:val="center"/>
                    <w:rPr>
                      <w:rFonts w:hint="eastAsia" w:ascii="宋体" w:hAnsi="宋体" w:cs="宋体"/>
                      <w:color w:val="auto"/>
                      <w:kern w:val="0"/>
                      <w:szCs w:val="21"/>
                    </w:rPr>
                  </w:pPr>
                  <w:r>
                    <w:rPr>
                      <w:rFonts w:eastAsia="等线"/>
                      <w:color w:val="auto"/>
                      <w:szCs w:val="21"/>
                    </w:rPr>
                    <w:t>SO</w:t>
                  </w:r>
                  <w:r>
                    <w:rPr>
                      <w:rFonts w:eastAsia="等线"/>
                      <w:color w:val="auto"/>
                      <w:szCs w:val="21"/>
                      <w:vertAlign w:val="subscript"/>
                    </w:rPr>
                    <w:t>2</w:t>
                  </w:r>
                </w:p>
              </w:tc>
              <w:tc>
                <w:tcPr>
                  <w:tcW w:w="2310" w:type="pct"/>
                  <w:noWrap w:val="0"/>
                  <w:vAlign w:val="center"/>
                </w:tcPr>
                <w:p w14:paraId="3CED862F">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w:t>
                  </w:r>
                </w:p>
              </w:tc>
            </w:tr>
            <w:tr w14:paraId="7654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1D347978">
                  <w:pPr>
                    <w:widowControl/>
                    <w:jc w:val="center"/>
                    <w:rPr>
                      <w:rFonts w:hint="eastAsia" w:ascii="宋体" w:hAnsi="宋体" w:cs="宋体"/>
                      <w:color w:val="auto"/>
                      <w:kern w:val="0"/>
                      <w:szCs w:val="21"/>
                    </w:rPr>
                  </w:pPr>
                </w:p>
              </w:tc>
              <w:tc>
                <w:tcPr>
                  <w:tcW w:w="1374" w:type="pct"/>
                  <w:noWrap w:val="0"/>
                  <w:vAlign w:val="center"/>
                </w:tcPr>
                <w:p w14:paraId="0392495B">
                  <w:pPr>
                    <w:widowControl/>
                    <w:jc w:val="center"/>
                    <w:rPr>
                      <w:rFonts w:hint="eastAsia" w:ascii="宋体" w:hAnsi="宋体" w:cs="宋体"/>
                      <w:color w:val="auto"/>
                      <w:kern w:val="0"/>
                      <w:szCs w:val="21"/>
                    </w:rPr>
                  </w:pPr>
                  <w:r>
                    <w:rPr>
                      <w:rFonts w:ascii="Times New Roman" w:hAnsi="Times New Roman" w:eastAsia="等线" w:cs="Times New Roman"/>
                      <w:color w:val="auto"/>
                      <w:szCs w:val="21"/>
                    </w:rPr>
                    <w:t>NOx</w:t>
                  </w:r>
                </w:p>
              </w:tc>
              <w:tc>
                <w:tcPr>
                  <w:tcW w:w="2310" w:type="pct"/>
                  <w:noWrap w:val="0"/>
                  <w:vAlign w:val="center"/>
                </w:tcPr>
                <w:p w14:paraId="673810BB">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w:t>
                  </w:r>
                </w:p>
              </w:tc>
            </w:tr>
            <w:tr w14:paraId="62E7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1E243A27">
                  <w:pPr>
                    <w:widowControl/>
                    <w:jc w:val="center"/>
                    <w:rPr>
                      <w:rFonts w:hint="eastAsia" w:ascii="宋体" w:hAnsi="宋体" w:cs="宋体"/>
                      <w:color w:val="auto"/>
                      <w:kern w:val="0"/>
                      <w:szCs w:val="21"/>
                    </w:rPr>
                  </w:pPr>
                </w:p>
              </w:tc>
              <w:tc>
                <w:tcPr>
                  <w:tcW w:w="1374" w:type="pct"/>
                  <w:noWrap w:val="0"/>
                  <w:vAlign w:val="center"/>
                </w:tcPr>
                <w:p w14:paraId="71AEAC7C">
                  <w:pPr>
                    <w:widowControl/>
                    <w:jc w:val="center"/>
                    <w:rPr>
                      <w:rFonts w:hint="eastAsia" w:ascii="宋体" w:hAnsi="宋体" w:cs="宋体"/>
                      <w:color w:val="auto"/>
                      <w:kern w:val="0"/>
                      <w:szCs w:val="21"/>
                    </w:rPr>
                  </w:pPr>
                  <w:r>
                    <w:rPr>
                      <w:rFonts w:hint="eastAsia" w:ascii="宋体" w:hAnsi="宋体" w:eastAsia="宋体" w:cs="宋体"/>
                      <w:color w:val="auto"/>
                      <w:szCs w:val="21"/>
                      <w:lang w:val="en-US" w:eastAsia="zh-CN"/>
                    </w:rPr>
                    <w:t>氨</w:t>
                  </w:r>
                </w:p>
              </w:tc>
              <w:tc>
                <w:tcPr>
                  <w:tcW w:w="2310" w:type="pct"/>
                  <w:noWrap w:val="0"/>
                  <w:vAlign w:val="center"/>
                </w:tcPr>
                <w:p w14:paraId="0FA5A4AA">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w:t>
                  </w:r>
                </w:p>
              </w:tc>
            </w:tr>
            <w:tr w14:paraId="584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noWrap w:val="0"/>
                  <w:vAlign w:val="center"/>
                </w:tcPr>
                <w:p w14:paraId="6BEF5786">
                  <w:pPr>
                    <w:widowControl/>
                    <w:jc w:val="center"/>
                    <w:rPr>
                      <w:rFonts w:eastAsia="Times New Roman"/>
                      <w:color w:val="auto"/>
                      <w:kern w:val="0"/>
                      <w:szCs w:val="21"/>
                    </w:rPr>
                  </w:pPr>
                  <w:r>
                    <w:rPr>
                      <w:color w:val="auto"/>
                      <w:kern w:val="0"/>
                      <w:szCs w:val="21"/>
                    </w:rPr>
                    <w:t>废水</w:t>
                  </w:r>
                </w:p>
              </w:tc>
              <w:tc>
                <w:tcPr>
                  <w:tcW w:w="1374" w:type="pct"/>
                  <w:noWrap w:val="0"/>
                  <w:vAlign w:val="center"/>
                </w:tcPr>
                <w:p w14:paraId="5CBF71F6">
                  <w:pPr>
                    <w:widowControl/>
                    <w:jc w:val="center"/>
                    <w:rPr>
                      <w:color w:val="auto"/>
                      <w:kern w:val="0"/>
                      <w:szCs w:val="21"/>
                    </w:rPr>
                  </w:pPr>
                  <w:r>
                    <w:rPr>
                      <w:color w:val="auto"/>
                      <w:kern w:val="0"/>
                      <w:szCs w:val="21"/>
                    </w:rPr>
                    <w:t>废水量</w:t>
                  </w:r>
                </w:p>
              </w:tc>
              <w:tc>
                <w:tcPr>
                  <w:tcW w:w="2310" w:type="pct"/>
                  <w:noWrap w:val="0"/>
                  <w:vAlign w:val="center"/>
                </w:tcPr>
                <w:p w14:paraId="082D9653">
                  <w:pPr>
                    <w:widowControl/>
                    <w:jc w:val="center"/>
                    <w:rPr>
                      <w:rFonts w:hint="default" w:eastAsia="等线"/>
                      <w:color w:val="auto"/>
                      <w:kern w:val="0"/>
                      <w:szCs w:val="21"/>
                      <w:lang w:val="en-US" w:eastAsia="zh-CN"/>
                    </w:rPr>
                  </w:pPr>
                  <w:r>
                    <w:rPr>
                      <w:rFonts w:hint="eastAsia" w:eastAsia="等线"/>
                      <w:color w:val="auto"/>
                      <w:kern w:val="0"/>
                      <w:szCs w:val="21"/>
                      <w:lang w:val="en-US" w:eastAsia="zh-CN"/>
                    </w:rPr>
                    <w:t>6770</w:t>
                  </w:r>
                </w:p>
              </w:tc>
            </w:tr>
            <w:tr w14:paraId="0299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294B5BA0">
                  <w:pPr>
                    <w:widowControl/>
                    <w:jc w:val="center"/>
                    <w:rPr>
                      <w:rFonts w:eastAsia="Times New Roman"/>
                      <w:color w:val="auto"/>
                      <w:kern w:val="0"/>
                      <w:szCs w:val="21"/>
                    </w:rPr>
                  </w:pPr>
                </w:p>
              </w:tc>
              <w:tc>
                <w:tcPr>
                  <w:tcW w:w="1374" w:type="pct"/>
                  <w:noWrap w:val="0"/>
                  <w:vAlign w:val="center"/>
                </w:tcPr>
                <w:p w14:paraId="73BB398D">
                  <w:pPr>
                    <w:widowControl/>
                    <w:jc w:val="center"/>
                    <w:rPr>
                      <w:color w:val="auto"/>
                      <w:kern w:val="0"/>
                      <w:szCs w:val="21"/>
                    </w:rPr>
                  </w:pPr>
                  <w:r>
                    <w:rPr>
                      <w:color w:val="auto"/>
                      <w:kern w:val="0"/>
                      <w:szCs w:val="21"/>
                    </w:rPr>
                    <w:t>COD</w:t>
                  </w:r>
                </w:p>
              </w:tc>
              <w:tc>
                <w:tcPr>
                  <w:tcW w:w="2310" w:type="pct"/>
                  <w:noWrap w:val="0"/>
                  <w:vAlign w:val="center"/>
                </w:tcPr>
                <w:p w14:paraId="60D8F1CE">
                  <w:pPr>
                    <w:widowControl/>
                    <w:jc w:val="center"/>
                    <w:rPr>
                      <w:rFonts w:hint="default" w:eastAsia="等线"/>
                      <w:color w:val="auto"/>
                      <w:kern w:val="0"/>
                      <w:szCs w:val="21"/>
                      <w:lang w:val="en-US" w:eastAsia="zh-CN"/>
                    </w:rPr>
                  </w:pPr>
                  <w:r>
                    <w:rPr>
                      <w:rFonts w:eastAsia="等线"/>
                      <w:color w:val="auto"/>
                      <w:kern w:val="0"/>
                      <w:szCs w:val="21"/>
                    </w:rPr>
                    <w:t>0.</w:t>
                  </w:r>
                  <w:r>
                    <w:rPr>
                      <w:rFonts w:hint="eastAsia" w:eastAsia="等线"/>
                      <w:color w:val="auto"/>
                      <w:kern w:val="0"/>
                      <w:szCs w:val="21"/>
                      <w:lang w:val="en-US" w:eastAsia="zh-CN"/>
                    </w:rPr>
                    <w:t>105</w:t>
                  </w:r>
                </w:p>
              </w:tc>
            </w:tr>
            <w:tr w14:paraId="1480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395062D8">
                  <w:pPr>
                    <w:widowControl/>
                    <w:jc w:val="center"/>
                    <w:rPr>
                      <w:rFonts w:eastAsia="Times New Roman"/>
                      <w:color w:val="auto"/>
                      <w:kern w:val="0"/>
                      <w:szCs w:val="21"/>
                    </w:rPr>
                  </w:pPr>
                </w:p>
              </w:tc>
              <w:tc>
                <w:tcPr>
                  <w:tcW w:w="1374" w:type="pct"/>
                  <w:noWrap w:val="0"/>
                  <w:vAlign w:val="center"/>
                </w:tcPr>
                <w:p w14:paraId="37805A99">
                  <w:pPr>
                    <w:widowControl/>
                    <w:jc w:val="center"/>
                    <w:rPr>
                      <w:color w:val="auto"/>
                      <w:kern w:val="0"/>
                      <w:szCs w:val="21"/>
                    </w:rPr>
                  </w:pPr>
                  <w:r>
                    <w:rPr>
                      <w:color w:val="auto"/>
                      <w:kern w:val="0"/>
                      <w:szCs w:val="21"/>
                    </w:rPr>
                    <w:t>氨氮</w:t>
                  </w:r>
                </w:p>
              </w:tc>
              <w:tc>
                <w:tcPr>
                  <w:tcW w:w="2310" w:type="pct"/>
                  <w:noWrap w:val="0"/>
                  <w:vAlign w:val="center"/>
                </w:tcPr>
                <w:p w14:paraId="00D46E57">
                  <w:pPr>
                    <w:widowControl/>
                    <w:jc w:val="center"/>
                    <w:rPr>
                      <w:rFonts w:hint="default" w:eastAsia="等线"/>
                      <w:color w:val="auto"/>
                      <w:kern w:val="0"/>
                      <w:szCs w:val="21"/>
                      <w:lang w:val="en-US" w:eastAsia="zh-CN"/>
                    </w:rPr>
                  </w:pPr>
                  <w:r>
                    <w:rPr>
                      <w:rFonts w:hint="eastAsia" w:eastAsia="等线"/>
                      <w:color w:val="auto"/>
                      <w:kern w:val="0"/>
                      <w:szCs w:val="21"/>
                      <w:lang w:val="en-US" w:eastAsia="zh-CN"/>
                    </w:rPr>
                    <w:t>0.0085</w:t>
                  </w:r>
                </w:p>
              </w:tc>
            </w:tr>
            <w:tr w14:paraId="25B5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noWrap w:val="0"/>
                  <w:vAlign w:val="center"/>
                </w:tcPr>
                <w:p w14:paraId="1B6846B7">
                  <w:pPr>
                    <w:widowControl/>
                    <w:jc w:val="center"/>
                    <w:rPr>
                      <w:rFonts w:eastAsia="Times New Roman"/>
                      <w:color w:val="auto"/>
                      <w:kern w:val="0"/>
                      <w:szCs w:val="21"/>
                    </w:rPr>
                  </w:pPr>
                  <w:r>
                    <w:rPr>
                      <w:color w:val="auto"/>
                      <w:kern w:val="0"/>
                      <w:szCs w:val="21"/>
                    </w:rPr>
                    <w:t>固废</w:t>
                  </w:r>
                </w:p>
              </w:tc>
              <w:tc>
                <w:tcPr>
                  <w:tcW w:w="1374" w:type="pct"/>
                  <w:noWrap w:val="0"/>
                  <w:vAlign w:val="center"/>
                </w:tcPr>
                <w:p w14:paraId="77BB6BEF">
                  <w:pPr>
                    <w:jc w:val="center"/>
                    <w:rPr>
                      <w:rFonts w:hint="default" w:eastAsia="新宋体"/>
                      <w:color w:val="auto"/>
                      <w:szCs w:val="21"/>
                      <w:lang w:val="en-US" w:eastAsia="zh-CN"/>
                    </w:rPr>
                  </w:pPr>
                  <w:r>
                    <w:rPr>
                      <w:rFonts w:hint="eastAsia" w:eastAsia="新宋体"/>
                      <w:color w:val="auto"/>
                      <w:szCs w:val="21"/>
                      <w:lang w:val="en-US" w:eastAsia="zh-CN"/>
                    </w:rPr>
                    <w:t>不合格产品</w:t>
                  </w:r>
                </w:p>
              </w:tc>
              <w:tc>
                <w:tcPr>
                  <w:tcW w:w="2310" w:type="pct"/>
                  <w:noWrap w:val="0"/>
                  <w:vAlign w:val="center"/>
                </w:tcPr>
                <w:p w14:paraId="5FBD5F6A">
                  <w:pPr>
                    <w:jc w:val="center"/>
                    <w:rPr>
                      <w:rFonts w:hint="default" w:eastAsia="宋体"/>
                      <w:color w:val="auto"/>
                      <w:szCs w:val="21"/>
                      <w:lang w:val="en-US" w:eastAsia="zh-CN"/>
                    </w:rPr>
                  </w:pPr>
                  <w:r>
                    <w:rPr>
                      <w:rFonts w:hint="eastAsia"/>
                      <w:color w:val="auto"/>
                      <w:szCs w:val="21"/>
                      <w:lang w:val="en-US" w:eastAsia="zh-CN"/>
                    </w:rPr>
                    <w:t>180</w:t>
                  </w:r>
                </w:p>
              </w:tc>
            </w:tr>
            <w:tr w14:paraId="5D96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2736B888">
                  <w:pPr>
                    <w:widowControl/>
                    <w:jc w:val="center"/>
                    <w:rPr>
                      <w:color w:val="auto"/>
                      <w:kern w:val="0"/>
                      <w:szCs w:val="21"/>
                    </w:rPr>
                  </w:pPr>
                </w:p>
              </w:tc>
              <w:tc>
                <w:tcPr>
                  <w:tcW w:w="1374" w:type="pct"/>
                  <w:noWrap w:val="0"/>
                  <w:vAlign w:val="center"/>
                </w:tcPr>
                <w:p w14:paraId="30FA2B8A">
                  <w:pPr>
                    <w:jc w:val="center"/>
                    <w:rPr>
                      <w:rFonts w:hint="eastAsia" w:eastAsia="宋体"/>
                      <w:color w:val="auto"/>
                      <w:szCs w:val="21"/>
                      <w:lang w:eastAsia="zh-CN"/>
                    </w:rPr>
                  </w:pPr>
                  <w:r>
                    <w:rPr>
                      <w:rFonts w:hint="eastAsia"/>
                      <w:color w:val="auto"/>
                      <w:szCs w:val="21"/>
                      <w:lang w:val="en-US" w:eastAsia="zh-CN"/>
                    </w:rPr>
                    <w:t>废包装材料</w:t>
                  </w:r>
                </w:p>
              </w:tc>
              <w:tc>
                <w:tcPr>
                  <w:tcW w:w="2310" w:type="pct"/>
                  <w:noWrap w:val="0"/>
                  <w:vAlign w:val="center"/>
                </w:tcPr>
                <w:p w14:paraId="6D8F9C12">
                  <w:pPr>
                    <w:jc w:val="center"/>
                    <w:rPr>
                      <w:rFonts w:hint="eastAsia" w:eastAsia="宋体"/>
                      <w:color w:val="auto"/>
                      <w:szCs w:val="21"/>
                      <w:lang w:eastAsia="zh-CN"/>
                    </w:rPr>
                  </w:pPr>
                  <w:r>
                    <w:rPr>
                      <w:rFonts w:hint="eastAsia"/>
                      <w:color w:val="auto"/>
                      <w:szCs w:val="21"/>
                      <w:lang w:val="en-US" w:eastAsia="zh-CN"/>
                    </w:rPr>
                    <w:t>1</w:t>
                  </w:r>
                </w:p>
              </w:tc>
            </w:tr>
            <w:tr w14:paraId="1964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1C06DD80">
                  <w:pPr>
                    <w:widowControl/>
                    <w:jc w:val="center"/>
                    <w:rPr>
                      <w:color w:val="auto"/>
                      <w:kern w:val="0"/>
                      <w:szCs w:val="21"/>
                    </w:rPr>
                  </w:pPr>
                </w:p>
              </w:tc>
              <w:tc>
                <w:tcPr>
                  <w:tcW w:w="1374" w:type="pct"/>
                  <w:noWrap w:val="0"/>
                  <w:vAlign w:val="center"/>
                </w:tcPr>
                <w:p w14:paraId="646CD856">
                  <w:pPr>
                    <w:jc w:val="center"/>
                    <w:rPr>
                      <w:rFonts w:hint="eastAsia"/>
                      <w:color w:val="auto"/>
                      <w:szCs w:val="21"/>
                    </w:rPr>
                  </w:pPr>
                  <w:r>
                    <w:rPr>
                      <w:rFonts w:hint="eastAsia"/>
                      <w:color w:val="auto"/>
                      <w:szCs w:val="21"/>
                      <w:lang w:val="en-US" w:eastAsia="zh-CN"/>
                    </w:rPr>
                    <w:t>布袋</w:t>
                  </w:r>
                  <w:r>
                    <w:rPr>
                      <w:rFonts w:hint="eastAsia"/>
                      <w:color w:val="auto"/>
                      <w:szCs w:val="21"/>
                    </w:rPr>
                    <w:t>收集粉尘</w:t>
                  </w:r>
                </w:p>
              </w:tc>
              <w:tc>
                <w:tcPr>
                  <w:tcW w:w="2310" w:type="pct"/>
                  <w:noWrap w:val="0"/>
                  <w:vAlign w:val="center"/>
                </w:tcPr>
                <w:p w14:paraId="011246C1">
                  <w:pPr>
                    <w:jc w:val="center"/>
                    <w:rPr>
                      <w:rFonts w:hint="default" w:eastAsia="宋体"/>
                      <w:color w:val="auto"/>
                      <w:szCs w:val="21"/>
                      <w:lang w:val="en-US" w:eastAsia="zh-CN"/>
                    </w:rPr>
                  </w:pPr>
                  <w:r>
                    <w:rPr>
                      <w:rFonts w:hint="eastAsia"/>
                      <w:color w:val="auto"/>
                      <w:szCs w:val="21"/>
                      <w:lang w:val="en-US" w:eastAsia="zh-CN"/>
                    </w:rPr>
                    <w:t>31</w:t>
                  </w:r>
                </w:p>
              </w:tc>
            </w:tr>
            <w:tr w14:paraId="1742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1B93F14B">
                  <w:pPr>
                    <w:widowControl/>
                    <w:jc w:val="center"/>
                    <w:rPr>
                      <w:color w:val="auto"/>
                      <w:kern w:val="0"/>
                      <w:szCs w:val="21"/>
                    </w:rPr>
                  </w:pPr>
                </w:p>
              </w:tc>
              <w:tc>
                <w:tcPr>
                  <w:tcW w:w="1374" w:type="pct"/>
                  <w:noWrap w:val="0"/>
                  <w:vAlign w:val="center"/>
                </w:tcPr>
                <w:p w14:paraId="6EE3FA09">
                  <w:pPr>
                    <w:jc w:val="center"/>
                    <w:rPr>
                      <w:color w:val="auto"/>
                      <w:szCs w:val="21"/>
                    </w:rPr>
                  </w:pPr>
                  <w:r>
                    <w:rPr>
                      <w:color w:val="auto"/>
                      <w:szCs w:val="21"/>
                    </w:rPr>
                    <w:t>生活垃圾</w:t>
                  </w:r>
                </w:p>
              </w:tc>
              <w:tc>
                <w:tcPr>
                  <w:tcW w:w="2310" w:type="pct"/>
                  <w:noWrap w:val="0"/>
                  <w:vAlign w:val="center"/>
                </w:tcPr>
                <w:p w14:paraId="6D6172DC">
                  <w:pPr>
                    <w:jc w:val="center"/>
                    <w:rPr>
                      <w:rFonts w:hint="default" w:eastAsia="宋体"/>
                      <w:color w:val="auto"/>
                      <w:szCs w:val="21"/>
                      <w:lang w:val="en-US" w:eastAsia="zh-CN"/>
                    </w:rPr>
                  </w:pPr>
                  <w:r>
                    <w:rPr>
                      <w:rFonts w:hint="eastAsia"/>
                      <w:color w:val="auto"/>
                      <w:szCs w:val="21"/>
                      <w:lang w:val="en-US" w:eastAsia="zh-CN"/>
                    </w:rPr>
                    <w:t>45</w:t>
                  </w:r>
                </w:p>
              </w:tc>
            </w:tr>
            <w:tr w14:paraId="7944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50933E52">
                  <w:pPr>
                    <w:widowControl/>
                    <w:jc w:val="center"/>
                    <w:rPr>
                      <w:color w:val="auto"/>
                      <w:kern w:val="0"/>
                      <w:szCs w:val="21"/>
                    </w:rPr>
                  </w:pPr>
                </w:p>
              </w:tc>
              <w:tc>
                <w:tcPr>
                  <w:tcW w:w="1374" w:type="pct"/>
                  <w:noWrap w:val="0"/>
                  <w:vAlign w:val="center"/>
                </w:tcPr>
                <w:p w14:paraId="102A5BA0">
                  <w:pPr>
                    <w:jc w:val="center"/>
                    <w:rPr>
                      <w:color w:val="auto"/>
                      <w:szCs w:val="21"/>
                    </w:rPr>
                  </w:pPr>
                  <w:r>
                    <w:rPr>
                      <w:color w:val="auto"/>
                      <w:szCs w:val="21"/>
                    </w:rPr>
                    <w:t>废</w:t>
                  </w:r>
                  <w:r>
                    <w:rPr>
                      <w:rFonts w:hint="eastAsia"/>
                      <w:color w:val="auto"/>
                      <w:szCs w:val="21"/>
                    </w:rPr>
                    <w:t>机油</w:t>
                  </w:r>
                </w:p>
              </w:tc>
              <w:tc>
                <w:tcPr>
                  <w:tcW w:w="2310" w:type="pct"/>
                  <w:noWrap w:val="0"/>
                  <w:vAlign w:val="center"/>
                </w:tcPr>
                <w:p w14:paraId="666900E5">
                  <w:pPr>
                    <w:jc w:val="center"/>
                    <w:rPr>
                      <w:rFonts w:hint="eastAsia" w:eastAsia="宋体"/>
                      <w:color w:val="auto"/>
                      <w:szCs w:val="21"/>
                      <w:lang w:eastAsia="zh-CN"/>
                    </w:rPr>
                  </w:pPr>
                  <w:r>
                    <w:rPr>
                      <w:rFonts w:hint="eastAsia" w:eastAsia="新宋体"/>
                      <w:color w:val="auto"/>
                      <w:szCs w:val="21"/>
                      <w:lang w:val="en-US" w:eastAsia="zh-CN"/>
                    </w:rPr>
                    <w:t>1</w:t>
                  </w:r>
                </w:p>
              </w:tc>
            </w:tr>
            <w:tr w14:paraId="0322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48B45E88">
                  <w:pPr>
                    <w:widowControl/>
                    <w:jc w:val="center"/>
                    <w:rPr>
                      <w:rFonts w:eastAsia="Times New Roman"/>
                      <w:color w:val="auto"/>
                      <w:kern w:val="0"/>
                      <w:szCs w:val="21"/>
                    </w:rPr>
                  </w:pPr>
                </w:p>
              </w:tc>
              <w:tc>
                <w:tcPr>
                  <w:tcW w:w="1374" w:type="pct"/>
                  <w:noWrap w:val="0"/>
                  <w:vAlign w:val="center"/>
                </w:tcPr>
                <w:p w14:paraId="40C49CF8">
                  <w:pPr>
                    <w:widowControl/>
                    <w:jc w:val="center"/>
                    <w:rPr>
                      <w:color w:val="auto"/>
                      <w:kern w:val="0"/>
                      <w:szCs w:val="21"/>
                    </w:rPr>
                  </w:pPr>
                  <w:r>
                    <w:rPr>
                      <w:color w:val="auto"/>
                      <w:kern w:val="0"/>
                      <w:szCs w:val="21"/>
                    </w:rPr>
                    <w:t>废油桶</w:t>
                  </w:r>
                </w:p>
              </w:tc>
              <w:tc>
                <w:tcPr>
                  <w:tcW w:w="2310" w:type="pct"/>
                  <w:noWrap w:val="0"/>
                  <w:vAlign w:val="center"/>
                </w:tcPr>
                <w:p w14:paraId="05DDF86C">
                  <w:pPr>
                    <w:widowControl/>
                    <w:jc w:val="center"/>
                    <w:rPr>
                      <w:rFonts w:hint="eastAsia" w:eastAsia="等线"/>
                      <w:color w:val="auto"/>
                      <w:kern w:val="0"/>
                      <w:szCs w:val="21"/>
                      <w:lang w:eastAsia="zh-CN"/>
                    </w:rPr>
                  </w:pPr>
                  <w:r>
                    <w:rPr>
                      <w:rFonts w:eastAsia="等线"/>
                      <w:color w:val="auto"/>
                      <w:kern w:val="0"/>
                      <w:szCs w:val="21"/>
                    </w:rPr>
                    <w:t>0</w:t>
                  </w:r>
                  <w:r>
                    <w:rPr>
                      <w:rFonts w:hint="eastAsia" w:eastAsia="等线"/>
                      <w:color w:val="auto"/>
                      <w:kern w:val="0"/>
                      <w:szCs w:val="21"/>
                    </w:rPr>
                    <w:t>.</w:t>
                  </w:r>
                  <w:r>
                    <w:rPr>
                      <w:rFonts w:eastAsia="等线"/>
                      <w:color w:val="auto"/>
                      <w:kern w:val="0"/>
                      <w:szCs w:val="21"/>
                    </w:rPr>
                    <w:t>0</w:t>
                  </w:r>
                  <w:r>
                    <w:rPr>
                      <w:rFonts w:hint="eastAsia" w:eastAsia="等线"/>
                      <w:color w:val="auto"/>
                      <w:kern w:val="0"/>
                      <w:szCs w:val="21"/>
                      <w:lang w:val="en-US" w:eastAsia="zh-CN"/>
                    </w:rPr>
                    <w:t>3</w:t>
                  </w:r>
                </w:p>
              </w:tc>
            </w:tr>
            <w:tr w14:paraId="52FA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noWrap w:val="0"/>
                  <w:vAlign w:val="center"/>
                </w:tcPr>
                <w:p w14:paraId="31FD3407">
                  <w:pPr>
                    <w:widowControl/>
                    <w:jc w:val="center"/>
                    <w:rPr>
                      <w:rFonts w:eastAsia="Times New Roman"/>
                      <w:color w:val="auto"/>
                      <w:kern w:val="0"/>
                      <w:szCs w:val="21"/>
                    </w:rPr>
                  </w:pPr>
                </w:p>
              </w:tc>
              <w:tc>
                <w:tcPr>
                  <w:tcW w:w="1374" w:type="pct"/>
                  <w:noWrap w:val="0"/>
                  <w:vAlign w:val="center"/>
                </w:tcPr>
                <w:p w14:paraId="79EE33A4">
                  <w:pPr>
                    <w:widowControl/>
                    <w:jc w:val="center"/>
                    <w:rPr>
                      <w:rFonts w:hint="eastAsia" w:eastAsia="宋体"/>
                      <w:color w:val="auto"/>
                      <w:kern w:val="0"/>
                      <w:szCs w:val="21"/>
                      <w:lang w:val="en-US" w:eastAsia="zh-CN"/>
                    </w:rPr>
                  </w:pPr>
                  <w:r>
                    <w:rPr>
                      <w:rFonts w:hint="eastAsia"/>
                      <w:color w:val="auto"/>
                      <w:kern w:val="0"/>
                      <w:szCs w:val="21"/>
                      <w:lang w:val="en-US" w:eastAsia="zh-CN"/>
                    </w:rPr>
                    <w:t>废催化剂</w:t>
                  </w:r>
                </w:p>
              </w:tc>
              <w:tc>
                <w:tcPr>
                  <w:tcW w:w="2310" w:type="pct"/>
                  <w:noWrap w:val="0"/>
                  <w:vAlign w:val="center"/>
                </w:tcPr>
                <w:p w14:paraId="19B5F695">
                  <w:pPr>
                    <w:widowControl/>
                    <w:jc w:val="center"/>
                    <w:rPr>
                      <w:rFonts w:hint="eastAsia" w:eastAsia="等线"/>
                      <w:color w:val="auto"/>
                      <w:kern w:val="0"/>
                      <w:szCs w:val="21"/>
                      <w:lang w:val="en-US" w:eastAsia="zh-CN"/>
                    </w:rPr>
                  </w:pPr>
                  <w:r>
                    <w:rPr>
                      <w:rFonts w:hint="eastAsia" w:eastAsia="等线"/>
                      <w:color w:val="auto"/>
                      <w:kern w:val="0"/>
                      <w:szCs w:val="21"/>
                      <w:lang w:val="en-US" w:eastAsia="zh-CN"/>
                    </w:rPr>
                    <w:t>/</w:t>
                  </w:r>
                </w:p>
              </w:tc>
            </w:tr>
          </w:tbl>
          <w:p w14:paraId="03B3B27C">
            <w:pPr>
              <w:pStyle w:val="84"/>
              <w:ind w:firstLine="422"/>
              <w:rPr>
                <w:b/>
                <w:bCs w:val="0"/>
                <w:color w:val="auto"/>
                <w:lang w:val="en-US" w:eastAsia="zh-CN"/>
              </w:rPr>
            </w:pPr>
            <w:r>
              <w:rPr>
                <w:rFonts w:hint="eastAsia"/>
                <w:b/>
                <w:bCs w:val="0"/>
                <w:color w:val="auto"/>
                <w:lang w:val="en-US" w:eastAsia="zh-CN"/>
              </w:rPr>
              <w:t>3、现有工程存在问题及整改措施</w:t>
            </w:r>
          </w:p>
          <w:p w14:paraId="5C38A7AE">
            <w:pPr>
              <w:pStyle w:val="84"/>
              <w:rPr>
                <w:color w:val="auto"/>
                <w:lang w:val="en-US" w:eastAsia="zh-CN"/>
              </w:rPr>
            </w:pPr>
            <w:r>
              <w:rPr>
                <w:rFonts w:hint="eastAsia"/>
                <w:color w:val="auto"/>
                <w:lang w:val="en-US" w:eastAsia="zh-CN"/>
              </w:rPr>
              <w:t>本次技改扩建工程部分设备利旧，改建炉窑，熔窑废气、混料、搅拌粉尘治理设施均利旧，一般固废间、危废库利旧。</w:t>
            </w:r>
          </w:p>
          <w:p w14:paraId="5955FFDB">
            <w:pPr>
              <w:pStyle w:val="84"/>
              <w:rPr>
                <w:rFonts w:hint="default" w:ascii="宋体" w:hAnsi="宋体" w:eastAsia="宋体"/>
                <w:bCs w:val="0"/>
                <w:color w:val="auto"/>
                <w:szCs w:val="21"/>
                <w:lang w:val="en-US" w:eastAsia="zh-CN"/>
              </w:rPr>
            </w:pPr>
            <w:r>
              <w:rPr>
                <w:rFonts w:hint="eastAsia"/>
                <w:color w:val="auto"/>
                <w:lang w:val="en-US" w:eastAsia="zh-CN"/>
              </w:rPr>
              <w:t>经现场勘查，厂区存在边角料及废弃物乱堆乱放现象，应加强管理，固体废弃物存放于一般固废暂存间和危废间。本次技改扩建工程建设时，应严格按照本次环评提出的要求进行建设。由于原有熔窑废气产排污系数的更新以及企业的废气排放的实际情况，现有工程废气污染物排放</w:t>
            </w:r>
            <w:r>
              <w:rPr>
                <w:rFonts w:hint="eastAsia" w:ascii="Times New Roman" w:hAnsi="Times New Roman" w:eastAsia="宋体" w:cs="Times New Roman"/>
                <w:bCs/>
                <w:color w:val="auto"/>
                <w:lang w:val="en-US" w:eastAsia="zh-CN"/>
              </w:rPr>
              <w:t>总量分别为SO</w:t>
            </w:r>
            <w:r>
              <w:rPr>
                <w:rFonts w:hint="eastAsia" w:ascii="Times New Roman" w:hAnsi="Times New Roman" w:eastAsia="宋体" w:cs="Times New Roman"/>
                <w:bCs/>
                <w:color w:val="auto"/>
                <w:vertAlign w:val="subscript"/>
                <w:lang w:val="en-US" w:eastAsia="zh-CN"/>
              </w:rPr>
              <w:t>2</w:t>
            </w:r>
            <w:r>
              <w:rPr>
                <w:rFonts w:hint="eastAsia" w:ascii="Times New Roman" w:hAnsi="Times New Roman" w:eastAsia="宋体" w:cs="Times New Roman"/>
                <w:bCs/>
                <w:color w:val="auto"/>
                <w:lang w:val="en-US" w:eastAsia="zh-CN"/>
              </w:rPr>
              <w:t>为0.077t/a，NO</w:t>
            </w:r>
            <w:r>
              <w:rPr>
                <w:rFonts w:hint="eastAsia" w:ascii="Times New Roman" w:hAnsi="Times New Roman" w:eastAsia="宋体" w:cs="Times New Roman"/>
                <w:bCs/>
                <w:color w:val="auto"/>
                <w:vertAlign w:val="subscript"/>
                <w:lang w:val="en-US" w:eastAsia="zh-CN"/>
              </w:rPr>
              <w:t>X</w:t>
            </w:r>
            <w:r>
              <w:rPr>
                <w:rFonts w:hint="eastAsia" w:ascii="Times New Roman" w:hAnsi="Times New Roman" w:eastAsia="宋体" w:cs="Times New Roman"/>
                <w:bCs/>
                <w:color w:val="auto"/>
                <w:lang w:val="en-US" w:eastAsia="zh-CN"/>
              </w:rPr>
              <w:t>为11.974t/a，其中SO</w:t>
            </w:r>
            <w:r>
              <w:rPr>
                <w:rFonts w:hint="eastAsia" w:ascii="Times New Roman" w:hAnsi="Times New Roman" w:eastAsia="宋体" w:cs="Times New Roman"/>
                <w:bCs/>
                <w:color w:val="auto"/>
                <w:vertAlign w:val="subscript"/>
                <w:lang w:val="en-US" w:eastAsia="zh-CN"/>
              </w:rPr>
              <w:t>2</w:t>
            </w:r>
            <w:r>
              <w:rPr>
                <w:rFonts w:hint="eastAsia" w:ascii="Times New Roman" w:hAnsi="Times New Roman" w:eastAsia="宋体" w:cs="Times New Roman"/>
                <w:bCs/>
                <w:color w:val="auto"/>
                <w:vertAlign w:val="baseline"/>
                <w:lang w:val="en-US" w:eastAsia="zh-CN"/>
              </w:rPr>
              <w:t>排放</w:t>
            </w:r>
            <w:r>
              <w:rPr>
                <w:rFonts w:hint="eastAsia" w:ascii="Times New Roman" w:hAnsi="Times New Roman" w:eastAsia="宋体" w:cs="Times New Roman"/>
                <w:bCs/>
                <w:color w:val="auto"/>
                <w:lang w:val="en-US" w:eastAsia="zh-CN"/>
              </w:rPr>
              <w:t>超过总量控制要求，需在采取了合理规范的可行性技术措施后重新核算申请排放总量。</w:t>
            </w:r>
          </w:p>
        </w:tc>
      </w:tr>
    </w:tbl>
    <w:p w14:paraId="297160EA">
      <w:pPr>
        <w:pStyle w:val="30"/>
        <w:ind w:firstLine="720"/>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11CC026">
      <w:pPr>
        <w:pStyle w:val="30"/>
        <w:ind w:firstLine="600"/>
        <w:jc w:val="center"/>
        <w:outlineLvl w:val="0"/>
        <w:rPr>
          <w:rFonts w:ascii="黑体" w:hAnsi="黑体" w:eastAsia="黑体"/>
          <w:snapToGrid w:val="0"/>
          <w:color w:val="auto"/>
          <w:sz w:val="30"/>
          <w:szCs w:val="30"/>
        </w:rPr>
      </w:pPr>
      <w:bookmarkStart w:id="11" w:name="_Toc68109904"/>
      <w:r>
        <w:rPr>
          <w:rFonts w:hint="eastAsia" w:ascii="黑体" w:hAnsi="黑体" w:eastAsia="黑体"/>
          <w:snapToGrid w:val="0"/>
          <w:color w:val="auto"/>
          <w:sz w:val="30"/>
          <w:szCs w:val="30"/>
        </w:rPr>
        <w:t>三、区域环境质量现状、环境保护目标及评价标准</w:t>
      </w:r>
      <w:bookmarkEnd w:id="11"/>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8263"/>
      </w:tblGrid>
      <w:tr w14:paraId="279A9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861" w:hRule="atLeast"/>
          <w:jc w:val="center"/>
        </w:trPr>
        <w:tc>
          <w:tcPr>
            <w:tcW w:w="798" w:type="dxa"/>
            <w:noWrap w:val="0"/>
            <w:vAlign w:val="center"/>
          </w:tcPr>
          <w:p w14:paraId="1299DD7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5B070D2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6F643E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1D30CC57">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263" w:type="dxa"/>
            <w:noWrap w:val="0"/>
            <w:vAlign w:val="center"/>
          </w:tcPr>
          <w:p w14:paraId="14622241">
            <w:pPr>
              <w:pStyle w:val="84"/>
              <w:ind w:firstLine="422"/>
              <w:rPr>
                <w:b/>
                <w:bCs w:val="0"/>
                <w:color w:val="auto"/>
                <w:lang w:val="en-US" w:eastAsia="zh-CN"/>
              </w:rPr>
            </w:pPr>
            <w:r>
              <w:rPr>
                <w:rFonts w:hint="eastAsia"/>
                <w:b/>
                <w:bCs w:val="0"/>
                <w:color w:val="auto"/>
                <w:lang w:val="en-US" w:eastAsia="zh-CN"/>
              </w:rPr>
              <w:t>1、环境空气质量现状</w:t>
            </w:r>
          </w:p>
          <w:p w14:paraId="1AD94708">
            <w:pPr>
              <w:pStyle w:val="84"/>
              <w:rPr>
                <w:color w:val="auto"/>
                <w:lang w:val="en-US" w:eastAsia="zh-CN"/>
              </w:rPr>
            </w:pPr>
            <w:r>
              <w:rPr>
                <w:rFonts w:hint="eastAsia"/>
                <w:color w:val="auto"/>
                <w:lang w:val="en-US" w:eastAsia="zh-CN"/>
              </w:rPr>
              <w:t>（1）区域达标判定</w:t>
            </w:r>
          </w:p>
          <w:p w14:paraId="7F80A5BB">
            <w:pPr>
              <w:pStyle w:val="84"/>
              <w:rPr>
                <w:color w:val="auto"/>
                <w:lang w:val="en-US" w:eastAsia="zh-CN"/>
              </w:rPr>
            </w:pPr>
            <w:r>
              <w:rPr>
                <w:rFonts w:hint="eastAsia"/>
                <w:color w:val="auto"/>
                <w:lang w:val="en-US" w:eastAsia="zh-CN"/>
              </w:rPr>
              <w:t>根据《环境影响评价技术导则 大气环境》（HJ 2.2-2018）要求，本项目所在区域环境空气质量达标情况评价指标为SO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2</w:t>
            </w:r>
            <w:r>
              <w:rPr>
                <w:rFonts w:hint="eastAsia"/>
                <w:color w:val="auto"/>
                <w:lang w:val="en-US" w:eastAsia="zh-CN"/>
              </w:rPr>
              <w:t>、PM</w:t>
            </w:r>
            <w:r>
              <w:rPr>
                <w:rFonts w:hint="eastAsia"/>
                <w:color w:val="auto"/>
                <w:vertAlign w:val="subscript"/>
                <w:lang w:val="en-US" w:eastAsia="zh-CN"/>
              </w:rPr>
              <w:t>10</w:t>
            </w:r>
            <w:r>
              <w:rPr>
                <w:rFonts w:hint="eastAsia"/>
                <w:color w:val="auto"/>
                <w:lang w:val="en-US" w:eastAsia="zh-CN"/>
              </w:rPr>
              <w:t>、PM</w:t>
            </w:r>
            <w:r>
              <w:rPr>
                <w:rFonts w:hint="eastAsia"/>
                <w:color w:val="auto"/>
                <w:vertAlign w:val="subscript"/>
                <w:lang w:val="en-US" w:eastAsia="zh-CN"/>
              </w:rPr>
              <w:t>2.5</w:t>
            </w:r>
            <w:r>
              <w:rPr>
                <w:rFonts w:hint="eastAsia"/>
                <w:color w:val="auto"/>
                <w:lang w:val="en-US" w:eastAsia="zh-CN"/>
              </w:rPr>
              <w:t>、CO和O</w:t>
            </w:r>
            <w:r>
              <w:rPr>
                <w:rFonts w:hint="eastAsia"/>
                <w:color w:val="auto"/>
                <w:vertAlign w:val="subscript"/>
                <w:lang w:val="en-US" w:eastAsia="zh-CN"/>
              </w:rPr>
              <w:t>3</w:t>
            </w:r>
            <w:r>
              <w:rPr>
                <w:rFonts w:hint="eastAsia"/>
                <w:color w:val="auto"/>
                <w:lang w:val="en-US" w:eastAsia="zh-CN"/>
              </w:rPr>
              <w:t>，六项基本污染物全部达标即为城市环境空气质量达标。</w:t>
            </w:r>
          </w:p>
          <w:p w14:paraId="794809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根据《202</w:t>
            </w:r>
            <w:r>
              <w:rPr>
                <w:rFonts w:hint="eastAsia" w:ascii="Times New Roman" w:hAnsi="Times New Roman" w:eastAsia="宋体" w:cs="Times New Roman"/>
                <w:bCs/>
                <w:color w:val="auto"/>
                <w:szCs w:val="21"/>
                <w:lang w:val="en-US" w:eastAsia="zh-CN"/>
              </w:rPr>
              <w:t>3</w:t>
            </w:r>
            <w:r>
              <w:rPr>
                <w:rFonts w:hint="eastAsia" w:ascii="Times New Roman" w:hAnsi="Times New Roman" w:eastAsia="宋体" w:cs="Times New Roman"/>
                <w:bCs/>
                <w:color w:val="auto"/>
                <w:szCs w:val="21"/>
              </w:rPr>
              <w:t>年淮南市环境质量状况公报》，根据AQI标准六个空气质量级别的划分，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细颗粒物（PM</w:t>
            </w:r>
            <w:r>
              <w:rPr>
                <w:rFonts w:hint="eastAsia" w:ascii="Times New Roman" w:hAnsi="Times New Roman" w:eastAsia="宋体" w:cs="Times New Roman"/>
                <w:bCs/>
                <w:color w:val="auto"/>
                <w:szCs w:val="21"/>
                <w:vertAlign w:val="subscript"/>
              </w:rPr>
              <w:t>2.5</w:t>
            </w:r>
            <w:r>
              <w:rPr>
                <w:rFonts w:hint="eastAsia" w:ascii="Times New Roman" w:hAnsi="Times New Roman" w:eastAsia="宋体" w:cs="Times New Roman"/>
                <w:bCs/>
                <w:color w:val="auto"/>
                <w:szCs w:val="21"/>
              </w:rPr>
              <w:t>）日均浓度范围为8～252微克/立方米，日均值达标率为93.0%。年均值为38.7微克/立方米，与上年相比下降了4.4个百分点。可吸入颗粒物（PM</w:t>
            </w:r>
            <w:r>
              <w:rPr>
                <w:rFonts w:hint="eastAsia" w:ascii="Times New Roman" w:hAnsi="Times New Roman" w:eastAsia="宋体" w:cs="Times New Roman"/>
                <w:bCs/>
                <w:color w:val="auto"/>
                <w:szCs w:val="21"/>
                <w:vertAlign w:val="subscript"/>
              </w:rPr>
              <w:t>10</w:t>
            </w:r>
            <w:r>
              <w:rPr>
                <w:rFonts w:hint="eastAsia" w:ascii="Times New Roman" w:hAnsi="Times New Roman" w:eastAsia="宋体" w:cs="Times New Roman"/>
                <w:bCs/>
                <w:color w:val="auto"/>
                <w:szCs w:val="21"/>
              </w:rPr>
              <w:t>）日均浓度范围为12～313微克/立方米，日均值达标率为97.6%。年均值为65.9微克/立方米，与上年相比下降了0.8个百分点。二氧化氮（NO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）日均浓度范围为6～70微克/立方米，日均值达标率为100%。年均浓度为21微克/立方米，与上年相比上升了10.5个百分点。二氧化硫（SO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日均浓度范围为3～15微克/立方米，日均值达标率为100%。年均浓度为8微克/立方米，与上年持平。一氧化碳（CO）日均浓度范围为0.2～1.5毫克/立方米，日均值达标率为100%。日均值第95百分位数为0.7毫克/立方米，与上年相比下降了12.5个百分点。臭氧日最大8小时（O</w:t>
            </w:r>
            <w:r>
              <w:rPr>
                <w:rFonts w:hint="eastAsia" w:ascii="Times New Roman" w:hAnsi="Times New Roman" w:eastAsia="宋体" w:cs="Times New Roman"/>
                <w:bCs/>
                <w:color w:val="auto"/>
                <w:szCs w:val="21"/>
                <w:vertAlign w:val="subscript"/>
              </w:rPr>
              <w:t>3</w:t>
            </w:r>
            <w:r>
              <w:rPr>
                <w:rFonts w:hint="eastAsia" w:ascii="Times New Roman" w:hAnsi="Times New Roman" w:eastAsia="宋体" w:cs="Times New Roman"/>
                <w:bCs/>
                <w:color w:val="auto"/>
                <w:szCs w:val="21"/>
              </w:rPr>
              <w:t>-8h）滑动平均值范围为4～210微克/立方米，达标率为91.8%。日最大8小时滑动平均值第90百分位数为157微克/立方米，与上年相比上升了4.0个百分点。数据及达标情况见表3-</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w:t>
            </w:r>
          </w:p>
          <w:p w14:paraId="13879709">
            <w:pPr>
              <w:pStyle w:val="86"/>
              <w:spacing w:line="300" w:lineRule="atLeas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淮南市202</w:t>
            </w:r>
            <w:r>
              <w:rPr>
                <w:rFonts w:hint="eastAsia"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年环境空气质量年均浓度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单位：ug/m³</w:t>
            </w:r>
            <w:r>
              <w:rPr>
                <w:rFonts w:hint="default" w:ascii="Times New Roman" w:hAnsi="Times New Roman" w:eastAsia="宋体" w:cs="Times New Roman"/>
                <w:b/>
                <w:bCs/>
                <w:color w:val="auto"/>
                <w:sz w:val="21"/>
                <w:szCs w:val="21"/>
                <w:lang w:eastAsia="zh-CN"/>
              </w:rPr>
              <w:t>）</w:t>
            </w:r>
          </w:p>
          <w:tbl>
            <w:tblPr>
              <w:tblStyle w:val="35"/>
              <w:tblW w:w="7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64"/>
              <w:gridCol w:w="1148"/>
              <w:gridCol w:w="1181"/>
              <w:gridCol w:w="1216"/>
              <w:gridCol w:w="1251"/>
            </w:tblGrid>
            <w:tr w14:paraId="4ECE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74" w:type="dxa"/>
                  <w:noWrap w:val="0"/>
                  <w:vAlign w:val="center"/>
                </w:tcPr>
                <w:p w14:paraId="3D79B763">
                  <w:pPr>
                    <w:jc w:val="center"/>
                    <w:rPr>
                      <w:color w:val="auto"/>
                      <w:sz w:val="21"/>
                      <w:szCs w:val="21"/>
                    </w:rPr>
                  </w:pPr>
                  <w:r>
                    <w:rPr>
                      <w:color w:val="auto"/>
                      <w:sz w:val="21"/>
                      <w:szCs w:val="21"/>
                    </w:rPr>
                    <w:t>污染物</w:t>
                  </w:r>
                </w:p>
              </w:tc>
              <w:tc>
                <w:tcPr>
                  <w:tcW w:w="1864" w:type="dxa"/>
                  <w:noWrap w:val="0"/>
                  <w:vAlign w:val="center"/>
                </w:tcPr>
                <w:p w14:paraId="5DA72843">
                  <w:pPr>
                    <w:jc w:val="center"/>
                    <w:rPr>
                      <w:color w:val="auto"/>
                      <w:sz w:val="21"/>
                      <w:szCs w:val="21"/>
                    </w:rPr>
                  </w:pPr>
                  <w:r>
                    <w:rPr>
                      <w:color w:val="auto"/>
                      <w:sz w:val="21"/>
                      <w:szCs w:val="21"/>
                    </w:rPr>
                    <w:t>年评价指标</w:t>
                  </w:r>
                </w:p>
              </w:tc>
              <w:tc>
                <w:tcPr>
                  <w:tcW w:w="1148" w:type="dxa"/>
                  <w:noWrap w:val="0"/>
                  <w:vAlign w:val="center"/>
                </w:tcPr>
                <w:p w14:paraId="37673D5C">
                  <w:pPr>
                    <w:jc w:val="center"/>
                    <w:rPr>
                      <w:color w:val="auto"/>
                      <w:sz w:val="21"/>
                      <w:szCs w:val="21"/>
                    </w:rPr>
                  </w:pPr>
                  <w:r>
                    <w:rPr>
                      <w:color w:val="auto"/>
                      <w:sz w:val="21"/>
                      <w:szCs w:val="21"/>
                    </w:rPr>
                    <w:t>现状浓度</w:t>
                  </w:r>
                </w:p>
              </w:tc>
              <w:tc>
                <w:tcPr>
                  <w:tcW w:w="1181" w:type="dxa"/>
                  <w:noWrap w:val="0"/>
                  <w:vAlign w:val="center"/>
                </w:tcPr>
                <w:p w14:paraId="6C876308">
                  <w:pPr>
                    <w:jc w:val="center"/>
                    <w:rPr>
                      <w:color w:val="auto"/>
                      <w:sz w:val="21"/>
                      <w:szCs w:val="21"/>
                    </w:rPr>
                  </w:pPr>
                  <w:r>
                    <w:rPr>
                      <w:color w:val="auto"/>
                      <w:sz w:val="21"/>
                      <w:szCs w:val="21"/>
                    </w:rPr>
                    <w:t>标准值</w:t>
                  </w:r>
                </w:p>
              </w:tc>
              <w:tc>
                <w:tcPr>
                  <w:tcW w:w="1216" w:type="dxa"/>
                  <w:noWrap w:val="0"/>
                  <w:vAlign w:val="center"/>
                </w:tcPr>
                <w:p w14:paraId="30C01B92">
                  <w:pPr>
                    <w:jc w:val="center"/>
                    <w:rPr>
                      <w:color w:val="auto"/>
                      <w:sz w:val="21"/>
                      <w:szCs w:val="21"/>
                    </w:rPr>
                  </w:pPr>
                  <w:r>
                    <w:rPr>
                      <w:color w:val="auto"/>
                      <w:sz w:val="21"/>
                      <w:szCs w:val="21"/>
                    </w:rPr>
                    <w:t>占标率%</w:t>
                  </w:r>
                </w:p>
              </w:tc>
              <w:tc>
                <w:tcPr>
                  <w:tcW w:w="1251" w:type="dxa"/>
                  <w:noWrap w:val="0"/>
                  <w:vAlign w:val="center"/>
                </w:tcPr>
                <w:p w14:paraId="126333E9">
                  <w:pPr>
                    <w:jc w:val="center"/>
                    <w:rPr>
                      <w:color w:val="auto"/>
                      <w:sz w:val="21"/>
                      <w:szCs w:val="21"/>
                    </w:rPr>
                  </w:pPr>
                  <w:r>
                    <w:rPr>
                      <w:color w:val="auto"/>
                      <w:sz w:val="21"/>
                      <w:szCs w:val="21"/>
                    </w:rPr>
                    <w:t>达标情况</w:t>
                  </w:r>
                </w:p>
              </w:tc>
            </w:tr>
            <w:tr w14:paraId="2282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4" w:type="dxa"/>
                  <w:noWrap w:val="0"/>
                  <w:vAlign w:val="center"/>
                </w:tcPr>
                <w:p w14:paraId="378703D4">
                  <w:pPr>
                    <w:jc w:val="center"/>
                    <w:rPr>
                      <w:color w:val="auto"/>
                      <w:sz w:val="21"/>
                      <w:szCs w:val="21"/>
                    </w:rPr>
                  </w:pPr>
                  <w:r>
                    <w:rPr>
                      <w:color w:val="auto"/>
                      <w:sz w:val="21"/>
                      <w:szCs w:val="21"/>
                    </w:rPr>
                    <w:t>PM</w:t>
                  </w:r>
                  <w:r>
                    <w:rPr>
                      <w:color w:val="auto"/>
                      <w:sz w:val="21"/>
                      <w:szCs w:val="21"/>
                      <w:vertAlign w:val="subscript"/>
                    </w:rPr>
                    <w:t>10</w:t>
                  </w:r>
                </w:p>
              </w:tc>
              <w:tc>
                <w:tcPr>
                  <w:tcW w:w="1864" w:type="dxa"/>
                  <w:vMerge w:val="restart"/>
                  <w:noWrap w:val="0"/>
                  <w:vAlign w:val="center"/>
                </w:tcPr>
                <w:p w14:paraId="544D82DB">
                  <w:pPr>
                    <w:jc w:val="center"/>
                    <w:rPr>
                      <w:color w:val="auto"/>
                      <w:sz w:val="21"/>
                      <w:szCs w:val="21"/>
                    </w:rPr>
                  </w:pPr>
                  <w:r>
                    <w:rPr>
                      <w:color w:val="auto"/>
                      <w:sz w:val="21"/>
                      <w:szCs w:val="21"/>
                    </w:rPr>
                    <w:t>年平均质量浓度</w:t>
                  </w:r>
                </w:p>
              </w:tc>
              <w:tc>
                <w:tcPr>
                  <w:tcW w:w="1148" w:type="dxa"/>
                  <w:noWrap w:val="0"/>
                  <w:vAlign w:val="center"/>
                </w:tcPr>
                <w:p w14:paraId="69A80D7E">
                  <w:pPr>
                    <w:jc w:val="center"/>
                    <w:rPr>
                      <w:rFonts w:hint="default" w:eastAsia="宋体"/>
                      <w:color w:val="auto"/>
                      <w:sz w:val="21"/>
                      <w:szCs w:val="21"/>
                      <w:lang w:val="en-US" w:eastAsia="zh-CN"/>
                    </w:rPr>
                  </w:pPr>
                  <w:r>
                    <w:rPr>
                      <w:rFonts w:hint="eastAsia"/>
                      <w:color w:val="auto"/>
                      <w:sz w:val="21"/>
                      <w:szCs w:val="21"/>
                      <w:lang w:val="en-US" w:eastAsia="zh-CN"/>
                    </w:rPr>
                    <w:t>65.9</w:t>
                  </w:r>
                </w:p>
              </w:tc>
              <w:tc>
                <w:tcPr>
                  <w:tcW w:w="1181" w:type="dxa"/>
                  <w:noWrap w:val="0"/>
                  <w:vAlign w:val="center"/>
                </w:tcPr>
                <w:p w14:paraId="42175396">
                  <w:pPr>
                    <w:jc w:val="center"/>
                    <w:rPr>
                      <w:color w:val="auto"/>
                      <w:sz w:val="21"/>
                      <w:szCs w:val="21"/>
                    </w:rPr>
                  </w:pPr>
                  <w:r>
                    <w:rPr>
                      <w:color w:val="auto"/>
                      <w:sz w:val="21"/>
                      <w:szCs w:val="21"/>
                    </w:rPr>
                    <w:t>70</w:t>
                  </w:r>
                </w:p>
              </w:tc>
              <w:tc>
                <w:tcPr>
                  <w:tcW w:w="1216" w:type="dxa"/>
                  <w:noWrap w:val="0"/>
                  <w:vAlign w:val="center"/>
                </w:tcPr>
                <w:p w14:paraId="08C32E87">
                  <w:pPr>
                    <w:jc w:val="center"/>
                    <w:rPr>
                      <w:rFonts w:hint="default" w:eastAsia="宋体"/>
                      <w:color w:val="auto"/>
                      <w:sz w:val="21"/>
                      <w:szCs w:val="21"/>
                      <w:lang w:val="en-US" w:eastAsia="zh-CN"/>
                    </w:rPr>
                  </w:pPr>
                  <w:r>
                    <w:rPr>
                      <w:rFonts w:hint="eastAsia"/>
                      <w:color w:val="auto"/>
                      <w:sz w:val="21"/>
                      <w:szCs w:val="21"/>
                    </w:rPr>
                    <w:t>9</w:t>
                  </w:r>
                  <w:r>
                    <w:rPr>
                      <w:rFonts w:hint="eastAsia"/>
                      <w:color w:val="auto"/>
                      <w:sz w:val="21"/>
                      <w:szCs w:val="21"/>
                      <w:lang w:val="en-US" w:eastAsia="zh-CN"/>
                    </w:rPr>
                    <w:t>4.1</w:t>
                  </w:r>
                </w:p>
              </w:tc>
              <w:tc>
                <w:tcPr>
                  <w:tcW w:w="1251" w:type="dxa"/>
                  <w:noWrap w:val="0"/>
                  <w:vAlign w:val="center"/>
                </w:tcPr>
                <w:p w14:paraId="1A48D05E">
                  <w:pPr>
                    <w:jc w:val="center"/>
                    <w:rPr>
                      <w:color w:val="auto"/>
                      <w:sz w:val="21"/>
                      <w:szCs w:val="21"/>
                    </w:rPr>
                  </w:pPr>
                  <w:r>
                    <w:rPr>
                      <w:color w:val="auto"/>
                      <w:sz w:val="21"/>
                      <w:szCs w:val="21"/>
                    </w:rPr>
                    <w:t>达标</w:t>
                  </w:r>
                </w:p>
              </w:tc>
            </w:tr>
            <w:tr w14:paraId="05CC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4" w:type="dxa"/>
                  <w:noWrap w:val="0"/>
                  <w:vAlign w:val="center"/>
                </w:tcPr>
                <w:p w14:paraId="25C027F7">
                  <w:pPr>
                    <w:jc w:val="center"/>
                    <w:rPr>
                      <w:color w:val="auto"/>
                      <w:sz w:val="21"/>
                      <w:szCs w:val="21"/>
                    </w:rPr>
                  </w:pPr>
                  <w:r>
                    <w:rPr>
                      <w:color w:val="auto"/>
                      <w:sz w:val="21"/>
                      <w:szCs w:val="21"/>
                    </w:rPr>
                    <w:t>PM</w:t>
                  </w:r>
                  <w:r>
                    <w:rPr>
                      <w:color w:val="auto"/>
                      <w:sz w:val="21"/>
                      <w:szCs w:val="21"/>
                      <w:vertAlign w:val="subscript"/>
                    </w:rPr>
                    <w:t>2.5</w:t>
                  </w:r>
                </w:p>
              </w:tc>
              <w:tc>
                <w:tcPr>
                  <w:tcW w:w="1864" w:type="dxa"/>
                  <w:vMerge w:val="continue"/>
                  <w:noWrap w:val="0"/>
                  <w:vAlign w:val="center"/>
                </w:tcPr>
                <w:p w14:paraId="30AD0D4C">
                  <w:pPr>
                    <w:jc w:val="center"/>
                    <w:rPr>
                      <w:color w:val="auto"/>
                      <w:sz w:val="21"/>
                      <w:szCs w:val="21"/>
                    </w:rPr>
                  </w:pPr>
                </w:p>
              </w:tc>
              <w:tc>
                <w:tcPr>
                  <w:tcW w:w="1148" w:type="dxa"/>
                  <w:noWrap w:val="0"/>
                  <w:vAlign w:val="center"/>
                </w:tcPr>
                <w:p w14:paraId="6EF39104">
                  <w:pPr>
                    <w:jc w:val="center"/>
                    <w:rPr>
                      <w:rFonts w:hint="default" w:eastAsia="宋体"/>
                      <w:color w:val="auto"/>
                      <w:sz w:val="21"/>
                      <w:szCs w:val="21"/>
                      <w:lang w:val="en-US" w:eastAsia="zh-CN"/>
                    </w:rPr>
                  </w:pPr>
                  <w:r>
                    <w:rPr>
                      <w:rFonts w:hint="eastAsia"/>
                      <w:color w:val="auto"/>
                      <w:sz w:val="21"/>
                      <w:szCs w:val="21"/>
                      <w:lang w:val="en-US" w:eastAsia="zh-CN"/>
                    </w:rPr>
                    <w:t>38.7</w:t>
                  </w:r>
                </w:p>
              </w:tc>
              <w:tc>
                <w:tcPr>
                  <w:tcW w:w="1181" w:type="dxa"/>
                  <w:noWrap w:val="0"/>
                  <w:vAlign w:val="center"/>
                </w:tcPr>
                <w:p w14:paraId="7A58D934">
                  <w:pPr>
                    <w:jc w:val="center"/>
                    <w:rPr>
                      <w:color w:val="auto"/>
                      <w:sz w:val="21"/>
                      <w:szCs w:val="21"/>
                    </w:rPr>
                  </w:pPr>
                  <w:r>
                    <w:rPr>
                      <w:color w:val="auto"/>
                      <w:sz w:val="21"/>
                      <w:szCs w:val="21"/>
                    </w:rPr>
                    <w:t>35</w:t>
                  </w:r>
                </w:p>
              </w:tc>
              <w:tc>
                <w:tcPr>
                  <w:tcW w:w="1216" w:type="dxa"/>
                  <w:noWrap w:val="0"/>
                  <w:vAlign w:val="center"/>
                </w:tcPr>
                <w:p w14:paraId="1D95E4CA">
                  <w:pPr>
                    <w:jc w:val="center"/>
                    <w:rPr>
                      <w:rFonts w:hint="eastAsia" w:eastAsia="宋体"/>
                      <w:color w:val="auto"/>
                      <w:sz w:val="21"/>
                      <w:szCs w:val="21"/>
                      <w:lang w:eastAsia="zh-CN"/>
                    </w:rPr>
                  </w:pPr>
                  <w:r>
                    <w:rPr>
                      <w:color w:val="auto"/>
                      <w:sz w:val="21"/>
                      <w:szCs w:val="21"/>
                    </w:rPr>
                    <w:t>1</w:t>
                  </w:r>
                  <w:r>
                    <w:rPr>
                      <w:rFonts w:hint="eastAsia"/>
                      <w:color w:val="auto"/>
                      <w:sz w:val="21"/>
                      <w:szCs w:val="21"/>
                    </w:rPr>
                    <w:t>1</w:t>
                  </w:r>
                  <w:r>
                    <w:rPr>
                      <w:rFonts w:hint="eastAsia"/>
                      <w:color w:val="auto"/>
                      <w:sz w:val="21"/>
                      <w:szCs w:val="21"/>
                      <w:lang w:val="en-US" w:eastAsia="zh-CN"/>
                    </w:rPr>
                    <w:t>1</w:t>
                  </w:r>
                </w:p>
              </w:tc>
              <w:tc>
                <w:tcPr>
                  <w:tcW w:w="1251" w:type="dxa"/>
                  <w:noWrap w:val="0"/>
                  <w:vAlign w:val="center"/>
                </w:tcPr>
                <w:p w14:paraId="318A6360">
                  <w:pPr>
                    <w:jc w:val="center"/>
                    <w:rPr>
                      <w:color w:val="auto"/>
                      <w:sz w:val="21"/>
                      <w:szCs w:val="21"/>
                    </w:rPr>
                  </w:pPr>
                  <w:r>
                    <w:rPr>
                      <w:color w:val="auto"/>
                      <w:sz w:val="21"/>
                      <w:szCs w:val="21"/>
                    </w:rPr>
                    <w:t>超标</w:t>
                  </w:r>
                </w:p>
              </w:tc>
            </w:tr>
            <w:tr w14:paraId="0AD3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4" w:type="dxa"/>
                  <w:noWrap w:val="0"/>
                  <w:vAlign w:val="center"/>
                </w:tcPr>
                <w:p w14:paraId="7CA87F97">
                  <w:pPr>
                    <w:jc w:val="center"/>
                    <w:rPr>
                      <w:color w:val="auto"/>
                      <w:sz w:val="21"/>
                      <w:szCs w:val="21"/>
                    </w:rPr>
                  </w:pPr>
                  <w:r>
                    <w:rPr>
                      <w:color w:val="auto"/>
                      <w:sz w:val="21"/>
                      <w:szCs w:val="21"/>
                    </w:rPr>
                    <w:t>SO</w:t>
                  </w:r>
                  <w:r>
                    <w:rPr>
                      <w:color w:val="auto"/>
                      <w:sz w:val="21"/>
                      <w:szCs w:val="21"/>
                      <w:vertAlign w:val="subscript"/>
                    </w:rPr>
                    <w:t>2</w:t>
                  </w:r>
                </w:p>
              </w:tc>
              <w:tc>
                <w:tcPr>
                  <w:tcW w:w="1864" w:type="dxa"/>
                  <w:vMerge w:val="continue"/>
                  <w:noWrap w:val="0"/>
                  <w:vAlign w:val="center"/>
                </w:tcPr>
                <w:p w14:paraId="61B7092E">
                  <w:pPr>
                    <w:jc w:val="center"/>
                    <w:rPr>
                      <w:color w:val="auto"/>
                      <w:sz w:val="21"/>
                      <w:szCs w:val="21"/>
                    </w:rPr>
                  </w:pPr>
                </w:p>
              </w:tc>
              <w:tc>
                <w:tcPr>
                  <w:tcW w:w="1148" w:type="dxa"/>
                  <w:noWrap w:val="0"/>
                  <w:vAlign w:val="center"/>
                </w:tcPr>
                <w:p w14:paraId="7965E22D">
                  <w:pPr>
                    <w:jc w:val="center"/>
                    <w:rPr>
                      <w:color w:val="auto"/>
                      <w:sz w:val="21"/>
                      <w:szCs w:val="21"/>
                    </w:rPr>
                  </w:pPr>
                  <w:r>
                    <w:rPr>
                      <w:color w:val="auto"/>
                      <w:sz w:val="21"/>
                      <w:szCs w:val="21"/>
                    </w:rPr>
                    <w:t>8</w:t>
                  </w:r>
                </w:p>
              </w:tc>
              <w:tc>
                <w:tcPr>
                  <w:tcW w:w="1181" w:type="dxa"/>
                  <w:noWrap w:val="0"/>
                  <w:vAlign w:val="center"/>
                </w:tcPr>
                <w:p w14:paraId="35578695">
                  <w:pPr>
                    <w:jc w:val="center"/>
                    <w:rPr>
                      <w:color w:val="auto"/>
                      <w:sz w:val="21"/>
                      <w:szCs w:val="21"/>
                    </w:rPr>
                  </w:pPr>
                  <w:r>
                    <w:rPr>
                      <w:color w:val="auto"/>
                      <w:sz w:val="21"/>
                      <w:szCs w:val="21"/>
                    </w:rPr>
                    <w:t>60</w:t>
                  </w:r>
                </w:p>
              </w:tc>
              <w:tc>
                <w:tcPr>
                  <w:tcW w:w="1216" w:type="dxa"/>
                  <w:noWrap w:val="0"/>
                  <w:vAlign w:val="center"/>
                </w:tcPr>
                <w:p w14:paraId="33CB02FC">
                  <w:pPr>
                    <w:jc w:val="center"/>
                    <w:rPr>
                      <w:color w:val="auto"/>
                      <w:sz w:val="21"/>
                      <w:szCs w:val="21"/>
                    </w:rPr>
                  </w:pPr>
                  <w:r>
                    <w:rPr>
                      <w:color w:val="auto"/>
                      <w:sz w:val="21"/>
                      <w:szCs w:val="21"/>
                    </w:rPr>
                    <w:t>13.3</w:t>
                  </w:r>
                </w:p>
              </w:tc>
              <w:tc>
                <w:tcPr>
                  <w:tcW w:w="1251" w:type="dxa"/>
                  <w:noWrap w:val="0"/>
                  <w:vAlign w:val="center"/>
                </w:tcPr>
                <w:p w14:paraId="7D478BE9">
                  <w:pPr>
                    <w:jc w:val="center"/>
                    <w:rPr>
                      <w:color w:val="auto"/>
                      <w:sz w:val="21"/>
                      <w:szCs w:val="21"/>
                    </w:rPr>
                  </w:pPr>
                  <w:r>
                    <w:rPr>
                      <w:color w:val="auto"/>
                      <w:sz w:val="21"/>
                      <w:szCs w:val="21"/>
                    </w:rPr>
                    <w:t>达标</w:t>
                  </w:r>
                </w:p>
              </w:tc>
            </w:tr>
            <w:tr w14:paraId="2959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4" w:type="dxa"/>
                  <w:noWrap w:val="0"/>
                  <w:vAlign w:val="center"/>
                </w:tcPr>
                <w:p w14:paraId="26CFFB68">
                  <w:pPr>
                    <w:jc w:val="center"/>
                    <w:rPr>
                      <w:color w:val="auto"/>
                      <w:sz w:val="21"/>
                      <w:szCs w:val="21"/>
                    </w:rPr>
                  </w:pPr>
                  <w:r>
                    <w:rPr>
                      <w:color w:val="auto"/>
                      <w:sz w:val="21"/>
                      <w:szCs w:val="21"/>
                    </w:rPr>
                    <w:t>NO</w:t>
                  </w:r>
                  <w:r>
                    <w:rPr>
                      <w:color w:val="auto"/>
                      <w:sz w:val="21"/>
                      <w:szCs w:val="21"/>
                      <w:vertAlign w:val="subscript"/>
                    </w:rPr>
                    <w:t>2</w:t>
                  </w:r>
                </w:p>
              </w:tc>
              <w:tc>
                <w:tcPr>
                  <w:tcW w:w="1864" w:type="dxa"/>
                  <w:vMerge w:val="continue"/>
                  <w:noWrap w:val="0"/>
                  <w:vAlign w:val="center"/>
                </w:tcPr>
                <w:p w14:paraId="6F0118CF">
                  <w:pPr>
                    <w:jc w:val="center"/>
                    <w:rPr>
                      <w:color w:val="auto"/>
                      <w:sz w:val="21"/>
                      <w:szCs w:val="21"/>
                    </w:rPr>
                  </w:pPr>
                </w:p>
              </w:tc>
              <w:tc>
                <w:tcPr>
                  <w:tcW w:w="1148" w:type="dxa"/>
                  <w:noWrap w:val="0"/>
                  <w:vAlign w:val="center"/>
                </w:tcPr>
                <w:p w14:paraId="63BB6417">
                  <w:pPr>
                    <w:jc w:val="center"/>
                    <w:rPr>
                      <w:color w:val="auto"/>
                      <w:sz w:val="21"/>
                      <w:szCs w:val="21"/>
                    </w:rPr>
                  </w:pPr>
                  <w:r>
                    <w:rPr>
                      <w:rFonts w:hint="eastAsia"/>
                      <w:color w:val="auto"/>
                      <w:sz w:val="21"/>
                      <w:szCs w:val="21"/>
                    </w:rPr>
                    <w:t>19</w:t>
                  </w:r>
                </w:p>
              </w:tc>
              <w:tc>
                <w:tcPr>
                  <w:tcW w:w="1181" w:type="dxa"/>
                  <w:noWrap w:val="0"/>
                  <w:vAlign w:val="center"/>
                </w:tcPr>
                <w:p w14:paraId="5A3C30C6">
                  <w:pPr>
                    <w:jc w:val="center"/>
                    <w:rPr>
                      <w:color w:val="auto"/>
                      <w:sz w:val="21"/>
                      <w:szCs w:val="21"/>
                    </w:rPr>
                  </w:pPr>
                  <w:r>
                    <w:rPr>
                      <w:color w:val="auto"/>
                      <w:sz w:val="21"/>
                      <w:szCs w:val="21"/>
                    </w:rPr>
                    <w:t>40</w:t>
                  </w:r>
                </w:p>
              </w:tc>
              <w:tc>
                <w:tcPr>
                  <w:tcW w:w="1216" w:type="dxa"/>
                  <w:noWrap w:val="0"/>
                  <w:vAlign w:val="center"/>
                </w:tcPr>
                <w:p w14:paraId="66FB712C">
                  <w:pPr>
                    <w:jc w:val="center"/>
                    <w:rPr>
                      <w:color w:val="auto"/>
                      <w:sz w:val="21"/>
                      <w:szCs w:val="21"/>
                    </w:rPr>
                  </w:pPr>
                  <w:r>
                    <w:rPr>
                      <w:rFonts w:hint="eastAsia"/>
                      <w:color w:val="auto"/>
                      <w:sz w:val="21"/>
                      <w:szCs w:val="21"/>
                    </w:rPr>
                    <w:t>4</w:t>
                  </w:r>
                  <w:r>
                    <w:rPr>
                      <w:color w:val="auto"/>
                      <w:sz w:val="21"/>
                      <w:szCs w:val="21"/>
                    </w:rPr>
                    <w:t>7.5</w:t>
                  </w:r>
                </w:p>
              </w:tc>
              <w:tc>
                <w:tcPr>
                  <w:tcW w:w="1251" w:type="dxa"/>
                  <w:noWrap w:val="0"/>
                  <w:vAlign w:val="center"/>
                </w:tcPr>
                <w:p w14:paraId="47CDC93B">
                  <w:pPr>
                    <w:jc w:val="center"/>
                    <w:rPr>
                      <w:color w:val="auto"/>
                      <w:sz w:val="21"/>
                      <w:szCs w:val="21"/>
                    </w:rPr>
                  </w:pPr>
                  <w:r>
                    <w:rPr>
                      <w:color w:val="auto"/>
                      <w:sz w:val="21"/>
                      <w:szCs w:val="21"/>
                    </w:rPr>
                    <w:t>达标</w:t>
                  </w:r>
                </w:p>
              </w:tc>
            </w:tr>
            <w:tr w14:paraId="5FF6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4" w:type="dxa"/>
                  <w:noWrap w:val="0"/>
                  <w:vAlign w:val="center"/>
                </w:tcPr>
                <w:p w14:paraId="4E18D7BB">
                  <w:pPr>
                    <w:jc w:val="center"/>
                    <w:rPr>
                      <w:color w:val="auto"/>
                      <w:sz w:val="21"/>
                      <w:szCs w:val="21"/>
                    </w:rPr>
                  </w:pPr>
                  <w:r>
                    <w:rPr>
                      <w:color w:val="auto"/>
                      <w:sz w:val="21"/>
                      <w:szCs w:val="21"/>
                    </w:rPr>
                    <w:t>O</w:t>
                  </w:r>
                  <w:r>
                    <w:rPr>
                      <w:color w:val="auto"/>
                      <w:sz w:val="21"/>
                      <w:szCs w:val="21"/>
                      <w:vertAlign w:val="subscript"/>
                    </w:rPr>
                    <w:t>3</w:t>
                  </w:r>
                </w:p>
              </w:tc>
              <w:tc>
                <w:tcPr>
                  <w:tcW w:w="1864" w:type="dxa"/>
                  <w:noWrap w:val="0"/>
                  <w:vAlign w:val="center"/>
                </w:tcPr>
                <w:p w14:paraId="485530A1">
                  <w:pPr>
                    <w:jc w:val="center"/>
                    <w:rPr>
                      <w:color w:val="auto"/>
                      <w:sz w:val="21"/>
                      <w:szCs w:val="21"/>
                    </w:rPr>
                  </w:pPr>
                  <w:r>
                    <w:rPr>
                      <w:color w:val="auto"/>
                      <w:sz w:val="21"/>
                      <w:szCs w:val="21"/>
                    </w:rPr>
                    <w:t>8h平均质量浓度</w:t>
                  </w:r>
                </w:p>
              </w:tc>
              <w:tc>
                <w:tcPr>
                  <w:tcW w:w="1148" w:type="dxa"/>
                  <w:noWrap w:val="0"/>
                  <w:vAlign w:val="center"/>
                </w:tcPr>
                <w:p w14:paraId="0016DF04">
                  <w:pPr>
                    <w:jc w:val="center"/>
                    <w:rPr>
                      <w:rFonts w:hint="eastAsia" w:eastAsia="宋体"/>
                      <w:color w:val="auto"/>
                      <w:sz w:val="21"/>
                      <w:szCs w:val="21"/>
                      <w:lang w:eastAsia="zh-CN"/>
                    </w:rPr>
                  </w:pPr>
                  <w:r>
                    <w:rPr>
                      <w:color w:val="auto"/>
                      <w:sz w:val="21"/>
                      <w:szCs w:val="21"/>
                    </w:rPr>
                    <w:t>1</w:t>
                  </w:r>
                  <w:r>
                    <w:rPr>
                      <w:rFonts w:hint="eastAsia"/>
                      <w:color w:val="auto"/>
                      <w:sz w:val="21"/>
                      <w:szCs w:val="21"/>
                    </w:rPr>
                    <w:t>5</w:t>
                  </w:r>
                  <w:r>
                    <w:rPr>
                      <w:rFonts w:hint="eastAsia"/>
                      <w:color w:val="auto"/>
                      <w:sz w:val="21"/>
                      <w:szCs w:val="21"/>
                      <w:lang w:val="en-US" w:eastAsia="zh-CN"/>
                    </w:rPr>
                    <w:t>7</w:t>
                  </w:r>
                </w:p>
              </w:tc>
              <w:tc>
                <w:tcPr>
                  <w:tcW w:w="1181" w:type="dxa"/>
                  <w:noWrap w:val="0"/>
                  <w:vAlign w:val="center"/>
                </w:tcPr>
                <w:p w14:paraId="1641E1C4">
                  <w:pPr>
                    <w:jc w:val="center"/>
                    <w:rPr>
                      <w:color w:val="auto"/>
                      <w:sz w:val="21"/>
                      <w:szCs w:val="21"/>
                    </w:rPr>
                  </w:pPr>
                  <w:r>
                    <w:rPr>
                      <w:color w:val="auto"/>
                      <w:sz w:val="21"/>
                      <w:szCs w:val="21"/>
                    </w:rPr>
                    <w:t>160</w:t>
                  </w:r>
                </w:p>
              </w:tc>
              <w:tc>
                <w:tcPr>
                  <w:tcW w:w="1216" w:type="dxa"/>
                  <w:noWrap w:val="0"/>
                  <w:vAlign w:val="center"/>
                </w:tcPr>
                <w:p w14:paraId="67FD1AD1">
                  <w:pPr>
                    <w:jc w:val="center"/>
                    <w:rPr>
                      <w:rFonts w:hint="default" w:eastAsia="宋体"/>
                      <w:color w:val="auto"/>
                      <w:sz w:val="21"/>
                      <w:szCs w:val="21"/>
                      <w:lang w:val="en-US" w:eastAsia="zh-CN"/>
                    </w:rPr>
                  </w:pPr>
                  <w:r>
                    <w:rPr>
                      <w:rFonts w:hint="eastAsia"/>
                      <w:color w:val="auto"/>
                      <w:sz w:val="21"/>
                      <w:szCs w:val="21"/>
                    </w:rPr>
                    <w:t>9</w:t>
                  </w:r>
                  <w:r>
                    <w:rPr>
                      <w:rFonts w:hint="eastAsia"/>
                      <w:color w:val="auto"/>
                      <w:sz w:val="21"/>
                      <w:szCs w:val="21"/>
                      <w:lang w:val="en-US" w:eastAsia="zh-CN"/>
                    </w:rPr>
                    <w:t>8.1</w:t>
                  </w:r>
                </w:p>
              </w:tc>
              <w:tc>
                <w:tcPr>
                  <w:tcW w:w="1251" w:type="dxa"/>
                  <w:noWrap w:val="0"/>
                  <w:vAlign w:val="center"/>
                </w:tcPr>
                <w:p w14:paraId="353332AA">
                  <w:pPr>
                    <w:jc w:val="center"/>
                    <w:rPr>
                      <w:color w:val="auto"/>
                      <w:sz w:val="21"/>
                      <w:szCs w:val="21"/>
                    </w:rPr>
                  </w:pPr>
                  <w:r>
                    <w:rPr>
                      <w:color w:val="auto"/>
                      <w:sz w:val="21"/>
                      <w:szCs w:val="21"/>
                    </w:rPr>
                    <w:t>达标</w:t>
                  </w:r>
                </w:p>
              </w:tc>
            </w:tr>
            <w:tr w14:paraId="1BAA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4" w:type="dxa"/>
                  <w:noWrap w:val="0"/>
                  <w:vAlign w:val="center"/>
                </w:tcPr>
                <w:p w14:paraId="7A224405">
                  <w:pPr>
                    <w:jc w:val="center"/>
                    <w:rPr>
                      <w:color w:val="auto"/>
                      <w:sz w:val="21"/>
                      <w:szCs w:val="21"/>
                    </w:rPr>
                  </w:pPr>
                  <w:r>
                    <w:rPr>
                      <w:color w:val="auto"/>
                      <w:sz w:val="21"/>
                      <w:szCs w:val="21"/>
                    </w:rPr>
                    <w:t>CO</w:t>
                  </w:r>
                </w:p>
              </w:tc>
              <w:tc>
                <w:tcPr>
                  <w:tcW w:w="1864" w:type="dxa"/>
                  <w:noWrap w:val="0"/>
                  <w:vAlign w:val="center"/>
                </w:tcPr>
                <w:p w14:paraId="3695AC1C">
                  <w:pPr>
                    <w:jc w:val="center"/>
                    <w:rPr>
                      <w:color w:val="auto"/>
                      <w:sz w:val="21"/>
                      <w:szCs w:val="21"/>
                    </w:rPr>
                  </w:pPr>
                  <w:r>
                    <w:rPr>
                      <w:color w:val="auto"/>
                      <w:sz w:val="21"/>
                      <w:szCs w:val="21"/>
                    </w:rPr>
                    <w:t>24小时平均</w:t>
                  </w:r>
                </w:p>
              </w:tc>
              <w:tc>
                <w:tcPr>
                  <w:tcW w:w="1148" w:type="dxa"/>
                  <w:noWrap w:val="0"/>
                  <w:vAlign w:val="center"/>
                </w:tcPr>
                <w:p w14:paraId="439E12BC">
                  <w:pPr>
                    <w:jc w:val="center"/>
                    <w:rPr>
                      <w:color w:val="auto"/>
                      <w:sz w:val="21"/>
                      <w:szCs w:val="21"/>
                    </w:rPr>
                  </w:pPr>
                  <w:r>
                    <w:rPr>
                      <w:color w:val="auto"/>
                      <w:sz w:val="21"/>
                      <w:szCs w:val="21"/>
                    </w:rPr>
                    <w:t>0.</w:t>
                  </w:r>
                  <w:r>
                    <w:rPr>
                      <w:rFonts w:hint="eastAsia"/>
                      <w:color w:val="auto"/>
                      <w:sz w:val="21"/>
                      <w:szCs w:val="21"/>
                      <w:lang w:val="en-US" w:eastAsia="zh-CN"/>
                    </w:rPr>
                    <w:t>7</w:t>
                  </w:r>
                  <w:r>
                    <w:rPr>
                      <w:color w:val="auto"/>
                      <w:sz w:val="21"/>
                      <w:szCs w:val="21"/>
                    </w:rPr>
                    <w:t>mg/m³</w:t>
                  </w:r>
                </w:p>
              </w:tc>
              <w:tc>
                <w:tcPr>
                  <w:tcW w:w="1181" w:type="dxa"/>
                  <w:noWrap w:val="0"/>
                  <w:vAlign w:val="center"/>
                </w:tcPr>
                <w:p w14:paraId="2B71AF49">
                  <w:pPr>
                    <w:jc w:val="center"/>
                    <w:rPr>
                      <w:color w:val="auto"/>
                      <w:sz w:val="21"/>
                      <w:szCs w:val="21"/>
                    </w:rPr>
                  </w:pPr>
                  <w:r>
                    <w:rPr>
                      <w:color w:val="auto"/>
                      <w:sz w:val="21"/>
                      <w:szCs w:val="21"/>
                    </w:rPr>
                    <w:t>4mg/m³</w:t>
                  </w:r>
                </w:p>
              </w:tc>
              <w:tc>
                <w:tcPr>
                  <w:tcW w:w="1216" w:type="dxa"/>
                  <w:noWrap w:val="0"/>
                  <w:vAlign w:val="center"/>
                </w:tcPr>
                <w:p w14:paraId="0AE5EA52">
                  <w:pPr>
                    <w:jc w:val="center"/>
                    <w:rPr>
                      <w:rFonts w:hint="default" w:eastAsia="宋体"/>
                      <w:color w:val="auto"/>
                      <w:sz w:val="21"/>
                      <w:szCs w:val="21"/>
                      <w:lang w:val="en-US" w:eastAsia="zh-CN"/>
                    </w:rPr>
                  </w:pPr>
                  <w:r>
                    <w:rPr>
                      <w:rFonts w:hint="eastAsia"/>
                      <w:color w:val="auto"/>
                      <w:sz w:val="21"/>
                      <w:szCs w:val="21"/>
                      <w:lang w:val="en-US" w:eastAsia="zh-CN"/>
                    </w:rPr>
                    <w:t>17.5</w:t>
                  </w:r>
                </w:p>
              </w:tc>
              <w:tc>
                <w:tcPr>
                  <w:tcW w:w="1251" w:type="dxa"/>
                  <w:noWrap w:val="0"/>
                  <w:vAlign w:val="center"/>
                </w:tcPr>
                <w:p w14:paraId="058F751E">
                  <w:pPr>
                    <w:jc w:val="center"/>
                    <w:rPr>
                      <w:color w:val="auto"/>
                      <w:sz w:val="21"/>
                      <w:szCs w:val="21"/>
                    </w:rPr>
                  </w:pPr>
                  <w:r>
                    <w:rPr>
                      <w:color w:val="auto"/>
                      <w:sz w:val="21"/>
                      <w:szCs w:val="21"/>
                    </w:rPr>
                    <w:t>达标</w:t>
                  </w:r>
                </w:p>
              </w:tc>
            </w:tr>
          </w:tbl>
          <w:p w14:paraId="3948A861">
            <w:pPr>
              <w:pStyle w:val="134"/>
              <w:spacing w:before="0" w:line="360" w:lineRule="auto"/>
              <w:ind w:left="0" w:firstLine="420" w:firstLineChars="200"/>
              <w:jc w:val="left"/>
              <w:rPr>
                <w:rFonts w:hint="eastAsia" w:ascii="Times New Roman" w:hAnsi="宋体" w:eastAsia="宋体" w:cs="Times New Roman"/>
                <w:color w:val="auto"/>
                <w:spacing w:val="-3"/>
                <w:sz w:val="21"/>
                <w:szCs w:val="21"/>
              </w:rPr>
            </w:pPr>
            <w:r>
              <w:rPr>
                <w:rFonts w:hint="eastAsia" w:ascii="Times New Roman" w:hAnsi="Times New Roman" w:eastAsia="宋体" w:cs="Times New Roman"/>
                <w:bCs/>
                <w:color w:val="auto"/>
                <w:kern w:val="2"/>
                <w:sz w:val="21"/>
                <w:szCs w:val="21"/>
                <w:lang w:val="en-US" w:eastAsia="zh-CN" w:bidi="ar-SA"/>
              </w:rPr>
              <w:t>《环境影响评价技术导则大气环境》（HJ2.2-2018）中6.4.1.1提出：</w:t>
            </w:r>
            <w:r>
              <w:rPr>
                <w:rFonts w:hint="eastAsia" w:ascii="Times New Roman" w:hAnsi="宋体" w:eastAsia="宋体" w:cs="Times New Roman"/>
                <w:color w:val="auto"/>
                <w:spacing w:val="-3"/>
                <w:sz w:val="21"/>
                <w:szCs w:val="21"/>
              </w:rPr>
              <w:t>城市环境空气质量达标情况评价指标中六项污染物全部达标即为城市环境空气质量达标。</w:t>
            </w:r>
          </w:p>
          <w:p w14:paraId="14650ECE">
            <w:pPr>
              <w:pStyle w:val="134"/>
              <w:spacing w:before="0" w:line="360" w:lineRule="auto"/>
              <w:ind w:left="0" w:firstLine="468" w:firstLineChars="200"/>
              <w:jc w:val="left"/>
              <w:rPr>
                <w:rFonts w:hint="eastAsia" w:ascii="Times New Roman" w:hAnsi="宋体" w:eastAsia="宋体" w:cs="Times New Roman"/>
                <w:color w:val="auto"/>
                <w:spacing w:val="-3"/>
                <w:sz w:val="21"/>
                <w:szCs w:val="21"/>
              </w:rPr>
            </w:pPr>
            <w:r>
              <w:rPr>
                <w:rFonts w:hint="eastAsia" w:ascii="Times New Roman" w:hAnsi="宋体" w:eastAsia="宋体" w:cs="Times New Roman"/>
                <w:color w:val="auto"/>
                <w:spacing w:val="-3"/>
                <w:szCs w:val="21"/>
              </w:rPr>
              <w:t>2</w:t>
            </w:r>
            <w:r>
              <w:rPr>
                <w:rFonts w:hint="eastAsia" w:ascii="Times New Roman" w:hAnsi="宋体" w:eastAsia="宋体" w:cs="Times New Roman"/>
                <w:color w:val="auto"/>
                <w:spacing w:val="-3"/>
                <w:sz w:val="21"/>
                <w:szCs w:val="21"/>
              </w:rPr>
              <w:t>02</w:t>
            </w:r>
            <w:r>
              <w:rPr>
                <w:rFonts w:hint="eastAsia" w:ascii="Times New Roman" w:hAnsi="宋体" w:eastAsia="宋体" w:cs="Times New Roman"/>
                <w:color w:val="auto"/>
                <w:spacing w:val="-3"/>
                <w:sz w:val="21"/>
                <w:szCs w:val="21"/>
                <w:lang w:val="en-US" w:eastAsia="zh-CN"/>
              </w:rPr>
              <w:t>3</w:t>
            </w:r>
            <w:r>
              <w:rPr>
                <w:rFonts w:hint="eastAsia" w:ascii="Times New Roman" w:hAnsi="宋体" w:eastAsia="宋体" w:cs="Times New Roman"/>
                <w:color w:val="auto"/>
                <w:spacing w:val="-3"/>
                <w:sz w:val="21"/>
                <w:szCs w:val="21"/>
              </w:rPr>
              <w:t>年淮南市环境空气中PM</w:t>
            </w:r>
            <w:r>
              <w:rPr>
                <w:rFonts w:hint="eastAsia" w:ascii="Times New Roman" w:hAnsi="宋体" w:eastAsia="宋体" w:cs="Times New Roman"/>
                <w:color w:val="auto"/>
                <w:spacing w:val="-3"/>
                <w:sz w:val="21"/>
                <w:szCs w:val="21"/>
                <w:vertAlign w:val="subscript"/>
              </w:rPr>
              <w:t>2.5</w:t>
            </w:r>
            <w:r>
              <w:rPr>
                <w:rFonts w:hint="eastAsia" w:ascii="Times New Roman" w:hAnsi="宋体" w:eastAsia="宋体" w:cs="Times New Roman"/>
                <w:color w:val="auto"/>
                <w:spacing w:val="-3"/>
                <w:sz w:val="21"/>
                <w:szCs w:val="21"/>
              </w:rPr>
              <w:t>年平均浓度超过环境空气质量二级标准，经判定，项目所在区为环境空气质量不达标区域，超标因子为PM</w:t>
            </w:r>
            <w:r>
              <w:rPr>
                <w:rFonts w:hint="eastAsia" w:ascii="Times New Roman" w:hAnsi="宋体" w:eastAsia="宋体" w:cs="Times New Roman"/>
                <w:color w:val="auto"/>
                <w:spacing w:val="-3"/>
                <w:sz w:val="21"/>
                <w:szCs w:val="21"/>
                <w:vertAlign w:val="subscript"/>
              </w:rPr>
              <w:t>2.5</w:t>
            </w:r>
            <w:r>
              <w:rPr>
                <w:rFonts w:hint="eastAsia" w:ascii="Times New Roman" w:hAnsi="宋体" w:eastAsia="宋体" w:cs="Times New Roman"/>
                <w:color w:val="auto"/>
                <w:spacing w:val="-3"/>
                <w:sz w:val="21"/>
                <w:szCs w:val="21"/>
              </w:rPr>
              <w:t>。</w:t>
            </w:r>
          </w:p>
          <w:p w14:paraId="7A957959">
            <w:pPr>
              <w:pStyle w:val="134"/>
              <w:spacing w:before="0" w:line="360" w:lineRule="auto"/>
              <w:ind w:left="0" w:firstLine="408" w:firstLineChars="200"/>
              <w:jc w:val="left"/>
              <w:rPr>
                <w:rFonts w:hint="eastAsia" w:ascii="Times New Roman" w:hAnsi="宋体" w:eastAsia="宋体" w:cs="Times New Roman"/>
                <w:color w:val="auto"/>
                <w:spacing w:val="-3"/>
                <w:szCs w:val="21"/>
                <w:lang w:val="en"/>
              </w:rPr>
            </w:pPr>
            <w:r>
              <w:rPr>
                <w:rFonts w:hint="eastAsia" w:ascii="Times New Roman" w:hAnsi="宋体" w:eastAsia="宋体" w:cs="Times New Roman"/>
                <w:color w:val="auto"/>
                <w:spacing w:val="-3"/>
                <w:sz w:val="21"/>
                <w:szCs w:val="21"/>
                <w:lang w:val="en-US" w:eastAsia="zh-CN"/>
              </w:rPr>
              <w:t>针对环境质量状况，淮南市政府采取了</w:t>
            </w:r>
            <w:r>
              <w:rPr>
                <w:rFonts w:hint="eastAsia" w:ascii="Times New Roman" w:cs="Times New Roman"/>
                <w:color w:val="auto"/>
                <w:spacing w:val="-3"/>
                <w:sz w:val="21"/>
                <w:szCs w:val="21"/>
                <w:lang w:val="en-US" w:eastAsia="zh-CN"/>
              </w:rPr>
              <w:t>一系列</w:t>
            </w:r>
            <w:r>
              <w:rPr>
                <w:rFonts w:hint="eastAsia" w:ascii="Times New Roman" w:hAnsi="宋体" w:eastAsia="宋体" w:cs="Times New Roman"/>
                <w:color w:val="auto"/>
                <w:spacing w:val="-3"/>
                <w:sz w:val="21"/>
                <w:szCs w:val="21"/>
                <w:lang w:val="en-US" w:eastAsia="zh-CN"/>
              </w:rPr>
              <w:t>的措施，</w:t>
            </w:r>
            <w:r>
              <w:rPr>
                <w:rFonts w:hint="default" w:ascii="Times New Roman" w:hAnsi="宋体" w:eastAsia="宋体" w:cs="Times New Roman"/>
                <w:color w:val="auto"/>
                <w:spacing w:val="-3"/>
                <w:sz w:val="21"/>
                <w:szCs w:val="21"/>
                <w:lang w:val="en"/>
              </w:rPr>
              <w:t>努力打好蓝天保卫战。突出重点时段，实施季节性调控。将夏季臭氧污染纳入监测预警，每天推送涉VOCs企业应急减排清单，累计调整企业生产计划500余家次；在颗粒物污染季，累计管控企业253家次。严格落实《淮南市重污染天气应急预案（2023年版）》，纳入应急减排清单企业853家、施工工地336家。积极应对年初年末两轮次重污染天气，发布2次黄色预警、1次橙色预警。突出重点行业，持续开展挥发性有机物综合治理。制定实施《淮南市涉VOCs重点行业绩效分级技术指南》，全市16个涉VOCs行业实施差异化管控，完成申报评估186家，累计评定C级企业21家。完成23家企业单一低效治理工艺升级改造，6家企业原辅材料替代。突出重点移动源，深化清洁运输。新增使用新能源公交车762辆、出租车443辆，占比分别达到100%、93.1%；淘汰老旧车辆5048辆。</w:t>
            </w:r>
          </w:p>
          <w:p w14:paraId="0410AB00">
            <w:pPr>
              <w:adjustRightInd w:val="0"/>
              <w:snapToGrid w:val="0"/>
              <w:spacing w:line="360" w:lineRule="auto"/>
              <w:ind w:firstLine="420" w:firstLineChars="200"/>
              <w:rPr>
                <w:color w:val="auto"/>
                <w:szCs w:val="21"/>
              </w:rPr>
            </w:pPr>
            <w:r>
              <w:rPr>
                <w:rFonts w:hint="eastAsia"/>
                <w:color w:val="auto"/>
                <w:szCs w:val="21"/>
              </w:rPr>
              <w:t>（2）特征污染物环境空气质量达标判定</w:t>
            </w:r>
          </w:p>
          <w:p w14:paraId="73BE0C90">
            <w:pPr>
              <w:pStyle w:val="84"/>
              <w:rPr>
                <w:rFonts w:ascii="宋体" w:hAnsi="宋体" w:eastAsia="宋体" w:cs="宋体"/>
                <w:b w:val="0"/>
                <w:bCs w:val="0"/>
                <w:color w:val="auto"/>
                <w:sz w:val="21"/>
                <w:szCs w:val="21"/>
              </w:rPr>
            </w:pPr>
            <w:r>
              <w:rPr>
                <w:rFonts w:hint="eastAsia"/>
                <w:bCs w:val="0"/>
                <w:color w:val="auto"/>
                <w:lang w:val="en-US" w:eastAsia="zh-CN"/>
              </w:rPr>
              <w:t>本项目特征污染物为TSP，</w:t>
            </w:r>
            <w:r>
              <w:rPr>
                <w:rFonts w:ascii="宋体" w:hAnsi="宋体" w:eastAsia="宋体" w:cs="宋体"/>
                <w:b w:val="0"/>
                <w:bCs w:val="0"/>
                <w:color w:val="auto"/>
                <w:sz w:val="21"/>
                <w:szCs w:val="21"/>
              </w:rPr>
              <w:t>根据《建设项目环境影响报告表编制技术指南（污染影响类）（试行）》，引用《安徽淮南高新技术产业开发区（淮南市山南新区）智造园区环境影响区域评估报告》中对项目区域</w:t>
            </w:r>
            <w:r>
              <w:rPr>
                <w:rFonts w:ascii="TimesNewRomanPSMT" w:hAnsi="TimesNewRomanPSMT" w:eastAsia="TimesNewRomanPSMT" w:cs="TimesNewRomanPSMT"/>
                <w:b w:val="0"/>
                <w:bCs w:val="0"/>
                <w:color w:val="auto"/>
                <w:sz w:val="21"/>
                <w:szCs w:val="21"/>
              </w:rPr>
              <w:t>TSP</w:t>
            </w:r>
            <w:r>
              <w:rPr>
                <w:rFonts w:ascii="宋体" w:hAnsi="宋体" w:eastAsia="宋体" w:cs="宋体"/>
                <w:b w:val="0"/>
                <w:bCs w:val="0"/>
                <w:color w:val="auto"/>
                <w:sz w:val="21"/>
                <w:szCs w:val="21"/>
              </w:rPr>
              <w:t>进行实地监测数据，监测点为小北洼，距离项目所在地约</w:t>
            </w:r>
            <w:r>
              <w:rPr>
                <w:rFonts w:hint="default" w:ascii="TimesNewRomanPSMT" w:hAnsi="TimesNewRomanPSMT" w:eastAsia="TimesNewRomanPSMT" w:cs="TimesNewRomanPSMT"/>
                <w:b w:val="0"/>
                <w:bCs w:val="0"/>
                <w:color w:val="auto"/>
                <w:sz w:val="21"/>
                <w:szCs w:val="21"/>
              </w:rPr>
              <w:t>1242m</w:t>
            </w:r>
            <w:r>
              <w:rPr>
                <w:rFonts w:ascii="宋体" w:hAnsi="宋体" w:eastAsia="宋体" w:cs="宋体"/>
                <w:b w:val="0"/>
                <w:bCs w:val="0"/>
                <w:color w:val="auto"/>
                <w:sz w:val="21"/>
                <w:szCs w:val="21"/>
              </w:rPr>
              <w:t>，总悬浮颗粒物监测时间为</w:t>
            </w:r>
            <w:r>
              <w:rPr>
                <w:rFonts w:hint="default" w:ascii="TimesNewRomanPSMT" w:hAnsi="TimesNewRomanPSMT" w:eastAsia="TimesNewRomanPSMT" w:cs="TimesNewRomanPSMT"/>
                <w:b w:val="0"/>
                <w:bCs w:val="0"/>
                <w:color w:val="auto"/>
                <w:sz w:val="21"/>
                <w:szCs w:val="21"/>
              </w:rPr>
              <w:t>2021</w:t>
            </w:r>
            <w:r>
              <w:rPr>
                <w:rFonts w:ascii="宋体" w:hAnsi="宋体" w:eastAsia="宋体" w:cs="宋体"/>
                <w:b w:val="0"/>
                <w:bCs w:val="0"/>
                <w:color w:val="auto"/>
                <w:sz w:val="21"/>
                <w:szCs w:val="21"/>
              </w:rPr>
              <w:t>年</w:t>
            </w:r>
            <w:r>
              <w:rPr>
                <w:rFonts w:hint="default" w:ascii="TimesNewRomanPSMT" w:hAnsi="TimesNewRomanPSMT" w:eastAsia="TimesNewRomanPSMT" w:cs="TimesNewRomanPSMT"/>
                <w:b w:val="0"/>
                <w:bCs w:val="0"/>
                <w:color w:val="auto"/>
                <w:sz w:val="21"/>
                <w:szCs w:val="21"/>
              </w:rPr>
              <w:t>11</w:t>
            </w:r>
            <w:r>
              <w:rPr>
                <w:rFonts w:ascii="宋体" w:hAnsi="宋体" w:eastAsia="宋体" w:cs="宋体"/>
                <w:b w:val="0"/>
                <w:bCs w:val="0"/>
                <w:color w:val="auto"/>
                <w:sz w:val="21"/>
                <w:szCs w:val="21"/>
              </w:rPr>
              <w:t>月</w:t>
            </w:r>
            <w:r>
              <w:rPr>
                <w:rFonts w:hint="default" w:ascii="TimesNewRomanPSMT" w:hAnsi="TimesNewRomanPSMT" w:eastAsia="TimesNewRomanPSMT" w:cs="TimesNewRomanPSMT"/>
                <w:b w:val="0"/>
                <w:bCs w:val="0"/>
                <w:color w:val="auto"/>
                <w:sz w:val="21"/>
                <w:szCs w:val="21"/>
              </w:rPr>
              <w:t>8</w:t>
            </w:r>
            <w:r>
              <w:rPr>
                <w:rFonts w:ascii="宋体" w:hAnsi="宋体" w:eastAsia="宋体" w:cs="宋体"/>
                <w:b w:val="0"/>
                <w:bCs w:val="0"/>
                <w:color w:val="auto"/>
                <w:sz w:val="21"/>
                <w:szCs w:val="21"/>
              </w:rPr>
              <w:t>日</w:t>
            </w:r>
            <w:r>
              <w:rPr>
                <w:rFonts w:hint="default" w:ascii="TimesNewRomanPSMT" w:hAnsi="TimesNewRomanPSMT" w:eastAsia="TimesNewRomanPSMT" w:cs="TimesNewRomanPSMT"/>
                <w:b w:val="0"/>
                <w:bCs w:val="0"/>
                <w:color w:val="auto"/>
                <w:sz w:val="21"/>
                <w:szCs w:val="21"/>
              </w:rPr>
              <w:t>~11</w:t>
            </w:r>
            <w:r>
              <w:rPr>
                <w:rFonts w:ascii="宋体" w:hAnsi="宋体" w:eastAsia="宋体" w:cs="宋体"/>
                <w:b w:val="0"/>
                <w:bCs w:val="0"/>
                <w:color w:val="auto"/>
                <w:sz w:val="21"/>
                <w:szCs w:val="21"/>
              </w:rPr>
              <w:t>月</w:t>
            </w:r>
            <w:r>
              <w:rPr>
                <w:rFonts w:hint="default" w:ascii="TimesNewRomanPSMT" w:hAnsi="TimesNewRomanPSMT" w:eastAsia="TimesNewRomanPSMT" w:cs="TimesNewRomanPSMT"/>
                <w:b w:val="0"/>
                <w:bCs w:val="0"/>
                <w:color w:val="auto"/>
                <w:sz w:val="21"/>
                <w:szCs w:val="21"/>
              </w:rPr>
              <w:t>14</w:t>
            </w:r>
            <w:r>
              <w:rPr>
                <w:rFonts w:ascii="宋体" w:hAnsi="宋体" w:eastAsia="宋体" w:cs="宋体"/>
                <w:b w:val="0"/>
                <w:bCs w:val="0"/>
                <w:color w:val="auto"/>
                <w:sz w:val="21"/>
                <w:szCs w:val="21"/>
              </w:rPr>
              <w:t>日，连续监测</w:t>
            </w:r>
            <w:r>
              <w:rPr>
                <w:rFonts w:hint="default" w:ascii="TimesNewRomanPSMT" w:hAnsi="TimesNewRomanPSMT" w:eastAsia="TimesNewRomanPSMT" w:cs="TimesNewRomanPSMT"/>
                <w:b w:val="0"/>
                <w:bCs w:val="0"/>
                <w:color w:val="auto"/>
                <w:sz w:val="21"/>
                <w:szCs w:val="21"/>
              </w:rPr>
              <w:t xml:space="preserve">7 </w:t>
            </w:r>
            <w:r>
              <w:rPr>
                <w:rFonts w:ascii="宋体" w:hAnsi="宋体" w:eastAsia="宋体" w:cs="宋体"/>
                <w:b w:val="0"/>
                <w:bCs w:val="0"/>
                <w:color w:val="auto"/>
                <w:sz w:val="21"/>
                <w:szCs w:val="21"/>
              </w:rPr>
              <w:t>天。监测数据满足三年时效性，引用监测数据可行。监测结果及监测点位如下。</w:t>
            </w:r>
          </w:p>
          <w:p w14:paraId="58E80546">
            <w:pPr>
              <w:pStyle w:val="81"/>
              <w:keepNext w:val="0"/>
              <w:keepLines w:val="0"/>
              <w:pageBreakBefore w:val="0"/>
              <w:widowControl/>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表3-2  </w:t>
            </w:r>
            <w:r>
              <w:rPr>
                <w:rFonts w:hint="eastAsia" w:ascii="Times New Roman" w:hAnsi="Times New Roman" w:cs="Times New Roman"/>
                <w:color w:val="auto"/>
                <w:sz w:val="21"/>
                <w:szCs w:val="21"/>
                <w:lang w:val="en-US" w:eastAsia="zh-CN"/>
              </w:rPr>
              <w:t xml:space="preserve"> 特征污染物环境质量现状数据</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4"/>
              <w:gridCol w:w="1361"/>
              <w:gridCol w:w="1921"/>
              <w:gridCol w:w="1935"/>
              <w:gridCol w:w="1533"/>
            </w:tblGrid>
            <w:tr w14:paraId="0508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799" w:type="pct"/>
                  <w:noWrap w:val="0"/>
                  <w:vAlign w:val="center"/>
                </w:tcPr>
                <w:p w14:paraId="2D5C8290">
                  <w:pPr>
                    <w:jc w:val="center"/>
                    <w:rPr>
                      <w:color w:val="auto"/>
                      <w:szCs w:val="21"/>
                    </w:rPr>
                  </w:pPr>
                  <w:r>
                    <w:rPr>
                      <w:rFonts w:hint="eastAsia"/>
                      <w:color w:val="auto"/>
                      <w:szCs w:val="21"/>
                      <w:lang w:val="en-US" w:eastAsia="zh-CN"/>
                    </w:rPr>
                    <w:t>监测点</w:t>
                  </w:r>
                  <w:r>
                    <w:rPr>
                      <w:color w:val="auto"/>
                      <w:szCs w:val="21"/>
                    </w:rPr>
                    <w:t>素</w:t>
                  </w:r>
                </w:p>
              </w:tc>
              <w:tc>
                <w:tcPr>
                  <w:tcW w:w="847" w:type="pct"/>
                  <w:noWrap w:val="0"/>
                  <w:vAlign w:val="center"/>
                </w:tcPr>
                <w:p w14:paraId="47700B0C">
                  <w:pPr>
                    <w:jc w:val="center"/>
                    <w:rPr>
                      <w:color w:val="auto"/>
                      <w:szCs w:val="21"/>
                    </w:rPr>
                  </w:pPr>
                  <w:r>
                    <w:rPr>
                      <w:rFonts w:hint="eastAsia"/>
                      <w:color w:val="auto"/>
                      <w:szCs w:val="21"/>
                      <w:lang w:val="en-US" w:eastAsia="zh-CN"/>
                    </w:rPr>
                    <w:t>监测因子</w:t>
                  </w:r>
                </w:p>
              </w:tc>
              <w:tc>
                <w:tcPr>
                  <w:tcW w:w="1195" w:type="pct"/>
                  <w:noWrap w:val="0"/>
                  <w:vAlign w:val="center"/>
                </w:tcPr>
                <w:p w14:paraId="66E76302">
                  <w:pPr>
                    <w:jc w:val="center"/>
                    <w:rPr>
                      <w:color w:val="auto"/>
                      <w:szCs w:val="21"/>
                    </w:rPr>
                  </w:pPr>
                  <w:r>
                    <w:rPr>
                      <w:rFonts w:hint="eastAsia"/>
                      <w:color w:val="auto"/>
                      <w:szCs w:val="21"/>
                      <w:lang w:val="en-US" w:eastAsia="zh-CN"/>
                    </w:rPr>
                    <w:t>日均值浓度值范围</w:t>
                  </w:r>
                </w:p>
              </w:tc>
              <w:tc>
                <w:tcPr>
                  <w:tcW w:w="1204" w:type="pct"/>
                  <w:noWrap w:val="0"/>
                  <w:vAlign w:val="center"/>
                </w:tcPr>
                <w:p w14:paraId="03029F8B">
                  <w:pPr>
                    <w:jc w:val="center"/>
                    <w:rPr>
                      <w:rFonts w:hint="default" w:eastAsia="宋体"/>
                      <w:color w:val="auto"/>
                      <w:szCs w:val="21"/>
                      <w:lang w:val="en-US" w:eastAsia="zh-CN"/>
                    </w:rPr>
                  </w:pPr>
                  <w:r>
                    <w:rPr>
                      <w:rFonts w:hint="eastAsia"/>
                      <w:color w:val="auto"/>
                      <w:szCs w:val="21"/>
                      <w:lang w:val="en-US" w:eastAsia="zh-CN"/>
                    </w:rPr>
                    <w:t>最大占标率</w:t>
                  </w:r>
                </w:p>
              </w:tc>
              <w:tc>
                <w:tcPr>
                  <w:tcW w:w="954" w:type="pct"/>
                  <w:noWrap w:val="0"/>
                  <w:vAlign w:val="center"/>
                </w:tcPr>
                <w:p w14:paraId="2BC2C8EA">
                  <w:pPr>
                    <w:jc w:val="center"/>
                    <w:rPr>
                      <w:rFonts w:hint="eastAsia" w:eastAsia="宋体"/>
                      <w:color w:val="auto"/>
                      <w:szCs w:val="21"/>
                      <w:lang w:eastAsia="zh-CN"/>
                    </w:rPr>
                  </w:pPr>
                  <w:r>
                    <w:rPr>
                      <w:rFonts w:hint="eastAsia"/>
                      <w:color w:val="auto"/>
                      <w:szCs w:val="21"/>
                      <w:lang w:val="en-US" w:eastAsia="zh-CN"/>
                    </w:rPr>
                    <w:t>超标率</w:t>
                  </w:r>
                </w:p>
              </w:tc>
            </w:tr>
            <w:tr w14:paraId="6221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799" w:type="pct"/>
                  <w:noWrap w:val="0"/>
                  <w:vAlign w:val="center"/>
                </w:tcPr>
                <w:p w14:paraId="53DF38F9">
                  <w:pPr>
                    <w:jc w:val="center"/>
                    <w:rPr>
                      <w:rFonts w:hint="default" w:eastAsia="宋体"/>
                      <w:color w:val="auto"/>
                      <w:szCs w:val="21"/>
                      <w:lang w:val="en-US" w:eastAsia="zh-CN"/>
                    </w:rPr>
                  </w:pPr>
                  <w:r>
                    <w:rPr>
                      <w:rFonts w:hint="eastAsia"/>
                      <w:color w:val="auto"/>
                      <w:szCs w:val="21"/>
                      <w:lang w:val="en-US" w:eastAsia="zh-CN"/>
                    </w:rPr>
                    <w:t>小北</w:t>
                  </w:r>
                  <w:r>
                    <w:rPr>
                      <w:rFonts w:ascii="宋体" w:hAnsi="宋体" w:eastAsia="宋体" w:cs="宋体"/>
                      <w:b w:val="0"/>
                      <w:bCs w:val="0"/>
                      <w:color w:val="auto"/>
                      <w:sz w:val="20"/>
                      <w:szCs w:val="20"/>
                    </w:rPr>
                    <w:t>洼村</w:t>
                  </w:r>
                </w:p>
              </w:tc>
              <w:tc>
                <w:tcPr>
                  <w:tcW w:w="847" w:type="pct"/>
                  <w:noWrap w:val="0"/>
                  <w:vAlign w:val="center"/>
                </w:tcPr>
                <w:p w14:paraId="12938B02">
                  <w:pPr>
                    <w:widowControl/>
                    <w:jc w:val="center"/>
                    <w:rPr>
                      <w:rFonts w:hint="default" w:eastAsia="宋体"/>
                      <w:color w:val="auto"/>
                      <w:kern w:val="0"/>
                      <w:szCs w:val="21"/>
                      <w:lang w:val="en-US" w:eastAsia="zh-CN"/>
                    </w:rPr>
                  </w:pPr>
                  <w:r>
                    <w:rPr>
                      <w:rFonts w:hint="eastAsia" w:eastAsia="宋体"/>
                      <w:color w:val="auto"/>
                      <w:szCs w:val="21"/>
                      <w:lang w:val="en-US" w:eastAsia="zh-CN"/>
                    </w:rPr>
                    <w:t>TSP</w:t>
                  </w:r>
                </w:p>
              </w:tc>
              <w:tc>
                <w:tcPr>
                  <w:tcW w:w="1195" w:type="pct"/>
                  <w:noWrap w:val="0"/>
                  <w:vAlign w:val="center"/>
                </w:tcPr>
                <w:p w14:paraId="14BB2DAF">
                  <w:pPr>
                    <w:widowControl/>
                    <w:jc w:val="center"/>
                    <w:rPr>
                      <w:rFonts w:hint="default" w:eastAsia="宋体"/>
                      <w:color w:val="auto"/>
                      <w:kern w:val="0"/>
                      <w:szCs w:val="21"/>
                      <w:lang w:val="en-US" w:eastAsia="zh-CN"/>
                    </w:rPr>
                  </w:pPr>
                  <w:r>
                    <w:rPr>
                      <w:rFonts w:hint="eastAsia"/>
                      <w:color w:val="auto"/>
                      <w:kern w:val="0"/>
                      <w:szCs w:val="21"/>
                      <w:lang w:val="en-US" w:eastAsia="zh-CN"/>
                    </w:rPr>
                    <w:t>0.110~0.145</w:t>
                  </w:r>
                </w:p>
              </w:tc>
              <w:tc>
                <w:tcPr>
                  <w:tcW w:w="1204" w:type="pct"/>
                  <w:noWrap w:val="0"/>
                  <w:vAlign w:val="center"/>
                </w:tcPr>
                <w:p w14:paraId="0A7FE599">
                  <w:pPr>
                    <w:jc w:val="center"/>
                    <w:rPr>
                      <w:rFonts w:hint="default" w:eastAsia="宋体"/>
                      <w:color w:val="auto"/>
                      <w:szCs w:val="21"/>
                      <w:lang w:val="en-US" w:eastAsia="zh-CN"/>
                    </w:rPr>
                  </w:pPr>
                  <w:r>
                    <w:rPr>
                      <w:rFonts w:hint="eastAsia"/>
                      <w:color w:val="auto"/>
                      <w:szCs w:val="21"/>
                      <w:lang w:val="en-US" w:eastAsia="zh-CN"/>
                    </w:rPr>
                    <w:t>48.33%</w:t>
                  </w:r>
                </w:p>
              </w:tc>
              <w:tc>
                <w:tcPr>
                  <w:tcW w:w="954" w:type="pct"/>
                  <w:noWrap w:val="0"/>
                  <w:vAlign w:val="center"/>
                </w:tcPr>
                <w:p w14:paraId="447735B2">
                  <w:pPr>
                    <w:jc w:val="center"/>
                    <w:rPr>
                      <w:rFonts w:hint="eastAsia" w:eastAsia="宋体"/>
                      <w:color w:val="auto"/>
                      <w:szCs w:val="21"/>
                      <w:lang w:val="en-US" w:eastAsia="zh-CN"/>
                    </w:rPr>
                  </w:pPr>
                  <w:r>
                    <w:rPr>
                      <w:rFonts w:hint="eastAsia"/>
                      <w:color w:val="auto"/>
                      <w:szCs w:val="21"/>
                      <w:lang w:val="en-US" w:eastAsia="zh-CN"/>
                    </w:rPr>
                    <w:t>0</w:t>
                  </w:r>
                </w:p>
              </w:tc>
            </w:tr>
          </w:tbl>
          <w:p w14:paraId="593819B0">
            <w:pPr>
              <w:pStyle w:val="84"/>
              <w:keepNext w:val="0"/>
              <w:keepLines w:val="0"/>
              <w:pageBreakBefore w:val="0"/>
              <w:widowControl w:val="0"/>
              <w:kinsoku/>
              <w:wordWrap/>
              <w:overflowPunct/>
              <w:topLinePunct w:val="0"/>
              <w:autoSpaceDE/>
              <w:autoSpaceDN/>
              <w:bidi w:val="0"/>
              <w:adjustRightInd w:val="0"/>
              <w:snapToGrid w:val="0"/>
              <w:spacing w:before="63" w:beforeLines="20"/>
              <w:ind w:firstLine="0" w:firstLineChars="0"/>
              <w:textAlignment w:val="auto"/>
              <w:rPr>
                <w:rFonts w:hint="eastAsia"/>
                <w:b/>
                <w:bCs w:val="0"/>
                <w:color w:val="auto"/>
                <w:lang w:val="en-US" w:eastAsia="zh-CN"/>
              </w:rPr>
            </w:pPr>
            <w:r>
              <w:rPr>
                <w:color w:val="auto"/>
              </w:rPr>
              <w:drawing>
                <wp:anchor distT="0" distB="0" distL="114300" distR="114300" simplePos="0" relativeHeight="251700224" behindDoc="0" locked="0" layoutInCell="1" allowOverlap="1">
                  <wp:simplePos x="0" y="0"/>
                  <wp:positionH relativeFrom="column">
                    <wp:posOffset>4565650</wp:posOffset>
                  </wp:positionH>
                  <wp:positionV relativeFrom="paragraph">
                    <wp:posOffset>83820</wp:posOffset>
                  </wp:positionV>
                  <wp:extent cx="530225" cy="495300"/>
                  <wp:effectExtent l="0" t="0" r="3175" b="7620"/>
                  <wp:wrapNone/>
                  <wp:docPr id="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2"/>
                          <pic:cNvPicPr>
                            <a:picLocks noChangeAspect="1"/>
                          </pic:cNvPicPr>
                        </pic:nvPicPr>
                        <pic:blipFill>
                          <a:blip r:embed="rId8"/>
                          <a:stretch>
                            <a:fillRect/>
                          </a:stretch>
                        </pic:blipFill>
                        <pic:spPr>
                          <a:xfrm>
                            <a:off x="0" y="0"/>
                            <a:ext cx="530225" cy="49530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702272" behindDoc="0" locked="0" layoutInCell="1" allowOverlap="1">
                      <wp:simplePos x="0" y="0"/>
                      <wp:positionH relativeFrom="column">
                        <wp:posOffset>400050</wp:posOffset>
                      </wp:positionH>
                      <wp:positionV relativeFrom="paragraph">
                        <wp:posOffset>1002030</wp:posOffset>
                      </wp:positionV>
                      <wp:extent cx="990600" cy="266700"/>
                      <wp:effectExtent l="0" t="0" r="0" b="0"/>
                      <wp:wrapNone/>
                      <wp:docPr id="43" name="文本框 144"/>
                      <wp:cNvGraphicFramePr/>
                      <a:graphic xmlns:a="http://schemas.openxmlformats.org/drawingml/2006/main">
                        <a:graphicData uri="http://schemas.microsoft.com/office/word/2010/wordprocessingShape">
                          <wps:wsp>
                            <wps:cNvSpPr txBox="1"/>
                            <wps:spPr>
                              <a:xfrm>
                                <a:off x="0" y="0"/>
                                <a:ext cx="990600" cy="266700"/>
                              </a:xfrm>
                              <a:prstGeom prst="rect">
                                <a:avLst/>
                              </a:prstGeom>
                              <a:noFill/>
                              <a:ln>
                                <a:noFill/>
                              </a:ln>
                            </wps:spPr>
                            <wps:txbx>
                              <w:txbxContent>
                                <w:p w14:paraId="6E8AEEDA">
                                  <w:pPr>
                                    <w:rPr>
                                      <w:rFonts w:hint="default" w:eastAsia="宋体"/>
                                      <w:lang w:val="en-US" w:eastAsia="zh-CN"/>
                                    </w:rPr>
                                  </w:pPr>
                                  <w:r>
                                    <w:rPr>
                                      <w:rFonts w:hint="eastAsia"/>
                                      <w:color w:val="FFFF00"/>
                                      <w:lang w:val="en-US" w:eastAsia="zh-CN"/>
                                    </w:rPr>
                                    <w:t>小北洼村</w:t>
                                  </w:r>
                                </w:p>
                              </w:txbxContent>
                            </wps:txbx>
                            <wps:bodyPr vert="horz" wrap="square" anchor="t" anchorCtr="0" upright="1"/>
                          </wps:wsp>
                        </a:graphicData>
                      </a:graphic>
                    </wp:anchor>
                  </w:drawing>
                </mc:Choice>
                <mc:Fallback>
                  <w:pict>
                    <v:shape id="文本框 144" o:spid="_x0000_s1026" o:spt="202" type="#_x0000_t202" style="position:absolute;left:0pt;margin-left:31.5pt;margin-top:78.9pt;height:21pt;width:78pt;z-index:251702272;mso-width-relative:page;mso-height-relative:page;" filled="f" stroked="f" coordsize="21600,21600" o:gfxdata="UEsDBAoAAAAAAIdO4kAAAAAAAAAAAAAAAAAEAAAAZHJzL1BLAwQUAAAACACHTuJA6RsJRNYAAAAK&#10;AQAADwAAAGRycy9kb3ducmV2LnhtbE2PzU7DMBCE70i8g7VI3Og6hZYmxOkBxBVE+ZG4ufE2iYjX&#10;Uew24e1ZTnDc2dHMN+V29r060Ri7wAayhQZFXAfXcWPg7fXxagMqJsvO9oHJwDdF2FbnZ6UtXJj4&#10;hU671CgJ4VhYA21KQ4EY65a8jYswEMvvEEZvk5xjg260k4T7Hpdar9HbjqWhtQPdt1R/7Y7ewPvT&#10;4fPjRj83D341TGHWyD5HYy4vMn0HKtGc/szwiy/oUAnTPhzZRdUbWF/LlCT66lYmiGGZ5aLsRcnz&#10;DWBV4v8J1Q9QSwMEFAAAAAgAh07iQCPsH9nMAQAAgwMAAA4AAABkcnMvZTJvRG9jLnhtbK1TwY7T&#10;MBC9I/EPlu80aakKGzVdCarlggBp4QNcx24sxR7jcZuUD4A/4MSFO9/V72DstF1297IHLs54Zvxm&#10;3pvJ8nqwHdurgAZczaeTkjPlJDTGbWv+5fPNi9ecYRSuER04VfODQn69ev5s2ftKzaCFrlGBEYjD&#10;qvc1b2P0VVGgbJUVOAGvHAU1BCsiXcO2aILoCd12xawsF0UPofEBpEIk73oM8hNieAogaG2kWoPc&#10;WeXiiBpUJyJRwtZ45KvcrdZKxo9ao4qsqzkxjfmkImRv0lmslqLaBuFbI08tiKe08ICTFcZR0QvU&#10;WkTBdsE8grJGBkDQcSLBFiORrAixmJYPtLlthVeZC0mN/iI6/j9Y+WH/KTDT1Hz+kjMnLE38+PPH&#10;8def4+/vbDqfJ4V6jxUl3npKjcMbGGhvzn4kZyI+6GDTlygxipO+h4u+aohMkvPqqlyUFJEUmi0W&#10;r8gm9OLusQ8Y3ymwLBk1DzS+rKrYv8c4pp5TUi0HN6br8gg7d89BmMlTpM7HDpMVh81worOB5kBs&#10;6D+gOi2Eb5z1tAU1x687ERRnwkly1zyezbdxXJudD2bb0qssQa5As8k0TnuUhv/vPfdx9++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GwlE1gAAAAoBAAAPAAAAAAAAAAEAIAAAACIAAABkcnMv&#10;ZG93bnJldi54bWxQSwECFAAUAAAACACHTuJAI+wf2cwBAACDAwAADgAAAAAAAAABACAAAAAlAQAA&#10;ZHJzL2Uyb0RvYy54bWxQSwUGAAAAAAYABgBZAQAAYwUAAAAA&#10;">
                      <v:fill on="f" focussize="0,0"/>
                      <v:stroke on="f"/>
                      <v:imagedata o:title=""/>
                      <o:lock v:ext="edit" aspectratio="f"/>
                      <v:textbox>
                        <w:txbxContent>
                          <w:p w14:paraId="6E8AEEDA">
                            <w:pPr>
                              <w:rPr>
                                <w:rFonts w:hint="default" w:eastAsia="宋体"/>
                                <w:lang w:val="en-US" w:eastAsia="zh-CN"/>
                              </w:rPr>
                            </w:pPr>
                            <w:r>
                              <w:rPr>
                                <w:rFonts w:hint="eastAsia"/>
                                <w:color w:val="FFFF00"/>
                                <w:lang w:val="en-US" w:eastAsia="zh-CN"/>
                              </w:rPr>
                              <w:t>小北洼村</w:t>
                            </w:r>
                          </w:p>
                        </w:txbxContent>
                      </v:textbox>
                    </v:shape>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3810000</wp:posOffset>
                      </wp:positionH>
                      <wp:positionV relativeFrom="paragraph">
                        <wp:posOffset>1268730</wp:posOffset>
                      </wp:positionV>
                      <wp:extent cx="828040" cy="352425"/>
                      <wp:effectExtent l="0" t="0" r="0" b="0"/>
                      <wp:wrapNone/>
                      <wp:docPr id="42" name="文本框 143"/>
                      <wp:cNvGraphicFramePr/>
                      <a:graphic xmlns:a="http://schemas.openxmlformats.org/drawingml/2006/main">
                        <a:graphicData uri="http://schemas.microsoft.com/office/word/2010/wordprocessingShape">
                          <wps:wsp>
                            <wps:cNvSpPr txBox="1"/>
                            <wps:spPr>
                              <a:xfrm>
                                <a:off x="0" y="0"/>
                                <a:ext cx="828040" cy="352425"/>
                              </a:xfrm>
                              <a:prstGeom prst="rect">
                                <a:avLst/>
                              </a:prstGeom>
                              <a:noFill/>
                              <a:ln>
                                <a:noFill/>
                              </a:ln>
                            </wps:spPr>
                            <wps:txbx>
                              <w:txbxContent>
                                <w:p w14:paraId="7A1364BE">
                                  <w:pPr>
                                    <w:rPr>
                                      <w:rFonts w:hint="eastAsia" w:eastAsia="宋体"/>
                                      <w:color w:val="FFFF00"/>
                                      <w:lang w:val="en-US" w:eastAsia="zh-CN"/>
                                    </w:rPr>
                                  </w:pPr>
                                  <w:r>
                                    <w:rPr>
                                      <w:rFonts w:hint="eastAsia"/>
                                      <w:color w:val="FFFF00"/>
                                      <w:lang w:val="en-US" w:eastAsia="zh-CN"/>
                                    </w:rPr>
                                    <w:t>本项目</w:t>
                                  </w:r>
                                </w:p>
                              </w:txbxContent>
                            </wps:txbx>
                            <wps:bodyPr vert="horz" wrap="square" anchor="t" anchorCtr="0" upright="1"/>
                          </wps:wsp>
                        </a:graphicData>
                      </a:graphic>
                    </wp:anchor>
                  </w:drawing>
                </mc:Choice>
                <mc:Fallback>
                  <w:pict>
                    <v:shape id="文本框 143" o:spid="_x0000_s1026" o:spt="202" type="#_x0000_t202" style="position:absolute;left:0pt;margin-left:300pt;margin-top:99.9pt;height:27.75pt;width:65.2pt;z-index:251701248;mso-width-relative:page;mso-height-relative:page;" filled="f" stroked="f" coordsize="21600,21600" o:gfxdata="UEsDBAoAAAAAAIdO4kAAAAAAAAAAAAAAAAAEAAAAZHJzL1BLAwQUAAAACACHTuJAuQWi/dgAAAAL&#10;AQAADwAAAGRycy9kb3ducmV2LnhtbE2Py07DMBBF90j9B2uQ2FG7jxQS4nRRxJaKApW6c+NpEhGP&#10;o9htwt8zXdHl6F7dOSdfj64VF+xD40nDbKpAIJXeNlRp+Pp8e3wGEaIha1pPqOEXA6yLyV1uMusH&#10;+sDLLlaCRyhkRkMdY5dJGcoanQlT3yFxdvK9M5HPvpK2NwOPu1bOlVpJZxriD7XpcFNj+bM7Ow3f&#10;76fDfqm21atLusGPSpJLpdYP9zP1AiLiGP/LcMVndCiY6ejPZINoNayUYpfIQZqyAzeeFmoJ4qhh&#10;niQLkEUubx2KP1BLAwQUAAAACACHTuJAlGezZM0BAACDAwAADgAAAGRycy9lMm9Eb2MueG1srVPN&#10;btswDL4P6DsIujd23HQIjDgFtqC9DNuAbg+gyHIswPopqcTOHmB7g5122X3PlecYJSfp1l566EWm&#10;SOojv4/04mYwHdspQO1sxaeTnDNlpau13VT865fbyzlnGIStReesqvheIb9ZXrxZ9L5UhWtdVytg&#10;BGKx7H3F2xB8mWUoW2UETpxXloKNAyMCXWGT1SB6QjddVuT526x3UHtwUiGSdzUG+RERXgLomkZL&#10;tXJya5QNIyqoTgSihK32yJep26ZRMnxqGlSBdRUnpiGdVITsdTyz5UKUGxC+1fLYgnhJC084GaEt&#10;FT1DrUQQbAv6GZTREhy6JkykM9lIJClCLKb5E23uW+FV4kJSoz+Ljq8HKz/uPgPTdcVnBWdWGJr4&#10;4eePw68/h9/f2XR2FRXqPZaUeO8pNQzv3EB7c/IjOSPxoQETv0SJUZz03Z/1VUNgkpzzYp7PKCIp&#10;dHVdzIrriJI9PvaA4U45w6JRcaDxJVXF7gOGMfWUEmtZd6u7Lo2ws/85CDN6stj52GG0wrAejnTW&#10;rt4TG/oPqE7r4BtnPW1BxfFhK0BxJqwkd8XDyXwfxrXZetCbll4lCVIFmk2icdyjOPx/76mPx39n&#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BaL92AAAAAsBAAAPAAAAAAAAAAEAIAAAACIAAABk&#10;cnMvZG93bnJldi54bWxQSwECFAAUAAAACACHTuJAlGezZM0BAACDAwAADgAAAAAAAAABACAAAAAn&#10;AQAAZHJzL2Uyb0RvYy54bWxQSwUGAAAAAAYABgBZAQAAZgUAAAAA&#10;">
                      <v:fill on="f" focussize="0,0"/>
                      <v:stroke on="f"/>
                      <v:imagedata o:title=""/>
                      <o:lock v:ext="edit" aspectratio="f"/>
                      <v:textbox>
                        <w:txbxContent>
                          <w:p w14:paraId="7A1364BE">
                            <w:pPr>
                              <w:rPr>
                                <w:rFonts w:hint="eastAsia" w:eastAsia="宋体"/>
                                <w:color w:val="FFFF00"/>
                                <w:lang w:val="en-US" w:eastAsia="zh-CN"/>
                              </w:rPr>
                            </w:pPr>
                            <w:r>
                              <w:rPr>
                                <w:rFonts w:hint="eastAsia"/>
                                <w:color w:val="FFFF00"/>
                                <w:lang w:val="en-US" w:eastAsia="zh-CN"/>
                              </w:rPr>
                              <w:t>本项目</w:t>
                            </w:r>
                          </w:p>
                        </w:txbxContent>
                      </v:textbox>
                    </v:shape>
                  </w:pict>
                </mc:Fallback>
              </mc:AlternateContent>
            </w: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2295525</wp:posOffset>
                      </wp:positionH>
                      <wp:positionV relativeFrom="paragraph">
                        <wp:posOffset>1062990</wp:posOffset>
                      </wp:positionV>
                      <wp:extent cx="590550" cy="228600"/>
                      <wp:effectExtent l="0" t="0" r="0" b="0"/>
                      <wp:wrapNone/>
                      <wp:docPr id="40" name="文本框 141"/>
                      <wp:cNvGraphicFramePr/>
                      <a:graphic xmlns:a="http://schemas.openxmlformats.org/drawingml/2006/main">
                        <a:graphicData uri="http://schemas.microsoft.com/office/word/2010/wordprocessingShape">
                          <wps:wsp>
                            <wps:cNvSpPr txBox="1"/>
                            <wps:spPr>
                              <a:xfrm>
                                <a:off x="0" y="0"/>
                                <a:ext cx="590550" cy="228600"/>
                              </a:xfrm>
                              <a:prstGeom prst="rect">
                                <a:avLst/>
                              </a:prstGeom>
                              <a:noFill/>
                              <a:ln>
                                <a:noFill/>
                              </a:ln>
                            </wps:spPr>
                            <wps:txbx>
                              <w:txbxContent>
                                <w:p w14:paraId="708AA775">
                                  <w:pPr>
                                    <w:rPr>
                                      <w:rFonts w:hint="default" w:eastAsia="宋体"/>
                                      <w:b/>
                                      <w:bCs/>
                                      <w:color w:val="FFFF00"/>
                                      <w:lang w:val="en-US" w:eastAsia="zh-CN"/>
                                    </w:rPr>
                                  </w:pPr>
                                  <w:r>
                                    <w:rPr>
                                      <w:rFonts w:hint="eastAsia"/>
                                      <w:b/>
                                      <w:bCs/>
                                      <w:color w:val="FFFF00"/>
                                      <w:lang w:val="en-US" w:eastAsia="zh-CN"/>
                                    </w:rPr>
                                    <w:t>943m</w:t>
                                  </w:r>
                                </w:p>
                              </w:txbxContent>
                            </wps:txbx>
                            <wps:bodyPr vert="horz" wrap="square" anchor="t" anchorCtr="0" upright="1"/>
                          </wps:wsp>
                        </a:graphicData>
                      </a:graphic>
                    </wp:anchor>
                  </w:drawing>
                </mc:Choice>
                <mc:Fallback>
                  <w:pict>
                    <v:shape id="文本框 141" o:spid="_x0000_s1026" o:spt="202" type="#_x0000_t202" style="position:absolute;left:0pt;margin-left:180.75pt;margin-top:83.7pt;height:18pt;width:46.5pt;z-index:251699200;mso-width-relative:page;mso-height-relative:page;" filled="f" stroked="f" coordsize="21600,21600" o:gfxdata="UEsDBAoAAAAAAIdO4kAAAAAAAAAAAAAAAAAEAAAAZHJzL1BLAwQUAAAACACHTuJALhGUp9cAAAAL&#10;AQAADwAAAGRycy9kb3ducmV2LnhtbE2PTU/DMAyG70j8h8hI3FjSLS1Qmu4A4gpifEjcssZrKxqn&#10;arK1/HvMCY72++j142q7+EGccIp9IAPZSoFAaoLrqTXw9vp4dQMiJkvODoHQwDdG2NbnZ5UtXZjp&#10;BU+71AouoVhaA11KYyllbDr0Nq7CiMTZIUzeJh6nVrrJzlzuB7lWqpDe9sQXOjvifYfN1+7oDbw/&#10;HT4/tHpuH3w+zmFRkvytNObyIlN3IBIu6Q+GX31Wh5qd9uFILorBwKbIckY5KK41CCZ0rnmzN7BW&#10;Gw2yruT/H+ofUEsDBBQAAAAIAIdO4kCwa0fszQEAAIMDAAAOAAAAZHJzL2Uyb0RvYy54bWytU82O&#10;0zAQviPxDpbvNGm1XS1R05WgWi4IkBYewHWcxlLsMTNuk/IA8AacuHDnufocjN2fheWyBy7OeGb8&#10;zXzfTBa3o+vFziBZ8LWcTkopjNfQWL+p5aePdy9upKCofKN68KaWe0Pydvn82WIIlZlBB31jUDCI&#10;p2oItexiDFVRkO6MUzSBYDwHW0CnIl9xUzSoBkZ3fTEry+tiAGwCgjZE7F0dg/KEiE8BhLa12qxA&#10;b53x8YiKpleRKVFnA8ll7rZtjY7v25ZMFH0tmWnMJxdhe53OYrlQ1QZV6Kw+taCe0sIjTk5Zz0Uv&#10;UCsVldii/QfKWY1A0MaJBlcciWRFmMW0fKTNfaeCyVxYagoX0en/wep3uw8obFPLK5bEK8cTP3z/&#10;dvjx6/Dzq5heTZNCQ6CKE+8Dp8bxFYy8N2c/sTMRH1t06cuUBMcZbH/R14xRaHbOX5bzOUc0h2az&#10;m+sy6188PA5I8Y0BJ5JRS+TxZVXV7i1FboRTzymploc72/d5hL3/y8GJyVOkzo8dJiuO6/FEZw3N&#10;ntnwf8B1OsAvUgy8BbWkz1uFRgrlNbtrGc/m63hcm21Au+n4VZYgV+DZ5N5Oe5SG/+c99/Hw7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4RlKfXAAAACwEAAA8AAAAAAAAAAQAgAAAAIgAAAGRy&#10;cy9kb3ducmV2LnhtbFBLAQIUABQAAAAIAIdO4kCwa0fszQEAAIMDAAAOAAAAAAAAAAEAIAAAACYB&#10;AABkcnMvZTJvRG9jLnhtbFBLBQYAAAAABgAGAFkBAABlBQAAAAA=&#10;">
                      <v:fill on="f" focussize="0,0"/>
                      <v:stroke on="f"/>
                      <v:imagedata o:title=""/>
                      <o:lock v:ext="edit" aspectratio="f"/>
                      <v:textbox>
                        <w:txbxContent>
                          <w:p w14:paraId="708AA775">
                            <w:pPr>
                              <w:rPr>
                                <w:rFonts w:hint="default" w:eastAsia="宋体"/>
                                <w:b/>
                                <w:bCs/>
                                <w:color w:val="FFFF00"/>
                                <w:lang w:val="en-US" w:eastAsia="zh-CN"/>
                              </w:rPr>
                            </w:pPr>
                            <w:r>
                              <w:rPr>
                                <w:rFonts w:hint="eastAsia"/>
                                <w:b/>
                                <w:bCs/>
                                <w:color w:val="FFFF00"/>
                                <w:lang w:val="en-US" w:eastAsia="zh-CN"/>
                              </w:rPr>
                              <w:t>943m</w:t>
                            </w:r>
                          </w:p>
                        </w:txbxContent>
                      </v:textbox>
                    </v:shape>
                  </w:pict>
                </mc:Fallback>
              </mc:AlternateContent>
            </w: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1152525</wp:posOffset>
                      </wp:positionH>
                      <wp:positionV relativeFrom="paragraph">
                        <wp:posOffset>1167765</wp:posOffset>
                      </wp:positionV>
                      <wp:extent cx="2466975" cy="228600"/>
                      <wp:effectExtent l="0" t="41275" r="1905" b="4445"/>
                      <wp:wrapNone/>
                      <wp:docPr id="39" name="直线 140"/>
                      <wp:cNvGraphicFramePr/>
                      <a:graphic xmlns:a="http://schemas.openxmlformats.org/drawingml/2006/main">
                        <a:graphicData uri="http://schemas.microsoft.com/office/word/2010/wordprocessingShape">
                          <wps:wsp>
                            <wps:cNvSpPr/>
                            <wps:spPr>
                              <a:xfrm flipH="1" flipV="1">
                                <a:off x="0" y="0"/>
                                <a:ext cx="2466975" cy="228600"/>
                              </a:xfrm>
                              <a:prstGeom prst="line">
                                <a:avLst/>
                              </a:prstGeom>
                              <a:ln w="9525" cap="flat" cmpd="sng">
                                <a:solidFill>
                                  <a:srgbClr val="FFFF00"/>
                                </a:solidFill>
                                <a:prstDash val="solid"/>
                                <a:headEnd type="none" w="med" len="med"/>
                                <a:tailEnd type="arrow" w="med" len="med"/>
                              </a:ln>
                            </wps:spPr>
                            <wps:bodyPr upright="1"/>
                          </wps:wsp>
                        </a:graphicData>
                      </a:graphic>
                    </wp:anchor>
                  </w:drawing>
                </mc:Choice>
                <mc:Fallback>
                  <w:pict>
                    <v:line id="直线 140" o:spid="_x0000_s1026" o:spt="20" style="position:absolute;left:0pt;flip:x y;margin-left:90.75pt;margin-top:91.95pt;height:18pt;width:194.25pt;z-index:251698176;mso-width-relative:page;mso-height-relative:page;" filled="f" stroked="t" coordsize="21600,21600" o:gfxdata="UEsDBAoAAAAAAIdO4kAAAAAAAAAAAAAAAAAEAAAAZHJzL1BLAwQUAAAACACHTuJAUYSQ3tgAAAAL&#10;AQAADwAAAGRycy9kb3ducmV2LnhtbE2Py07DMBBF90j8gzVIbBC1k5LShDhdoCIhdrT9ACcekkA8&#10;jmKnj79nuoLdXM3RfZSbsxvEEafQe9KQLBQIpMbbnloNh/3b4xpEiIasGTyhhgsG2FS3N6UprD/R&#10;Jx53sRVsQqEwGroYx0LK0HToTFj4EYl/X35yJrKcWmknc2JzN8hUqZV0pidO6MyIrx02P7vZadhm&#10;2/7h43L4rtOnKHP7Pi/3q1nr+7tEvYCIeI5/MFzrc3WouFPtZ7JBDKzXScbo9VjmIJjInhWvqzWk&#10;SZ6DrEr5f0P1C1BLAwQUAAAACACHTuJAY+nglv8BAAD4AwAADgAAAGRycy9lMm9Eb2MueG1srVNL&#10;jhMxEN0jcQfLe9JJMxMmrXRmQQgsEIw0wL7iT7cl/2Q76eQsXIMVG44z16DsDgkMLGZBL6yy6/lV&#10;vdfl5e3BaLIXISpnWzqbTCkRljmubNfSz582L24oiQksB+2saOlRRHq7ev5sOfhG1K53motAkMTG&#10;ZvAt7VPyTVVF1gsDceK8sJiULhhIuA1dxQMMyG50VU+n82pwgfvgmIgRT9djkp4Yw1MInZSKibVj&#10;OyNsGlmD0JBQUuyVj3RVupVSsPRRyigS0S1FpamsWATjbV6r1RKaLoDvFTu1AE9p4ZEmA8pi0TPV&#10;GhKQXVB/URnFgotOpglzphqFFEdQxWz6yJv7HrwoWtDq6M+mx/9Hyz7s7wJRvKUvF5RYMPjHH75+&#10;e/j+g8yuij2Djw2i7v1dQLPyLmKYtR5kMERq5d/hHNESfclRzqEycig2H882i0MiDA/rq/l88eqa&#10;Eoa5ur6ZT0uhamTMt32I6a1whuSgpVrZbAM0sH8fE3aB0F+QfKwtGVq6uK4zJ+BMSpwFDI1HXdF2&#10;5W50WvGN0jrfiKHbvtaB7AHnYoPfuYU/YLnIGmI/4kpqnJheAH9jOUlHj4ZZfCg0t2AEp0QLfFc5&#10;KrOVQOkLEkJww7+hqElblHZxOEdbx4/4g3Y+qK5HK2aZtWBwIIoRp+HNE/f7vqAuD3b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EkN7YAAAACwEAAA8AAAAAAAAAAQAgAAAAIgAAAGRycy9kb3du&#10;cmV2LnhtbFBLAQIUABQAAAAIAIdO4kBj6eCW/wEAAPgDAAAOAAAAAAAAAAEAIAAAACcBAABkcnMv&#10;ZTJvRG9jLnhtbFBLBQYAAAAABgAGAFkBAACYBQAAAAA=&#10;">
                      <v:fill on="f" focussize="0,0"/>
                      <v:stroke color="#FFFF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97152" behindDoc="0" locked="0" layoutInCell="1" allowOverlap="1">
                      <wp:simplePos x="0" y="0"/>
                      <wp:positionH relativeFrom="column">
                        <wp:posOffset>3619500</wp:posOffset>
                      </wp:positionH>
                      <wp:positionV relativeFrom="paragraph">
                        <wp:posOffset>1072515</wp:posOffset>
                      </wp:positionV>
                      <wp:extent cx="809625" cy="571500"/>
                      <wp:effectExtent l="6350" t="6350" r="6985" b="16510"/>
                      <wp:wrapNone/>
                      <wp:docPr id="38" name="任意多边形 139"/>
                      <wp:cNvGraphicFramePr/>
                      <a:graphic xmlns:a="http://schemas.openxmlformats.org/drawingml/2006/main">
                        <a:graphicData uri="http://schemas.microsoft.com/office/word/2010/wordprocessingShape">
                          <wps:wsp>
                            <wps:cNvSpPr/>
                            <wps:spPr>
                              <a:xfrm>
                                <a:off x="0" y="0"/>
                                <a:ext cx="809625" cy="571500"/>
                              </a:xfrm>
                              <a:custGeom>
                                <a:avLst/>
                                <a:gdLst/>
                                <a:ahLst/>
                                <a:cxnLst/>
                                <a:pathLst>
                                  <a:path w="1275" h="900">
                                    <a:moveTo>
                                      <a:pt x="0" y="555"/>
                                    </a:moveTo>
                                    <a:lnTo>
                                      <a:pt x="1005" y="900"/>
                                    </a:lnTo>
                                    <a:lnTo>
                                      <a:pt x="1200" y="495"/>
                                    </a:lnTo>
                                    <a:lnTo>
                                      <a:pt x="1275" y="360"/>
                                    </a:lnTo>
                                    <a:lnTo>
                                      <a:pt x="300" y="0"/>
                                    </a:lnTo>
                                    <a:lnTo>
                                      <a:pt x="180" y="45"/>
                                    </a:lnTo>
                                    <a:lnTo>
                                      <a:pt x="0" y="555"/>
                                    </a:lnTo>
                                    <a:close/>
                                  </a:path>
                                </a:pathLst>
                              </a:custGeom>
                              <a:solidFill>
                                <a:srgbClr val="FF0000">
                                  <a:alpha val="0"/>
                                </a:srgbClr>
                              </a:solidFill>
                              <a:ln w="12700"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任意多边形 139" o:spid="_x0000_s1026" o:spt="100" style="position:absolute;left:0pt;margin-left:285pt;margin-top:84.45pt;height:45pt;width:63.75pt;z-index:251697152;mso-width-relative:page;mso-height-relative:page;" fillcolor="#FF0000" filled="t" stroked="t" coordsize="1275,900" o:gfxdata="UEsDBAoAAAAAAIdO4kAAAAAAAAAAAAAAAAAEAAAAZHJzL1BLAwQUAAAACACHTuJAQE0dQdcAAAAL&#10;AQAADwAAAGRycy9kb3ducmV2LnhtbE2PwU7DMBBE70j8g7VI3KjdSknbNE4PREj0SOED3HhJotrr&#10;ELtJy9eznOC4M6PZN+X+6p2YcIx9IA3LhQKB1ATbU6vh4/3laQMiJkPWuECo4YYR9tX9XWkKG2Z6&#10;w+mYWsElFAujoUtpKKSMTYfexEUYkNj7DKM3ic+xlXY0M5d7J1dK5dKbnvhDZwZ87rA5Hy9eQ10f&#10;6hCdbSc/J3nLvpvXw1fU+vFhqXYgEl7TXxh+8RkdKmY6hQvZKJyGbK14S2Ij32xBcCLfrjMQJw2r&#10;jBVZlfL/huoHUEsDBBQAAAAIAIdO4kDlhGVsngIAAN4FAAAOAAAAZHJzL2Uyb0RvYy54bWytVM1u&#10;1DAQviPxDpbvNMku23ZXzfbQZbkgqNTyAFPHWVtybGN7/zhz584R8RJVBU9DEY/B2El224KqHsgh&#10;mdifv5nvsz0np5tGkRV3Xhpd0uIgp4RrZiqpFyV9fzl/cUyJD6ArUEbzkm65p6fT589O1nbCB0YY&#10;VXFHkET7ydqWVIRgJ1nmmeAN+ANjucbJ2rgGAv66RVY5WCN7o7JBnh9ma+Mq6wzj3uPorJ2kHaN7&#10;CqGpa8n4zLBlw3VoWR1XEFCSF9J6Ok3V1jVn4V1dex6IKikqDemNSTC+iu9segKThQMrJOtKgKeU&#10;8EBTA1Jj0h3VDAKQpZN/UTWSOeNNHQ6YabJWSHIEVRT5A28uBFietKDV3u5M9/+Plr1dnTsiq5IO&#10;cd81NLjjP29ufn36fPvty+8f17ffv5JiOI4+ra2fIPzCnrvuz2MYRW9q18QvyiGb5O125y3fBMJw&#10;8DgfHw5GlDCcGh0Vozx5n+0Xs6UPr7lJRLB640O7NVUfgegjttF9aCHE4Zg8hmSNJ3pwhGlESceY&#10;Ik40ZsUvTYKEfXmj0SiKwgL280rfxRV5jkRYbiRqoT2g/9pEWOCxTsCX456zB/TfHhhLQ8bh4eOM&#10;w47wcVRx3KV9PGsL2uvta2LKeN7qit4lL3Z+oi93N8QbJau5VCra6N3i6kw5sgK8VPN5jk8yGpQV&#10;0I72hXfQxH2PQ+lur6JSBthHary/GDYWz6LXi8R4b8m/0rbl34NZ58MMvGgLSVNx92AiOFSvdEXC&#10;1uIh19jcaKyh4RUlimMvjFFCBpDqKUg0SWnUFm9GexdidGWqLd4pbLHYbYRxHzENNhhU9WEJDpOC&#10;ZjhcUpTbhmeh7UhL6+RC4KoinbdIhtc+mde1qNhX7v6n5Pu2P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E0dQdcAAAALAQAADwAAAAAAAAABACAAAAAiAAAAZHJzL2Rvd25yZXYueG1sUEsBAhQA&#10;FAAAAAgAh07iQOWEZWyeAgAA3gUAAA4AAAAAAAAAAQAgAAAAJgEAAGRycy9lMm9Eb2MueG1sUEsF&#10;BgAAAAAGAAYAWQEAADYGAAAAAA==&#10;" path="m0,555l1005,900,1200,495,1275,360,300,0,180,45,0,555xe">
                      <v:fill on="t" opacity="0f" focussize="0,0"/>
                      <v:stroke weight="1pt" color="#FF0000" joinstyle="round"/>
                      <v:imagedata o:title=""/>
                      <o:lock v:ext="edit" aspectratio="f"/>
                    </v:shape>
                  </w:pict>
                </mc:Fallback>
              </mc:AlternateContent>
            </w:r>
            <w:r>
              <w:rPr>
                <w:color w:val="auto"/>
                <w:sz w:val="21"/>
              </w:rPr>
              <mc:AlternateContent>
                <mc:Choice Requires="wps">
                  <w:drawing>
                    <wp:anchor distT="0" distB="0" distL="114300" distR="114300" simplePos="0" relativeHeight="251696128" behindDoc="0" locked="0" layoutInCell="1" allowOverlap="1">
                      <wp:simplePos x="0" y="0"/>
                      <wp:positionH relativeFrom="column">
                        <wp:posOffset>352425</wp:posOffset>
                      </wp:positionH>
                      <wp:positionV relativeFrom="paragraph">
                        <wp:posOffset>910590</wp:posOffset>
                      </wp:positionV>
                      <wp:extent cx="790575" cy="419100"/>
                      <wp:effectExtent l="7620" t="7620" r="9525" b="15240"/>
                      <wp:wrapNone/>
                      <wp:docPr id="37" name="任意多边形 138"/>
                      <wp:cNvGraphicFramePr/>
                      <a:graphic xmlns:a="http://schemas.openxmlformats.org/drawingml/2006/main">
                        <a:graphicData uri="http://schemas.microsoft.com/office/word/2010/wordprocessingShape">
                          <wps:wsp>
                            <wps:cNvSpPr/>
                            <wps:spPr>
                              <a:xfrm>
                                <a:off x="0" y="0"/>
                                <a:ext cx="790575" cy="419100"/>
                              </a:xfrm>
                              <a:custGeom>
                                <a:avLst/>
                                <a:gdLst/>
                                <a:ahLst/>
                                <a:cxnLst/>
                                <a:pathLst>
                                  <a:path w="1245" h="660">
                                    <a:moveTo>
                                      <a:pt x="195" y="105"/>
                                    </a:moveTo>
                                    <a:lnTo>
                                      <a:pt x="570" y="165"/>
                                    </a:lnTo>
                                    <a:lnTo>
                                      <a:pt x="960" y="0"/>
                                    </a:lnTo>
                                    <a:lnTo>
                                      <a:pt x="1245" y="150"/>
                                    </a:lnTo>
                                    <a:lnTo>
                                      <a:pt x="1245" y="420"/>
                                    </a:lnTo>
                                    <a:lnTo>
                                      <a:pt x="945" y="615"/>
                                    </a:lnTo>
                                    <a:lnTo>
                                      <a:pt x="645" y="660"/>
                                    </a:lnTo>
                                    <a:lnTo>
                                      <a:pt x="150" y="480"/>
                                    </a:lnTo>
                                    <a:lnTo>
                                      <a:pt x="0" y="285"/>
                                    </a:lnTo>
                                    <a:lnTo>
                                      <a:pt x="60" y="120"/>
                                    </a:lnTo>
                                    <a:lnTo>
                                      <a:pt x="195" y="105"/>
                                    </a:lnTo>
                                    <a:close/>
                                  </a:path>
                                </a:pathLst>
                              </a:custGeom>
                              <a:solidFill>
                                <a:srgbClr val="FFFF00">
                                  <a:alpha val="0"/>
                                </a:srgbClr>
                              </a:solidFill>
                              <a:ln w="15875" cap="flat" cmpd="sng">
                                <a:solidFill>
                                  <a:srgbClr val="FFFF00"/>
                                </a:solidFill>
                                <a:prstDash val="solid"/>
                                <a:headEnd type="none" w="med" len="med"/>
                                <a:tailEnd type="none" w="med" len="med"/>
                              </a:ln>
                            </wps:spPr>
                            <wps:bodyPr vert="horz" wrap="square" anchor="t" anchorCtr="0" upright="1"/>
                          </wps:wsp>
                        </a:graphicData>
                      </a:graphic>
                    </wp:anchor>
                  </w:drawing>
                </mc:Choice>
                <mc:Fallback>
                  <w:pict>
                    <v:shape id="任意多边形 138" o:spid="_x0000_s1026" o:spt="100" style="position:absolute;left:0pt;margin-left:27.75pt;margin-top:71.7pt;height:33pt;width:62.25pt;z-index:251696128;mso-width-relative:page;mso-height-relative:page;" fillcolor="#FFFF00" filled="t" stroked="t" coordsize="1245,660" o:gfxdata="UEsDBAoAAAAAAIdO4kAAAAAAAAAAAAAAAAAEAAAAZHJzL1BLAwQUAAAACACHTuJAUPG6dtcAAAAK&#10;AQAADwAAAGRycy9kb3ducmV2LnhtbE2PPU/DMBCGdyT+g3VIbNRuSCCEOB0q2gWGpsDuxkccEZ+D&#10;7X79e9wJxrt79N7z1ouTHdkBfRgcSZjPBDCkzumBegkf76u7EliIirQaHaGEMwZYNNdXtaq0O1KL&#10;h23sWQqhUCkJJsap4jx0Bq0KMzchpduX81bFNPqea6+OKdyOPBPigVs1UPpg1IRLg933dm8lCMxM&#10;9oLrn/V5+bl5fGv9qi1fpby9mYtnYBFP8Q+Gi35ShyY57dyedGCjhKIoEpn2+X0O7AKUIpXbScjE&#10;Uw68qfn/Cs0vUEsDBBQAAAAIAIdO4kCE248zwAIAAH8GAAAOAAAAZHJzL2Uyb0RvYy54bWytVUtu&#10;FDEQ3SNxB8t70t2T+Ss9WWQIGwSREg7guN3TLfmH7fmxZs+eJeISUQSnIYhjULbbkx9KZsEsxtX2&#10;66r3qsrVR8cbwdGKGdsqWeLiIMeISaqqVi5K/OHi9NUYI+uIrAhXkpV4yyw+nr18cbTWU9ZTjeIV&#10;MwicSDtd6xI3zulpllnaMEHsgdJMwmGtjCAOHs0iqwxZg3fBs16eD7O1MpU2ijJrYXceD3Hn0ezj&#10;UNV1S9lc0aVg0kWvhnHiQJJtWm3xLLCta0bd+7q2zCFeYlDqwj8EAfvS/2ezIzJdGKKblnYUyD4U&#10;HmgSpJUQdOdqThxBS9M+ciVaapRVtTugSmRRSMgIqCjyB7k5b4hmQQuk2upd0u3/c0vfrc4MaqsS&#10;H44wkkRAxX9dX//+/OXm+9c/P69ufnxDxeHY52mt7RTg5/rMdE8WTC96UxvhV5CDNiG3211u2cYh&#10;CpujST4YDTCicNQvJkUecp/dvkyX1r1hKjgiq7fWxdJUySJNsuhGJlMT57d9cG+iNXR0rw9hmhIP&#10;h3koiVArdqECxHl6xQTOgUWRD7wsoHCL4PIucjCCNvHIYUKm87Tq4HECkTwuSUqnaY2oSMy7G+wJ&#10;7PeeBk68UnA4LJ7mN0w44BkVJ2Zp7RgCMe+vP34aF1G98TNRu+Q9I+JxORIpypVlka8vbijVruBQ&#10;trsdYxVvq9OWc19naxaXJ9ygFYFbfwo/aDa/T7huSNxNAjto8H3PB5ehmQbj0LQEBl0NAwb6V2i4&#10;LFYugsd7r/wrbKR/D6aNdXNim0gkHPmqkGnDSPVaVshtNdxCCdMXew6CVRhxBsPaWwHpSMv3QUKS&#10;uARt/urGy+qtS1Vt4dLDNwDGYaPMJwgDExBUfVwSA0GJpLBdYpAbzRMXR+ZSm3bRwFtF6CPvDOZS&#10;SF43Q/3gu/scgt9+N2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DxunbXAAAACgEAAA8AAAAA&#10;AAAAAQAgAAAAIgAAAGRycy9kb3ducmV2LnhtbFBLAQIUABQAAAAIAIdO4kCE248zwAIAAH8GAAAO&#10;AAAAAAAAAAEAIAAAACYBAABkcnMvZTJvRG9jLnhtbFBLBQYAAAAABgAGAFkBAABYBgAAAAA=&#10;" path="m195,105l570,165,960,0,1245,150,1245,420,945,615,645,660,150,480,0,285,60,120,195,105xe">
                      <v:fill on="t" opacity="0f" focussize="0,0"/>
                      <v:stroke weight="1.25pt" color="#FFFF00" joinstyle="round"/>
                      <v:imagedata o:title=""/>
                      <o:lock v:ext="edit" aspectratio="f"/>
                    </v:shape>
                  </w:pict>
                </mc:Fallback>
              </mc:AlternateContent>
            </w:r>
            <w:r>
              <w:rPr>
                <w:color w:val="auto"/>
              </w:rPr>
              <w:drawing>
                <wp:inline distT="0" distB="0" distL="114300" distR="114300">
                  <wp:extent cx="5417185" cy="3025140"/>
                  <wp:effectExtent l="0" t="0" r="8255" b="7620"/>
                  <wp:docPr id="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9"/>
                          <a:stretch>
                            <a:fillRect/>
                          </a:stretch>
                        </pic:blipFill>
                        <pic:spPr>
                          <a:xfrm>
                            <a:off x="0" y="0"/>
                            <a:ext cx="5417185" cy="3025140"/>
                          </a:xfrm>
                          <a:prstGeom prst="rect">
                            <a:avLst/>
                          </a:prstGeom>
                          <a:noFill/>
                          <a:ln>
                            <a:noFill/>
                          </a:ln>
                        </pic:spPr>
                      </pic:pic>
                    </a:graphicData>
                  </a:graphic>
                </wp:inline>
              </w:drawing>
            </w:r>
          </w:p>
          <w:p w14:paraId="3D2E0EB0">
            <w:pPr>
              <w:pStyle w:val="84"/>
              <w:ind w:firstLine="422"/>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color w:val="auto"/>
                <w:sz w:val="21"/>
                <w:szCs w:val="21"/>
              </w:rPr>
              <w:t xml:space="preserve">图 </w:t>
            </w:r>
            <w:r>
              <w:rPr>
                <w:rFonts w:hint="default" w:ascii="Times New Roman" w:hAnsi="Times New Roman" w:eastAsia="宋体" w:cs="Times New Roman"/>
                <w:b w:val="0"/>
                <w:bCs w:val="0"/>
                <w:color w:val="auto"/>
                <w:sz w:val="21"/>
                <w:szCs w:val="21"/>
              </w:rPr>
              <w:t>3-1</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bCs/>
                <w:color w:val="auto"/>
                <w:sz w:val="21"/>
                <w:szCs w:val="21"/>
              </w:rPr>
              <w:t>环境空气现状监测点位图</w:t>
            </w:r>
          </w:p>
          <w:p w14:paraId="4BDFCC2C">
            <w:pPr>
              <w:pStyle w:val="84"/>
              <w:ind w:firstLine="422"/>
              <w:rPr>
                <w:b/>
                <w:bCs w:val="0"/>
                <w:color w:val="auto"/>
                <w:lang w:val="en-US" w:eastAsia="zh-CN"/>
              </w:rPr>
            </w:pPr>
            <w:r>
              <w:rPr>
                <w:rFonts w:hint="eastAsia"/>
                <w:b/>
                <w:bCs w:val="0"/>
                <w:color w:val="auto"/>
                <w:lang w:val="en-US" w:eastAsia="zh-CN"/>
              </w:rPr>
              <w:t>2、地表水环境质量现状</w:t>
            </w:r>
          </w:p>
          <w:p w14:paraId="6E7CFE04">
            <w:pPr>
              <w:pStyle w:val="84"/>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区域地表水系为淮河，2022年，全市地表水24个监测断面(点位)中I~III类水质比例为79.2%，比上年增加2.3个百分点，IV类水质比例20.8%，淮河干流淮南段6个断面，I~II类水质比例为100%，总体水质状况为优。</w:t>
            </w:r>
          </w:p>
          <w:p w14:paraId="797FA39E">
            <w:pPr>
              <w:pStyle w:val="84"/>
              <w:ind w:firstLine="422"/>
              <w:rPr>
                <w:b/>
                <w:bCs w:val="0"/>
                <w:color w:val="auto"/>
                <w:lang w:val="en-US" w:eastAsia="zh-CN"/>
              </w:rPr>
            </w:pPr>
            <w:r>
              <w:rPr>
                <w:rFonts w:hint="eastAsia"/>
                <w:b/>
                <w:bCs w:val="0"/>
                <w:color w:val="auto"/>
                <w:lang w:val="en-US" w:eastAsia="zh-CN"/>
              </w:rPr>
              <w:t>3、声环境质量现状</w:t>
            </w:r>
          </w:p>
          <w:p w14:paraId="2C3F808D">
            <w:pPr>
              <w:pStyle w:val="84"/>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依据《2022淮南市生态环境状况公报》，2022年，淮南市区域噪声昼间平均等效声级为52.8dB(A)，与上年相比降低0.5分贝，噪声总体水平等级稳定保持二级，声环境质量较好。</w:t>
            </w:r>
          </w:p>
          <w:p w14:paraId="08298265">
            <w:pPr>
              <w:pStyle w:val="84"/>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本项目周边50m范围内无环境敏感目标分布，未开展声环境质量现状监测。</w:t>
            </w:r>
          </w:p>
          <w:p w14:paraId="40B80410">
            <w:pPr>
              <w:pStyle w:val="84"/>
              <w:ind w:firstLine="422"/>
              <w:rPr>
                <w:b/>
                <w:bCs w:val="0"/>
                <w:color w:val="auto"/>
                <w:lang w:val="en-US" w:eastAsia="zh-CN"/>
              </w:rPr>
            </w:pPr>
            <w:r>
              <w:rPr>
                <w:rFonts w:hint="eastAsia"/>
                <w:b/>
                <w:bCs w:val="0"/>
                <w:color w:val="auto"/>
                <w:lang w:val="en-US" w:eastAsia="zh-CN"/>
              </w:rPr>
              <w:t>4、土壤、地下水环境质量现状调查</w:t>
            </w:r>
          </w:p>
          <w:p w14:paraId="742BAC94">
            <w:pPr>
              <w:pStyle w:val="84"/>
              <w:rPr>
                <w:color w:val="auto"/>
                <w:kern w:val="0"/>
                <w:lang w:val="en-US" w:eastAsia="zh-CN"/>
              </w:rPr>
            </w:pPr>
            <w:r>
              <w:rPr>
                <w:color w:val="auto"/>
                <w:kern w:val="0"/>
                <w:lang w:val="en-US" w:eastAsia="zh-CN"/>
              </w:rPr>
              <w:t>厂界外500米范围内无地下水集中式饮用水水源和热水、矿泉水、温泉等特殊地下水资源。</w:t>
            </w:r>
          </w:p>
          <w:p w14:paraId="41D1D89C">
            <w:pPr>
              <w:pStyle w:val="84"/>
              <w:rPr>
                <w:rFonts w:hint="eastAsia" w:ascii="宋体" w:hAnsi="宋体" w:cs="宋体"/>
                <w:color w:val="auto"/>
                <w:kern w:val="0"/>
                <w:lang w:val="en-US" w:eastAsia="zh-CN"/>
              </w:rPr>
            </w:pPr>
            <w:r>
              <w:rPr>
                <w:rFonts w:hint="eastAsia"/>
                <w:color w:val="auto"/>
                <w:lang w:val="en-US" w:eastAsia="zh-CN"/>
              </w:rPr>
              <w:t>本工程建设完整的“雨污分流、清污分流”排水系统，雨水排入雨水管网。生活污水经化粪池收集后经园区市政污水管网排入八公山污水处理厂处理后，最终排入淮河。危废间等有液态物质存储区域采取重点防渗措施，危废间内不涉及液态物料存储设，存储物料不会外泄进入外环境对污染地下水和土壤造成污染。</w:t>
            </w:r>
          </w:p>
        </w:tc>
      </w:tr>
      <w:tr w14:paraId="09B24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798" w:type="dxa"/>
            <w:noWrap w:val="0"/>
            <w:vAlign w:val="center"/>
          </w:tcPr>
          <w:p w14:paraId="5E30EAF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2628CA5B">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4E548E7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263" w:type="dxa"/>
            <w:noWrap w:val="0"/>
            <w:vAlign w:val="center"/>
          </w:tcPr>
          <w:p w14:paraId="01910FF6">
            <w:pPr>
              <w:pStyle w:val="84"/>
              <w:ind w:firstLine="422"/>
              <w:rPr>
                <w:b/>
                <w:bCs w:val="0"/>
                <w:color w:val="auto"/>
                <w:lang w:val="en-US" w:eastAsia="zh-CN"/>
              </w:rPr>
            </w:pPr>
            <w:r>
              <w:rPr>
                <w:rFonts w:hint="eastAsia"/>
                <w:b/>
                <w:bCs w:val="0"/>
                <w:color w:val="auto"/>
                <w:lang w:val="en-US" w:eastAsia="zh-CN"/>
              </w:rPr>
              <w:t>1、大气环境保护目标</w:t>
            </w:r>
          </w:p>
          <w:p w14:paraId="7DC2A666">
            <w:pPr>
              <w:pStyle w:val="84"/>
              <w:rPr>
                <w:b/>
                <w:color w:val="auto"/>
                <w:spacing w:val="4"/>
                <w:sz w:val="21"/>
                <w:szCs w:val="21"/>
              </w:rPr>
            </w:pPr>
            <w:r>
              <w:rPr>
                <w:rFonts w:hint="eastAsia"/>
                <w:color w:val="auto"/>
                <w:lang w:val="en-US" w:eastAsia="zh-CN"/>
              </w:rPr>
              <w:t>本项目厂界外</w:t>
            </w:r>
            <w:r>
              <w:rPr>
                <w:color w:val="auto"/>
                <w:lang w:val="en-US" w:eastAsia="zh-CN"/>
              </w:rPr>
              <w:t>500</w:t>
            </w:r>
            <w:r>
              <w:rPr>
                <w:rFonts w:hint="eastAsia"/>
                <w:color w:val="auto"/>
                <w:lang w:val="en-US" w:eastAsia="zh-CN"/>
              </w:rPr>
              <w:t>米范围内无自然保护区、风景名胜区，</w:t>
            </w:r>
            <w:r>
              <w:rPr>
                <w:rFonts w:hint="eastAsia"/>
                <w:color w:val="auto"/>
                <w:kern w:val="0"/>
                <w:sz w:val="21"/>
                <w:szCs w:val="21"/>
              </w:rPr>
              <w:t>根据评价范围，以评价范围内环境敏感点作为保护目标，则项目各环境要素环境保护目标情况如下。</w:t>
            </w:r>
          </w:p>
          <w:p w14:paraId="5686DC85">
            <w:pPr>
              <w:spacing w:line="360" w:lineRule="auto"/>
              <w:ind w:firstLine="420" w:firstLineChars="200"/>
              <w:rPr>
                <w:color w:val="auto"/>
                <w:kern w:val="0"/>
                <w:sz w:val="21"/>
                <w:szCs w:val="21"/>
              </w:rPr>
            </w:pPr>
            <w:r>
              <w:rPr>
                <w:rFonts w:hint="eastAsia"/>
                <w:color w:val="auto"/>
                <w:kern w:val="0"/>
                <w:sz w:val="21"/>
                <w:szCs w:val="21"/>
              </w:rPr>
              <w:t>本项目周边5</w:t>
            </w:r>
            <w:r>
              <w:rPr>
                <w:color w:val="auto"/>
                <w:kern w:val="0"/>
                <w:sz w:val="21"/>
                <w:szCs w:val="21"/>
              </w:rPr>
              <w:t>00m</w:t>
            </w:r>
            <w:r>
              <w:rPr>
                <w:rFonts w:hint="eastAsia"/>
                <w:color w:val="auto"/>
                <w:kern w:val="0"/>
                <w:sz w:val="21"/>
                <w:szCs w:val="21"/>
              </w:rPr>
              <w:t>范围内大气环境敏感目标分布见下表。</w:t>
            </w:r>
          </w:p>
          <w:p w14:paraId="58353CE9">
            <w:pPr>
              <w:pStyle w:val="81"/>
              <w:keepNext w:val="0"/>
              <w:keepLines w:val="0"/>
              <w:pageBreakBefore w:val="0"/>
              <w:widowControl/>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表3-</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 xml:space="preserve">  主要环境保护目标一览表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3"/>
              <w:gridCol w:w="1090"/>
              <w:gridCol w:w="735"/>
              <w:gridCol w:w="669"/>
              <w:gridCol w:w="1411"/>
              <w:gridCol w:w="1055"/>
              <w:gridCol w:w="1147"/>
              <w:gridCol w:w="1357"/>
            </w:tblGrid>
            <w:tr w14:paraId="4239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6" w:type="pct"/>
                  <w:vMerge w:val="restart"/>
                  <w:noWrap w:val="0"/>
                  <w:vAlign w:val="center"/>
                </w:tcPr>
                <w:p w14:paraId="1B21C933">
                  <w:pPr>
                    <w:jc w:val="center"/>
                    <w:rPr>
                      <w:color w:val="auto"/>
                      <w:szCs w:val="21"/>
                    </w:rPr>
                  </w:pPr>
                  <w:r>
                    <w:rPr>
                      <w:color w:val="auto"/>
                      <w:szCs w:val="21"/>
                    </w:rPr>
                    <w:t>环境要素</w:t>
                  </w:r>
                </w:p>
              </w:tc>
              <w:tc>
                <w:tcPr>
                  <w:tcW w:w="678" w:type="pct"/>
                  <w:vMerge w:val="restart"/>
                  <w:noWrap w:val="0"/>
                  <w:vAlign w:val="center"/>
                </w:tcPr>
                <w:p w14:paraId="389FA81C">
                  <w:pPr>
                    <w:jc w:val="center"/>
                    <w:rPr>
                      <w:color w:val="auto"/>
                      <w:szCs w:val="21"/>
                    </w:rPr>
                  </w:pPr>
                  <w:r>
                    <w:rPr>
                      <w:color w:val="auto"/>
                      <w:szCs w:val="21"/>
                    </w:rPr>
                    <w:t>保护目标</w:t>
                  </w:r>
                </w:p>
              </w:tc>
              <w:tc>
                <w:tcPr>
                  <w:tcW w:w="457" w:type="pct"/>
                  <w:vMerge w:val="restart"/>
                  <w:noWrap w:val="0"/>
                  <w:vAlign w:val="center"/>
                </w:tcPr>
                <w:p w14:paraId="76015FB0">
                  <w:pPr>
                    <w:jc w:val="center"/>
                    <w:rPr>
                      <w:color w:val="auto"/>
                      <w:szCs w:val="21"/>
                    </w:rPr>
                  </w:pPr>
                  <w:r>
                    <w:rPr>
                      <w:color w:val="auto"/>
                      <w:szCs w:val="21"/>
                    </w:rPr>
                    <w:t>方位</w:t>
                  </w:r>
                </w:p>
              </w:tc>
              <w:tc>
                <w:tcPr>
                  <w:tcW w:w="416" w:type="pct"/>
                  <w:vMerge w:val="restart"/>
                  <w:noWrap w:val="0"/>
                  <w:vAlign w:val="center"/>
                </w:tcPr>
                <w:p w14:paraId="1A5DE18F">
                  <w:pPr>
                    <w:jc w:val="center"/>
                    <w:rPr>
                      <w:color w:val="auto"/>
                      <w:szCs w:val="21"/>
                    </w:rPr>
                  </w:pPr>
                  <w:r>
                    <w:rPr>
                      <w:color w:val="auto"/>
                      <w:szCs w:val="21"/>
                    </w:rPr>
                    <w:t>距离/m</w:t>
                  </w:r>
                </w:p>
              </w:tc>
              <w:tc>
                <w:tcPr>
                  <w:tcW w:w="877" w:type="pct"/>
                  <w:vMerge w:val="restart"/>
                  <w:noWrap w:val="0"/>
                  <w:vAlign w:val="center"/>
                </w:tcPr>
                <w:p w14:paraId="03B125B6">
                  <w:pPr>
                    <w:jc w:val="center"/>
                    <w:rPr>
                      <w:color w:val="auto"/>
                      <w:szCs w:val="21"/>
                    </w:rPr>
                  </w:pPr>
                  <w:r>
                    <w:rPr>
                      <w:rFonts w:hint="eastAsia"/>
                      <w:color w:val="auto"/>
                      <w:szCs w:val="21"/>
                    </w:rPr>
                    <w:t>规模</w:t>
                  </w:r>
                </w:p>
              </w:tc>
              <w:tc>
                <w:tcPr>
                  <w:tcW w:w="1369" w:type="pct"/>
                  <w:gridSpan w:val="2"/>
                  <w:noWrap w:val="0"/>
                  <w:vAlign w:val="center"/>
                </w:tcPr>
                <w:p w14:paraId="23723D0C">
                  <w:pPr>
                    <w:jc w:val="center"/>
                    <w:rPr>
                      <w:color w:val="auto"/>
                      <w:szCs w:val="21"/>
                    </w:rPr>
                  </w:pPr>
                  <w:r>
                    <w:rPr>
                      <w:color w:val="auto"/>
                      <w:szCs w:val="21"/>
                    </w:rPr>
                    <w:t>坐标</w:t>
                  </w:r>
                </w:p>
              </w:tc>
              <w:tc>
                <w:tcPr>
                  <w:tcW w:w="844" w:type="pct"/>
                  <w:vMerge w:val="restart"/>
                  <w:noWrap w:val="0"/>
                  <w:vAlign w:val="center"/>
                </w:tcPr>
                <w:p w14:paraId="0FD49555">
                  <w:pPr>
                    <w:jc w:val="center"/>
                    <w:rPr>
                      <w:color w:val="auto"/>
                      <w:szCs w:val="21"/>
                    </w:rPr>
                  </w:pPr>
                  <w:r>
                    <w:rPr>
                      <w:color w:val="auto"/>
                      <w:szCs w:val="21"/>
                    </w:rPr>
                    <w:t>环境功能及保护级别</w:t>
                  </w:r>
                </w:p>
              </w:tc>
            </w:tr>
            <w:tr w14:paraId="5C38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6" w:type="pct"/>
                  <w:vMerge w:val="continue"/>
                  <w:noWrap w:val="0"/>
                  <w:vAlign w:val="center"/>
                </w:tcPr>
                <w:p w14:paraId="635FC893">
                  <w:pPr>
                    <w:jc w:val="center"/>
                    <w:rPr>
                      <w:color w:val="auto"/>
                      <w:szCs w:val="21"/>
                    </w:rPr>
                  </w:pPr>
                </w:p>
              </w:tc>
              <w:tc>
                <w:tcPr>
                  <w:tcW w:w="678" w:type="pct"/>
                  <w:vMerge w:val="continue"/>
                  <w:noWrap w:val="0"/>
                  <w:vAlign w:val="center"/>
                </w:tcPr>
                <w:p w14:paraId="2E640AE7">
                  <w:pPr>
                    <w:jc w:val="center"/>
                    <w:rPr>
                      <w:color w:val="auto"/>
                      <w:szCs w:val="21"/>
                    </w:rPr>
                  </w:pPr>
                </w:p>
              </w:tc>
              <w:tc>
                <w:tcPr>
                  <w:tcW w:w="457" w:type="pct"/>
                  <w:vMerge w:val="continue"/>
                  <w:noWrap w:val="0"/>
                  <w:vAlign w:val="center"/>
                </w:tcPr>
                <w:p w14:paraId="41CEB2AE">
                  <w:pPr>
                    <w:jc w:val="center"/>
                    <w:rPr>
                      <w:color w:val="auto"/>
                      <w:szCs w:val="21"/>
                    </w:rPr>
                  </w:pPr>
                </w:p>
              </w:tc>
              <w:tc>
                <w:tcPr>
                  <w:tcW w:w="416" w:type="pct"/>
                  <w:vMerge w:val="continue"/>
                  <w:noWrap w:val="0"/>
                  <w:vAlign w:val="center"/>
                </w:tcPr>
                <w:p w14:paraId="32ED4B60">
                  <w:pPr>
                    <w:jc w:val="center"/>
                    <w:rPr>
                      <w:color w:val="auto"/>
                      <w:szCs w:val="21"/>
                    </w:rPr>
                  </w:pPr>
                </w:p>
              </w:tc>
              <w:tc>
                <w:tcPr>
                  <w:tcW w:w="877" w:type="pct"/>
                  <w:vMerge w:val="continue"/>
                  <w:noWrap w:val="0"/>
                  <w:vAlign w:val="center"/>
                </w:tcPr>
                <w:p w14:paraId="24B2FFE9">
                  <w:pPr>
                    <w:jc w:val="center"/>
                    <w:rPr>
                      <w:color w:val="auto"/>
                      <w:szCs w:val="21"/>
                    </w:rPr>
                  </w:pPr>
                </w:p>
              </w:tc>
              <w:tc>
                <w:tcPr>
                  <w:tcW w:w="656" w:type="pct"/>
                  <w:noWrap w:val="0"/>
                  <w:vAlign w:val="center"/>
                </w:tcPr>
                <w:p w14:paraId="0F87BB03">
                  <w:pPr>
                    <w:jc w:val="center"/>
                    <w:rPr>
                      <w:color w:val="auto"/>
                      <w:szCs w:val="21"/>
                    </w:rPr>
                  </w:pPr>
                  <w:r>
                    <w:rPr>
                      <w:color w:val="auto"/>
                      <w:szCs w:val="21"/>
                    </w:rPr>
                    <w:t>X</w:t>
                  </w:r>
                </w:p>
              </w:tc>
              <w:tc>
                <w:tcPr>
                  <w:tcW w:w="713" w:type="pct"/>
                  <w:noWrap w:val="0"/>
                  <w:vAlign w:val="center"/>
                </w:tcPr>
                <w:p w14:paraId="40E569C4">
                  <w:pPr>
                    <w:jc w:val="center"/>
                    <w:rPr>
                      <w:color w:val="auto"/>
                      <w:szCs w:val="21"/>
                    </w:rPr>
                  </w:pPr>
                  <w:r>
                    <w:rPr>
                      <w:color w:val="auto"/>
                      <w:szCs w:val="21"/>
                    </w:rPr>
                    <w:t>Y</w:t>
                  </w:r>
                </w:p>
              </w:tc>
              <w:tc>
                <w:tcPr>
                  <w:tcW w:w="844" w:type="pct"/>
                  <w:vMerge w:val="continue"/>
                  <w:noWrap w:val="0"/>
                  <w:vAlign w:val="center"/>
                </w:tcPr>
                <w:p w14:paraId="733715A5">
                  <w:pPr>
                    <w:jc w:val="center"/>
                    <w:rPr>
                      <w:color w:val="auto"/>
                      <w:szCs w:val="21"/>
                    </w:rPr>
                  </w:pPr>
                </w:p>
              </w:tc>
            </w:tr>
            <w:tr w14:paraId="4B63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6" w:type="pct"/>
                  <w:vMerge w:val="restart"/>
                  <w:noWrap w:val="0"/>
                  <w:vAlign w:val="center"/>
                </w:tcPr>
                <w:p w14:paraId="780F5543">
                  <w:pPr>
                    <w:jc w:val="center"/>
                    <w:rPr>
                      <w:color w:val="auto"/>
                      <w:szCs w:val="21"/>
                    </w:rPr>
                  </w:pPr>
                  <w:r>
                    <w:rPr>
                      <w:color w:val="auto"/>
                      <w:szCs w:val="21"/>
                    </w:rPr>
                    <w:t>大气环境</w:t>
                  </w:r>
                </w:p>
              </w:tc>
              <w:tc>
                <w:tcPr>
                  <w:tcW w:w="678" w:type="pct"/>
                  <w:noWrap w:val="0"/>
                  <w:vAlign w:val="center"/>
                </w:tcPr>
                <w:p w14:paraId="7197783E">
                  <w:pPr>
                    <w:widowControl/>
                    <w:jc w:val="center"/>
                    <w:rPr>
                      <w:color w:val="auto"/>
                      <w:kern w:val="0"/>
                      <w:szCs w:val="21"/>
                    </w:rPr>
                  </w:pPr>
                  <w:r>
                    <w:rPr>
                      <w:color w:val="auto"/>
                      <w:szCs w:val="21"/>
                    </w:rPr>
                    <w:t>新孟新村</w:t>
                  </w:r>
                </w:p>
              </w:tc>
              <w:tc>
                <w:tcPr>
                  <w:tcW w:w="457" w:type="pct"/>
                  <w:noWrap w:val="0"/>
                  <w:vAlign w:val="center"/>
                </w:tcPr>
                <w:p w14:paraId="3C953974">
                  <w:pPr>
                    <w:widowControl/>
                    <w:jc w:val="center"/>
                    <w:rPr>
                      <w:color w:val="auto"/>
                      <w:kern w:val="0"/>
                      <w:szCs w:val="21"/>
                    </w:rPr>
                  </w:pPr>
                  <w:r>
                    <w:rPr>
                      <w:rFonts w:hint="eastAsia"/>
                      <w:color w:val="auto"/>
                      <w:kern w:val="0"/>
                      <w:szCs w:val="21"/>
                      <w:lang w:val="en-US" w:eastAsia="zh-CN"/>
                    </w:rPr>
                    <w:t>N</w:t>
                  </w:r>
                </w:p>
              </w:tc>
              <w:tc>
                <w:tcPr>
                  <w:tcW w:w="416" w:type="pct"/>
                  <w:noWrap w:val="0"/>
                  <w:vAlign w:val="center"/>
                </w:tcPr>
                <w:p w14:paraId="5C1D42BC">
                  <w:pPr>
                    <w:widowControl/>
                    <w:jc w:val="center"/>
                    <w:rPr>
                      <w:color w:val="auto"/>
                      <w:kern w:val="0"/>
                      <w:szCs w:val="21"/>
                    </w:rPr>
                  </w:pPr>
                  <w:r>
                    <w:rPr>
                      <w:rFonts w:hint="eastAsia"/>
                      <w:color w:val="auto"/>
                      <w:kern w:val="0"/>
                      <w:szCs w:val="21"/>
                      <w:lang w:val="en-US" w:eastAsia="zh-CN"/>
                    </w:rPr>
                    <w:t>75</w:t>
                  </w:r>
                </w:p>
              </w:tc>
              <w:tc>
                <w:tcPr>
                  <w:tcW w:w="877" w:type="pct"/>
                  <w:noWrap w:val="0"/>
                  <w:vAlign w:val="center"/>
                </w:tcPr>
                <w:p w14:paraId="64F83A72">
                  <w:pPr>
                    <w:jc w:val="center"/>
                    <w:rPr>
                      <w:color w:val="auto"/>
                      <w:szCs w:val="21"/>
                    </w:rPr>
                  </w:pPr>
                  <w:r>
                    <w:rPr>
                      <w:rFonts w:hint="eastAsia"/>
                      <w:color w:val="auto"/>
                      <w:szCs w:val="21"/>
                    </w:rPr>
                    <w:t>约</w:t>
                  </w:r>
                  <w:r>
                    <w:rPr>
                      <w:rFonts w:hint="eastAsia"/>
                      <w:color w:val="auto"/>
                      <w:szCs w:val="21"/>
                      <w:lang w:val="en-US" w:eastAsia="zh-CN"/>
                    </w:rPr>
                    <w:t>900</w:t>
                  </w:r>
                  <w:r>
                    <w:rPr>
                      <w:rFonts w:hint="eastAsia"/>
                      <w:color w:val="auto"/>
                      <w:szCs w:val="21"/>
                    </w:rPr>
                    <w:t>户，</w:t>
                  </w:r>
                  <w:r>
                    <w:rPr>
                      <w:rFonts w:hint="eastAsia"/>
                      <w:color w:val="auto"/>
                      <w:szCs w:val="21"/>
                      <w:lang w:val="en-US" w:eastAsia="zh-CN"/>
                    </w:rPr>
                    <w:t>280</w:t>
                  </w:r>
                  <w:r>
                    <w:rPr>
                      <w:rFonts w:hint="eastAsia"/>
                      <w:color w:val="auto"/>
                      <w:szCs w:val="21"/>
                    </w:rPr>
                    <w:t>0人</w:t>
                  </w:r>
                </w:p>
              </w:tc>
              <w:tc>
                <w:tcPr>
                  <w:tcW w:w="656" w:type="pct"/>
                  <w:noWrap w:val="0"/>
                  <w:vAlign w:val="center"/>
                </w:tcPr>
                <w:p w14:paraId="115FC7B9">
                  <w:pPr>
                    <w:jc w:val="center"/>
                    <w:rPr>
                      <w:color w:val="auto"/>
                      <w:szCs w:val="21"/>
                    </w:rPr>
                  </w:pPr>
                  <w:r>
                    <w:rPr>
                      <w:rFonts w:hint="eastAsia"/>
                      <w:color w:val="auto"/>
                      <w:szCs w:val="21"/>
                    </w:rPr>
                    <w:t>116.8</w:t>
                  </w:r>
                  <w:r>
                    <w:rPr>
                      <w:rFonts w:hint="eastAsia"/>
                      <w:color w:val="auto"/>
                      <w:szCs w:val="21"/>
                      <w:lang w:val="en-US" w:eastAsia="zh-CN"/>
                    </w:rPr>
                    <w:t>92696</w:t>
                  </w:r>
                </w:p>
              </w:tc>
              <w:tc>
                <w:tcPr>
                  <w:tcW w:w="713" w:type="pct"/>
                  <w:noWrap w:val="0"/>
                  <w:vAlign w:val="center"/>
                </w:tcPr>
                <w:p w14:paraId="27771B59">
                  <w:pPr>
                    <w:jc w:val="center"/>
                    <w:rPr>
                      <w:color w:val="auto"/>
                      <w:szCs w:val="21"/>
                    </w:rPr>
                  </w:pPr>
                  <w:r>
                    <w:rPr>
                      <w:rFonts w:hint="eastAsia"/>
                      <w:color w:val="auto"/>
                      <w:szCs w:val="21"/>
                    </w:rPr>
                    <w:t>32.</w:t>
                  </w:r>
                  <w:r>
                    <w:rPr>
                      <w:rFonts w:hint="eastAsia"/>
                      <w:color w:val="auto"/>
                      <w:szCs w:val="21"/>
                      <w:lang w:val="en-US" w:eastAsia="zh-CN"/>
                    </w:rPr>
                    <w:t>570579</w:t>
                  </w:r>
                </w:p>
              </w:tc>
              <w:tc>
                <w:tcPr>
                  <w:tcW w:w="844" w:type="pct"/>
                  <w:vMerge w:val="restart"/>
                  <w:noWrap w:val="0"/>
                  <w:vAlign w:val="center"/>
                </w:tcPr>
                <w:p w14:paraId="0DCA89C6">
                  <w:pPr>
                    <w:jc w:val="center"/>
                    <w:rPr>
                      <w:color w:val="auto"/>
                      <w:szCs w:val="21"/>
                    </w:rPr>
                  </w:pPr>
                  <w:r>
                    <w:rPr>
                      <w:color w:val="auto"/>
                      <w:szCs w:val="21"/>
                    </w:rPr>
                    <w:t>GB3095-2012二级</w:t>
                  </w:r>
                </w:p>
              </w:tc>
            </w:tr>
            <w:tr w14:paraId="7B64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56" w:type="pct"/>
                  <w:vMerge w:val="continue"/>
                  <w:noWrap w:val="0"/>
                  <w:vAlign w:val="center"/>
                </w:tcPr>
                <w:p w14:paraId="39702256">
                  <w:pPr>
                    <w:rPr>
                      <w:color w:val="auto"/>
                      <w:szCs w:val="21"/>
                    </w:rPr>
                  </w:pPr>
                </w:p>
              </w:tc>
              <w:tc>
                <w:tcPr>
                  <w:tcW w:w="678" w:type="pct"/>
                  <w:noWrap w:val="0"/>
                  <w:vAlign w:val="center"/>
                </w:tcPr>
                <w:p w14:paraId="26BEFD78">
                  <w:pPr>
                    <w:widowControl/>
                    <w:jc w:val="center"/>
                    <w:rPr>
                      <w:color w:val="auto"/>
                      <w:kern w:val="0"/>
                      <w:szCs w:val="21"/>
                    </w:rPr>
                  </w:pPr>
                  <w:r>
                    <w:rPr>
                      <w:rFonts w:hint="eastAsia"/>
                      <w:color w:val="auto"/>
                      <w:kern w:val="0"/>
                      <w:szCs w:val="21"/>
                      <w:lang w:val="en-US" w:eastAsia="zh-CN"/>
                    </w:rPr>
                    <w:t>高郢孜</w:t>
                  </w:r>
                </w:p>
              </w:tc>
              <w:tc>
                <w:tcPr>
                  <w:tcW w:w="457" w:type="pct"/>
                  <w:noWrap w:val="0"/>
                  <w:vAlign w:val="center"/>
                </w:tcPr>
                <w:p w14:paraId="636A7615">
                  <w:pPr>
                    <w:widowControl/>
                    <w:jc w:val="center"/>
                    <w:rPr>
                      <w:color w:val="auto"/>
                      <w:kern w:val="0"/>
                      <w:szCs w:val="21"/>
                    </w:rPr>
                  </w:pPr>
                  <w:r>
                    <w:rPr>
                      <w:rFonts w:hint="eastAsia"/>
                      <w:color w:val="auto"/>
                      <w:kern w:val="0"/>
                      <w:szCs w:val="21"/>
                      <w:lang w:val="en-US" w:eastAsia="zh-CN"/>
                    </w:rPr>
                    <w:t>N</w:t>
                  </w:r>
                  <w:r>
                    <w:rPr>
                      <w:rFonts w:hint="eastAsia"/>
                      <w:color w:val="auto"/>
                      <w:kern w:val="0"/>
                      <w:szCs w:val="21"/>
                    </w:rPr>
                    <w:t>E</w:t>
                  </w:r>
                </w:p>
              </w:tc>
              <w:tc>
                <w:tcPr>
                  <w:tcW w:w="416" w:type="pct"/>
                  <w:noWrap w:val="0"/>
                  <w:vAlign w:val="center"/>
                </w:tcPr>
                <w:p w14:paraId="34EC5781">
                  <w:pPr>
                    <w:widowControl/>
                    <w:jc w:val="center"/>
                    <w:rPr>
                      <w:rFonts w:hint="default" w:eastAsia="宋体"/>
                      <w:color w:val="auto"/>
                      <w:kern w:val="0"/>
                      <w:szCs w:val="21"/>
                      <w:lang w:val="en-US" w:eastAsia="zh-CN"/>
                    </w:rPr>
                  </w:pPr>
                  <w:r>
                    <w:rPr>
                      <w:rFonts w:hint="eastAsia"/>
                      <w:color w:val="auto"/>
                      <w:kern w:val="0"/>
                      <w:szCs w:val="21"/>
                      <w:lang w:val="en-US" w:eastAsia="zh-CN"/>
                    </w:rPr>
                    <w:t>75</w:t>
                  </w:r>
                </w:p>
              </w:tc>
              <w:tc>
                <w:tcPr>
                  <w:tcW w:w="877" w:type="pct"/>
                  <w:noWrap w:val="0"/>
                  <w:vAlign w:val="center"/>
                </w:tcPr>
                <w:p w14:paraId="3BE28A4A">
                  <w:pPr>
                    <w:jc w:val="center"/>
                    <w:rPr>
                      <w:color w:val="auto"/>
                      <w:szCs w:val="21"/>
                    </w:rPr>
                  </w:pPr>
                  <w:r>
                    <w:rPr>
                      <w:rFonts w:hint="eastAsia"/>
                      <w:color w:val="auto"/>
                      <w:szCs w:val="21"/>
                    </w:rPr>
                    <w:t>约300户,1000人</w:t>
                  </w:r>
                </w:p>
              </w:tc>
              <w:tc>
                <w:tcPr>
                  <w:tcW w:w="656" w:type="pct"/>
                  <w:noWrap w:val="0"/>
                  <w:vAlign w:val="center"/>
                </w:tcPr>
                <w:p w14:paraId="7BF53260">
                  <w:pPr>
                    <w:jc w:val="center"/>
                    <w:rPr>
                      <w:rFonts w:hint="default" w:eastAsia="宋体"/>
                      <w:color w:val="auto"/>
                      <w:szCs w:val="21"/>
                      <w:lang w:val="en-US" w:eastAsia="zh-CN"/>
                    </w:rPr>
                  </w:pPr>
                  <w:r>
                    <w:rPr>
                      <w:rFonts w:hint="eastAsia"/>
                      <w:color w:val="auto"/>
                      <w:szCs w:val="21"/>
                    </w:rPr>
                    <w:t>116.89</w:t>
                  </w:r>
                  <w:r>
                    <w:rPr>
                      <w:rFonts w:hint="eastAsia"/>
                      <w:color w:val="auto"/>
                      <w:szCs w:val="21"/>
                      <w:lang w:val="en-US" w:eastAsia="zh-CN"/>
                    </w:rPr>
                    <w:t>5228</w:t>
                  </w:r>
                </w:p>
              </w:tc>
              <w:tc>
                <w:tcPr>
                  <w:tcW w:w="713" w:type="pct"/>
                  <w:noWrap w:val="0"/>
                  <w:vAlign w:val="center"/>
                </w:tcPr>
                <w:p w14:paraId="1D1F7D37">
                  <w:pPr>
                    <w:jc w:val="center"/>
                    <w:rPr>
                      <w:rFonts w:hint="default" w:eastAsia="宋体"/>
                      <w:color w:val="auto"/>
                      <w:szCs w:val="21"/>
                      <w:lang w:val="en-US" w:eastAsia="zh-CN"/>
                    </w:rPr>
                  </w:pPr>
                  <w:r>
                    <w:rPr>
                      <w:rFonts w:hint="eastAsia"/>
                      <w:color w:val="auto"/>
                      <w:szCs w:val="21"/>
                    </w:rPr>
                    <w:t>32.</w:t>
                  </w:r>
                  <w:r>
                    <w:rPr>
                      <w:rFonts w:hint="eastAsia"/>
                      <w:color w:val="auto"/>
                      <w:szCs w:val="21"/>
                      <w:lang w:val="en-US" w:eastAsia="zh-CN"/>
                    </w:rPr>
                    <w:t>570021</w:t>
                  </w:r>
                </w:p>
              </w:tc>
              <w:tc>
                <w:tcPr>
                  <w:tcW w:w="844" w:type="pct"/>
                  <w:vMerge w:val="continue"/>
                  <w:noWrap w:val="0"/>
                  <w:vAlign w:val="center"/>
                </w:tcPr>
                <w:p w14:paraId="1CC280A8">
                  <w:pPr>
                    <w:jc w:val="center"/>
                    <w:rPr>
                      <w:color w:val="auto"/>
                      <w:szCs w:val="21"/>
                    </w:rPr>
                  </w:pPr>
                </w:p>
              </w:tc>
            </w:tr>
            <w:tr w14:paraId="34CA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356" w:type="pct"/>
                  <w:vMerge w:val="continue"/>
                  <w:noWrap w:val="0"/>
                  <w:vAlign w:val="center"/>
                </w:tcPr>
                <w:p w14:paraId="687D4232">
                  <w:pPr>
                    <w:rPr>
                      <w:color w:val="auto"/>
                      <w:szCs w:val="21"/>
                    </w:rPr>
                  </w:pPr>
                </w:p>
              </w:tc>
              <w:tc>
                <w:tcPr>
                  <w:tcW w:w="678" w:type="pct"/>
                  <w:noWrap w:val="0"/>
                  <w:vAlign w:val="center"/>
                </w:tcPr>
                <w:p w14:paraId="1574EC76">
                  <w:pPr>
                    <w:widowControl/>
                    <w:jc w:val="center"/>
                    <w:rPr>
                      <w:rFonts w:hint="default"/>
                      <w:color w:val="auto"/>
                      <w:kern w:val="0"/>
                      <w:szCs w:val="21"/>
                      <w:lang w:val="en-US"/>
                    </w:rPr>
                  </w:pPr>
                  <w:r>
                    <w:rPr>
                      <w:rFonts w:hint="eastAsia"/>
                      <w:color w:val="auto"/>
                      <w:kern w:val="0"/>
                      <w:szCs w:val="21"/>
                      <w:lang w:val="en-US" w:eastAsia="zh-CN"/>
                    </w:rPr>
                    <w:t>小东郢孜</w:t>
                  </w:r>
                </w:p>
              </w:tc>
              <w:tc>
                <w:tcPr>
                  <w:tcW w:w="457" w:type="pct"/>
                  <w:noWrap w:val="0"/>
                  <w:vAlign w:val="center"/>
                </w:tcPr>
                <w:p w14:paraId="3E0D3DB4">
                  <w:pPr>
                    <w:widowControl/>
                    <w:jc w:val="center"/>
                    <w:rPr>
                      <w:color w:val="auto"/>
                      <w:kern w:val="0"/>
                      <w:szCs w:val="21"/>
                    </w:rPr>
                  </w:pPr>
                  <w:r>
                    <w:rPr>
                      <w:rFonts w:hint="eastAsia"/>
                      <w:color w:val="auto"/>
                      <w:kern w:val="0"/>
                      <w:szCs w:val="21"/>
                    </w:rPr>
                    <w:t>E</w:t>
                  </w:r>
                </w:p>
              </w:tc>
              <w:tc>
                <w:tcPr>
                  <w:tcW w:w="416" w:type="pct"/>
                  <w:noWrap w:val="0"/>
                  <w:vAlign w:val="center"/>
                </w:tcPr>
                <w:p w14:paraId="20A7B8C8">
                  <w:pPr>
                    <w:widowControl/>
                    <w:jc w:val="center"/>
                    <w:rPr>
                      <w:color w:val="auto"/>
                      <w:kern w:val="0"/>
                      <w:szCs w:val="21"/>
                    </w:rPr>
                  </w:pPr>
                  <w:r>
                    <w:rPr>
                      <w:rFonts w:hint="eastAsia"/>
                      <w:color w:val="auto"/>
                      <w:kern w:val="0"/>
                      <w:szCs w:val="21"/>
                      <w:lang w:val="en-US" w:eastAsia="zh-CN"/>
                    </w:rPr>
                    <w:t>42</w:t>
                  </w:r>
                  <w:r>
                    <w:rPr>
                      <w:rFonts w:hint="eastAsia"/>
                      <w:color w:val="auto"/>
                      <w:kern w:val="0"/>
                      <w:szCs w:val="21"/>
                    </w:rPr>
                    <w:t>3</w:t>
                  </w:r>
                </w:p>
              </w:tc>
              <w:tc>
                <w:tcPr>
                  <w:tcW w:w="877" w:type="pct"/>
                  <w:noWrap w:val="0"/>
                  <w:vAlign w:val="center"/>
                </w:tcPr>
                <w:p w14:paraId="2F091AF2">
                  <w:pPr>
                    <w:jc w:val="center"/>
                    <w:rPr>
                      <w:rFonts w:hint="eastAsia"/>
                      <w:color w:val="auto"/>
                      <w:szCs w:val="21"/>
                    </w:rPr>
                  </w:pPr>
                  <w:r>
                    <w:rPr>
                      <w:rFonts w:hint="eastAsia"/>
                      <w:color w:val="auto"/>
                      <w:szCs w:val="21"/>
                    </w:rPr>
                    <w:t>约30户,100人</w:t>
                  </w:r>
                </w:p>
              </w:tc>
              <w:tc>
                <w:tcPr>
                  <w:tcW w:w="656" w:type="pct"/>
                  <w:noWrap w:val="0"/>
                  <w:vAlign w:val="center"/>
                </w:tcPr>
                <w:p w14:paraId="2AE23B5E">
                  <w:pPr>
                    <w:jc w:val="center"/>
                    <w:rPr>
                      <w:rFonts w:hint="default" w:eastAsia="宋体"/>
                      <w:color w:val="auto"/>
                      <w:szCs w:val="21"/>
                      <w:lang w:val="en-US" w:eastAsia="zh-CN"/>
                    </w:rPr>
                  </w:pPr>
                  <w:r>
                    <w:rPr>
                      <w:rFonts w:hint="eastAsia"/>
                      <w:color w:val="auto"/>
                      <w:szCs w:val="21"/>
                    </w:rPr>
                    <w:t>116.8</w:t>
                  </w:r>
                  <w:r>
                    <w:rPr>
                      <w:rFonts w:hint="eastAsia"/>
                      <w:color w:val="auto"/>
                      <w:szCs w:val="21"/>
                      <w:lang w:val="en-US" w:eastAsia="zh-CN"/>
                    </w:rPr>
                    <w:t>97438</w:t>
                  </w:r>
                </w:p>
              </w:tc>
              <w:tc>
                <w:tcPr>
                  <w:tcW w:w="713" w:type="pct"/>
                  <w:noWrap w:val="0"/>
                  <w:vAlign w:val="center"/>
                </w:tcPr>
                <w:p w14:paraId="629CB00B">
                  <w:pPr>
                    <w:jc w:val="center"/>
                    <w:rPr>
                      <w:rFonts w:hint="default" w:eastAsia="宋体"/>
                      <w:color w:val="auto"/>
                      <w:szCs w:val="21"/>
                      <w:lang w:val="en-US" w:eastAsia="zh-CN"/>
                    </w:rPr>
                  </w:pPr>
                  <w:r>
                    <w:rPr>
                      <w:rFonts w:hint="eastAsia"/>
                      <w:color w:val="auto"/>
                      <w:szCs w:val="21"/>
                    </w:rPr>
                    <w:t>32.</w:t>
                  </w:r>
                  <w:r>
                    <w:rPr>
                      <w:rFonts w:hint="eastAsia"/>
                      <w:color w:val="auto"/>
                      <w:szCs w:val="21"/>
                      <w:lang w:val="en-US" w:eastAsia="zh-CN"/>
                    </w:rPr>
                    <w:t>567676</w:t>
                  </w:r>
                </w:p>
              </w:tc>
              <w:tc>
                <w:tcPr>
                  <w:tcW w:w="844" w:type="pct"/>
                  <w:vMerge w:val="continue"/>
                  <w:noWrap w:val="0"/>
                  <w:vAlign w:val="center"/>
                </w:tcPr>
                <w:p w14:paraId="657A6384">
                  <w:pPr>
                    <w:jc w:val="center"/>
                    <w:rPr>
                      <w:color w:val="auto"/>
                      <w:szCs w:val="21"/>
                    </w:rPr>
                  </w:pPr>
                </w:p>
              </w:tc>
            </w:tr>
            <w:tr w14:paraId="0C2F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356" w:type="pct"/>
                  <w:vMerge w:val="continue"/>
                  <w:noWrap w:val="0"/>
                  <w:vAlign w:val="center"/>
                </w:tcPr>
                <w:p w14:paraId="239627F1">
                  <w:pPr>
                    <w:rPr>
                      <w:color w:val="auto"/>
                      <w:szCs w:val="21"/>
                    </w:rPr>
                  </w:pPr>
                </w:p>
              </w:tc>
              <w:tc>
                <w:tcPr>
                  <w:tcW w:w="678" w:type="pct"/>
                  <w:noWrap w:val="0"/>
                  <w:vAlign w:val="center"/>
                </w:tcPr>
                <w:p w14:paraId="632E532A">
                  <w:pPr>
                    <w:widowControl/>
                    <w:jc w:val="center"/>
                    <w:rPr>
                      <w:rFonts w:hint="default" w:eastAsia="宋体"/>
                      <w:color w:val="auto"/>
                      <w:kern w:val="0"/>
                      <w:szCs w:val="21"/>
                      <w:lang w:val="en-US" w:eastAsia="zh-CN"/>
                    </w:rPr>
                  </w:pPr>
                  <w:r>
                    <w:rPr>
                      <w:rFonts w:hint="eastAsia"/>
                      <w:color w:val="auto"/>
                      <w:kern w:val="0"/>
                      <w:szCs w:val="21"/>
                      <w:lang w:val="en-US" w:eastAsia="zh-CN"/>
                    </w:rPr>
                    <w:t>李郢孜</w:t>
                  </w:r>
                </w:p>
              </w:tc>
              <w:tc>
                <w:tcPr>
                  <w:tcW w:w="457" w:type="pct"/>
                  <w:noWrap w:val="0"/>
                  <w:vAlign w:val="center"/>
                </w:tcPr>
                <w:p w14:paraId="73CCB3C1">
                  <w:pPr>
                    <w:widowControl/>
                    <w:jc w:val="center"/>
                    <w:rPr>
                      <w:rFonts w:hint="default" w:eastAsia="宋体"/>
                      <w:color w:val="auto"/>
                      <w:kern w:val="0"/>
                      <w:szCs w:val="21"/>
                      <w:lang w:val="en-US" w:eastAsia="zh-CN"/>
                    </w:rPr>
                  </w:pPr>
                  <w:r>
                    <w:rPr>
                      <w:rFonts w:hint="eastAsia"/>
                      <w:color w:val="auto"/>
                      <w:kern w:val="0"/>
                      <w:szCs w:val="21"/>
                      <w:lang w:val="en-US" w:eastAsia="zh-CN"/>
                    </w:rPr>
                    <w:t>SE</w:t>
                  </w:r>
                </w:p>
              </w:tc>
              <w:tc>
                <w:tcPr>
                  <w:tcW w:w="416" w:type="pct"/>
                  <w:noWrap w:val="0"/>
                  <w:vAlign w:val="center"/>
                </w:tcPr>
                <w:p w14:paraId="48760AF9">
                  <w:pPr>
                    <w:widowControl/>
                    <w:jc w:val="center"/>
                    <w:rPr>
                      <w:rFonts w:hint="default"/>
                      <w:color w:val="auto"/>
                      <w:kern w:val="0"/>
                      <w:szCs w:val="21"/>
                      <w:lang w:val="en-US" w:eastAsia="zh-CN"/>
                    </w:rPr>
                  </w:pPr>
                  <w:r>
                    <w:rPr>
                      <w:rFonts w:hint="eastAsia"/>
                      <w:color w:val="auto"/>
                      <w:kern w:val="0"/>
                      <w:szCs w:val="21"/>
                      <w:lang w:val="en-US" w:eastAsia="zh-CN"/>
                    </w:rPr>
                    <w:t>377</w:t>
                  </w:r>
                </w:p>
              </w:tc>
              <w:tc>
                <w:tcPr>
                  <w:tcW w:w="877" w:type="pct"/>
                  <w:noWrap w:val="0"/>
                  <w:vAlign w:val="center"/>
                </w:tcPr>
                <w:p w14:paraId="177C2516">
                  <w:pPr>
                    <w:jc w:val="center"/>
                    <w:rPr>
                      <w:rFonts w:hint="eastAsia"/>
                      <w:color w:val="auto"/>
                      <w:szCs w:val="21"/>
                    </w:rPr>
                  </w:pPr>
                  <w:r>
                    <w:rPr>
                      <w:rFonts w:hint="eastAsia"/>
                      <w:color w:val="auto"/>
                      <w:szCs w:val="21"/>
                    </w:rPr>
                    <w:t>约30户,100人</w:t>
                  </w:r>
                </w:p>
              </w:tc>
              <w:tc>
                <w:tcPr>
                  <w:tcW w:w="656" w:type="pct"/>
                  <w:noWrap w:val="0"/>
                  <w:vAlign w:val="center"/>
                </w:tcPr>
                <w:p w14:paraId="6BF5E844">
                  <w:pPr>
                    <w:jc w:val="center"/>
                    <w:rPr>
                      <w:rFonts w:hint="default" w:eastAsia="宋体"/>
                      <w:color w:val="auto"/>
                      <w:szCs w:val="21"/>
                      <w:lang w:val="en-US" w:eastAsia="zh-CN"/>
                    </w:rPr>
                  </w:pPr>
                  <w:r>
                    <w:rPr>
                      <w:rFonts w:hint="eastAsia"/>
                      <w:color w:val="auto"/>
                      <w:szCs w:val="21"/>
                      <w:lang w:val="en-US" w:eastAsia="zh-CN"/>
                    </w:rPr>
                    <w:t>116.894842</w:t>
                  </w:r>
                </w:p>
              </w:tc>
              <w:tc>
                <w:tcPr>
                  <w:tcW w:w="713" w:type="pct"/>
                  <w:noWrap w:val="0"/>
                  <w:vAlign w:val="center"/>
                </w:tcPr>
                <w:p w14:paraId="3AFCD7B4">
                  <w:pPr>
                    <w:jc w:val="center"/>
                    <w:rPr>
                      <w:rFonts w:hint="default" w:eastAsia="宋体"/>
                      <w:color w:val="auto"/>
                      <w:szCs w:val="21"/>
                      <w:lang w:val="en-US" w:eastAsia="zh-CN"/>
                    </w:rPr>
                  </w:pPr>
                  <w:r>
                    <w:rPr>
                      <w:rFonts w:hint="eastAsia"/>
                      <w:color w:val="auto"/>
                      <w:szCs w:val="21"/>
                      <w:lang w:val="en-US" w:eastAsia="zh-CN"/>
                    </w:rPr>
                    <w:t>32.564608</w:t>
                  </w:r>
                </w:p>
              </w:tc>
              <w:tc>
                <w:tcPr>
                  <w:tcW w:w="844" w:type="pct"/>
                  <w:vMerge w:val="continue"/>
                  <w:noWrap w:val="0"/>
                  <w:vAlign w:val="center"/>
                </w:tcPr>
                <w:p w14:paraId="621A62CF">
                  <w:pPr>
                    <w:jc w:val="center"/>
                    <w:rPr>
                      <w:color w:val="auto"/>
                      <w:szCs w:val="21"/>
                    </w:rPr>
                  </w:pPr>
                </w:p>
              </w:tc>
            </w:tr>
            <w:tr w14:paraId="59F4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356" w:type="pct"/>
                  <w:vMerge w:val="continue"/>
                  <w:noWrap w:val="0"/>
                  <w:vAlign w:val="center"/>
                </w:tcPr>
                <w:p w14:paraId="7BAF31B6">
                  <w:pPr>
                    <w:rPr>
                      <w:color w:val="auto"/>
                      <w:szCs w:val="21"/>
                    </w:rPr>
                  </w:pPr>
                </w:p>
              </w:tc>
              <w:tc>
                <w:tcPr>
                  <w:tcW w:w="678" w:type="pct"/>
                  <w:noWrap w:val="0"/>
                  <w:vAlign w:val="center"/>
                </w:tcPr>
                <w:p w14:paraId="4BA9B19F">
                  <w:pPr>
                    <w:widowControl/>
                    <w:jc w:val="center"/>
                    <w:rPr>
                      <w:rFonts w:hint="default"/>
                      <w:color w:val="auto"/>
                      <w:kern w:val="0"/>
                      <w:szCs w:val="21"/>
                      <w:lang w:val="en-US" w:eastAsia="zh-CN"/>
                    </w:rPr>
                  </w:pPr>
                  <w:r>
                    <w:rPr>
                      <w:rFonts w:hint="eastAsia"/>
                      <w:color w:val="auto"/>
                      <w:kern w:val="0"/>
                      <w:szCs w:val="21"/>
                      <w:lang w:val="en-US" w:eastAsia="zh-CN"/>
                    </w:rPr>
                    <w:t>柏井洼</w:t>
                  </w:r>
                </w:p>
              </w:tc>
              <w:tc>
                <w:tcPr>
                  <w:tcW w:w="457" w:type="pct"/>
                  <w:noWrap w:val="0"/>
                  <w:vAlign w:val="center"/>
                </w:tcPr>
                <w:p w14:paraId="3AE534B6">
                  <w:pPr>
                    <w:widowControl/>
                    <w:jc w:val="center"/>
                    <w:rPr>
                      <w:rFonts w:hint="default"/>
                      <w:color w:val="auto"/>
                      <w:kern w:val="0"/>
                      <w:szCs w:val="21"/>
                      <w:lang w:val="en-US" w:eastAsia="zh-CN"/>
                    </w:rPr>
                  </w:pPr>
                  <w:r>
                    <w:rPr>
                      <w:rFonts w:hint="eastAsia"/>
                      <w:color w:val="auto"/>
                      <w:kern w:val="0"/>
                      <w:szCs w:val="21"/>
                      <w:lang w:val="en-US" w:eastAsia="zh-CN"/>
                    </w:rPr>
                    <w:t>W</w:t>
                  </w:r>
                </w:p>
              </w:tc>
              <w:tc>
                <w:tcPr>
                  <w:tcW w:w="416" w:type="pct"/>
                  <w:noWrap w:val="0"/>
                  <w:vAlign w:val="center"/>
                </w:tcPr>
                <w:p w14:paraId="53B968C6">
                  <w:pPr>
                    <w:widowControl/>
                    <w:jc w:val="center"/>
                    <w:rPr>
                      <w:rFonts w:hint="default"/>
                      <w:color w:val="auto"/>
                      <w:kern w:val="0"/>
                      <w:szCs w:val="21"/>
                      <w:lang w:val="en-US" w:eastAsia="zh-CN"/>
                    </w:rPr>
                  </w:pPr>
                  <w:r>
                    <w:rPr>
                      <w:rFonts w:hint="eastAsia"/>
                      <w:color w:val="auto"/>
                      <w:kern w:val="0"/>
                      <w:szCs w:val="21"/>
                      <w:lang w:val="en-US" w:eastAsia="zh-CN"/>
                    </w:rPr>
                    <w:t>25</w:t>
                  </w:r>
                </w:p>
              </w:tc>
              <w:tc>
                <w:tcPr>
                  <w:tcW w:w="877" w:type="pct"/>
                  <w:noWrap w:val="0"/>
                  <w:vAlign w:val="center"/>
                </w:tcPr>
                <w:p w14:paraId="215B1434">
                  <w:pPr>
                    <w:jc w:val="center"/>
                    <w:rPr>
                      <w:rFonts w:hint="eastAsia"/>
                      <w:color w:val="auto"/>
                      <w:szCs w:val="21"/>
                    </w:rPr>
                  </w:pPr>
                  <w:r>
                    <w:rPr>
                      <w:rFonts w:hint="eastAsia"/>
                      <w:color w:val="auto"/>
                      <w:szCs w:val="21"/>
                    </w:rPr>
                    <w:t>约</w:t>
                  </w:r>
                  <w:r>
                    <w:rPr>
                      <w:rFonts w:hint="eastAsia"/>
                      <w:color w:val="auto"/>
                      <w:szCs w:val="21"/>
                      <w:lang w:val="en-US" w:eastAsia="zh-CN"/>
                    </w:rPr>
                    <w:t>1</w:t>
                  </w:r>
                  <w:r>
                    <w:rPr>
                      <w:rFonts w:hint="eastAsia"/>
                      <w:color w:val="auto"/>
                      <w:szCs w:val="21"/>
                    </w:rPr>
                    <w:t>0户,</w:t>
                  </w:r>
                  <w:r>
                    <w:rPr>
                      <w:rFonts w:hint="eastAsia"/>
                      <w:color w:val="auto"/>
                      <w:szCs w:val="21"/>
                      <w:lang w:val="en-US" w:eastAsia="zh-CN"/>
                    </w:rPr>
                    <w:t>3</w:t>
                  </w:r>
                  <w:r>
                    <w:rPr>
                      <w:rFonts w:hint="eastAsia"/>
                      <w:color w:val="auto"/>
                      <w:szCs w:val="21"/>
                    </w:rPr>
                    <w:t>0人</w:t>
                  </w:r>
                </w:p>
              </w:tc>
              <w:tc>
                <w:tcPr>
                  <w:tcW w:w="656" w:type="pct"/>
                  <w:noWrap w:val="0"/>
                  <w:vAlign w:val="center"/>
                </w:tcPr>
                <w:p w14:paraId="4C157724">
                  <w:pPr>
                    <w:jc w:val="center"/>
                    <w:rPr>
                      <w:rFonts w:hint="default"/>
                      <w:color w:val="auto"/>
                      <w:szCs w:val="21"/>
                      <w:lang w:val="en-US" w:eastAsia="zh-CN"/>
                    </w:rPr>
                  </w:pPr>
                  <w:r>
                    <w:rPr>
                      <w:rFonts w:hint="eastAsia"/>
                      <w:color w:val="auto"/>
                      <w:szCs w:val="21"/>
                      <w:lang w:val="en-US" w:eastAsia="zh-CN"/>
                    </w:rPr>
                    <w:t>116.888965</w:t>
                  </w:r>
                </w:p>
              </w:tc>
              <w:tc>
                <w:tcPr>
                  <w:tcW w:w="713" w:type="pct"/>
                  <w:noWrap w:val="0"/>
                  <w:vAlign w:val="center"/>
                </w:tcPr>
                <w:p w14:paraId="2873BBC0">
                  <w:pPr>
                    <w:jc w:val="center"/>
                    <w:rPr>
                      <w:rFonts w:hint="default"/>
                      <w:color w:val="auto"/>
                      <w:szCs w:val="21"/>
                      <w:lang w:val="en-US" w:eastAsia="zh-CN"/>
                    </w:rPr>
                  </w:pPr>
                  <w:r>
                    <w:rPr>
                      <w:rFonts w:hint="eastAsia"/>
                      <w:color w:val="auto"/>
                      <w:szCs w:val="21"/>
                      <w:lang w:val="en-US" w:eastAsia="zh-CN"/>
                    </w:rPr>
                    <w:t>32.568709</w:t>
                  </w:r>
                </w:p>
              </w:tc>
              <w:tc>
                <w:tcPr>
                  <w:tcW w:w="844" w:type="pct"/>
                  <w:vMerge w:val="continue"/>
                  <w:noWrap w:val="0"/>
                  <w:vAlign w:val="center"/>
                </w:tcPr>
                <w:p w14:paraId="1372213C">
                  <w:pPr>
                    <w:jc w:val="center"/>
                    <w:rPr>
                      <w:color w:val="auto"/>
                      <w:szCs w:val="21"/>
                    </w:rPr>
                  </w:pPr>
                </w:p>
              </w:tc>
            </w:tr>
          </w:tbl>
          <w:p w14:paraId="4C0E1CA6">
            <w:pPr>
              <w:pStyle w:val="84"/>
              <w:ind w:firstLine="422"/>
              <w:rPr>
                <w:b/>
                <w:bCs w:val="0"/>
                <w:color w:val="auto"/>
                <w:lang w:val="en-US" w:eastAsia="zh-CN"/>
              </w:rPr>
            </w:pPr>
            <w:r>
              <w:rPr>
                <w:b/>
                <w:bCs w:val="0"/>
                <w:color w:val="auto"/>
                <w:lang w:val="en-US" w:eastAsia="zh-CN"/>
              </w:rPr>
              <w:t>2</w:t>
            </w:r>
            <w:r>
              <w:rPr>
                <w:rFonts w:hint="eastAsia"/>
                <w:b/>
                <w:bCs w:val="0"/>
                <w:color w:val="auto"/>
                <w:lang w:val="en-US" w:eastAsia="zh-CN"/>
              </w:rPr>
              <w:t>、声环境保护目标</w:t>
            </w:r>
          </w:p>
          <w:p w14:paraId="7C24336F">
            <w:pPr>
              <w:pStyle w:val="84"/>
              <w:rPr>
                <w:color w:val="auto"/>
                <w:lang w:val="en-US" w:eastAsia="zh-CN"/>
              </w:rPr>
            </w:pPr>
            <w:r>
              <w:rPr>
                <w:rFonts w:hint="eastAsia"/>
                <w:color w:val="auto"/>
                <w:lang w:val="en-US" w:eastAsia="zh-CN"/>
              </w:rPr>
              <w:t>厂界5</w:t>
            </w:r>
            <w:r>
              <w:rPr>
                <w:color w:val="auto"/>
                <w:lang w:val="en-US" w:eastAsia="zh-CN"/>
              </w:rPr>
              <w:t>0m</w:t>
            </w:r>
            <w:r>
              <w:rPr>
                <w:rFonts w:hint="eastAsia"/>
                <w:color w:val="auto"/>
                <w:lang w:val="en-US" w:eastAsia="zh-CN"/>
              </w:rPr>
              <w:t>范围内无声环境保护目标。</w:t>
            </w:r>
          </w:p>
          <w:p w14:paraId="22A37683">
            <w:pPr>
              <w:pStyle w:val="84"/>
              <w:ind w:firstLine="422"/>
              <w:rPr>
                <w:b/>
                <w:bCs w:val="0"/>
                <w:color w:val="auto"/>
                <w:lang w:val="en-US" w:eastAsia="zh-CN"/>
              </w:rPr>
            </w:pPr>
            <w:r>
              <w:rPr>
                <w:b/>
                <w:bCs w:val="0"/>
                <w:color w:val="auto"/>
                <w:lang w:val="en-US" w:eastAsia="zh-CN"/>
              </w:rPr>
              <w:t>3</w:t>
            </w:r>
            <w:r>
              <w:rPr>
                <w:rFonts w:hint="eastAsia"/>
                <w:b/>
                <w:bCs w:val="0"/>
                <w:color w:val="auto"/>
                <w:lang w:val="en-US" w:eastAsia="zh-CN"/>
              </w:rPr>
              <w:t>、生态环境保护目标</w:t>
            </w:r>
          </w:p>
          <w:p w14:paraId="607D7A90">
            <w:pPr>
              <w:pStyle w:val="84"/>
              <w:rPr>
                <w:color w:val="auto"/>
                <w:lang w:val="en-US" w:eastAsia="zh-CN"/>
              </w:rPr>
            </w:pPr>
            <w:r>
              <w:rPr>
                <w:rFonts w:hint="eastAsia"/>
                <w:color w:val="auto"/>
                <w:lang w:val="en-US" w:eastAsia="zh-CN"/>
              </w:rPr>
              <w:t>本工程不涉及特殊生态敏感区和重要生态敏感区。</w:t>
            </w:r>
          </w:p>
          <w:p w14:paraId="571ED504">
            <w:pPr>
              <w:pStyle w:val="84"/>
              <w:ind w:firstLine="422"/>
              <w:rPr>
                <w:rFonts w:hint="eastAsia"/>
                <w:b/>
                <w:bCs w:val="0"/>
                <w:color w:val="auto"/>
                <w:lang w:val="en-US" w:eastAsia="zh-CN"/>
              </w:rPr>
            </w:pPr>
            <w:r>
              <w:rPr>
                <w:b/>
                <w:bCs w:val="0"/>
                <w:color w:val="auto"/>
                <w:lang w:val="en-US" w:eastAsia="zh-CN"/>
              </w:rPr>
              <w:t>4</w:t>
            </w:r>
            <w:r>
              <w:rPr>
                <w:rFonts w:hint="eastAsia"/>
                <w:b/>
                <w:bCs w:val="0"/>
                <w:color w:val="auto"/>
                <w:lang w:val="en-US" w:eastAsia="zh-CN"/>
              </w:rPr>
              <w:t>、地下水环境保护目标</w:t>
            </w:r>
          </w:p>
          <w:p w14:paraId="31579396">
            <w:pPr>
              <w:pStyle w:val="84"/>
              <w:rPr>
                <w:rFonts w:hint="eastAsia"/>
                <w:color w:val="auto"/>
                <w:lang w:val="en-US" w:eastAsia="zh-CN"/>
              </w:rPr>
            </w:pPr>
            <w:r>
              <w:rPr>
                <w:rFonts w:hint="eastAsia"/>
                <w:color w:val="auto"/>
                <w:lang w:val="en-US" w:eastAsia="zh-CN"/>
              </w:rPr>
              <w:t>现有厂界外500米范围内无地下水集中式饮用水水源和热水、矿泉水、温泉等特殊地下水资源。</w:t>
            </w:r>
          </w:p>
        </w:tc>
      </w:tr>
      <w:tr w14:paraId="3D016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094" w:hRule="atLeast"/>
          <w:jc w:val="center"/>
        </w:trPr>
        <w:tc>
          <w:tcPr>
            <w:tcW w:w="798" w:type="dxa"/>
            <w:noWrap w:val="0"/>
            <w:tcMar>
              <w:left w:w="28" w:type="dxa"/>
              <w:right w:w="28" w:type="dxa"/>
            </w:tcMar>
            <w:vAlign w:val="center"/>
          </w:tcPr>
          <w:p w14:paraId="0E69730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5B7E619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2FAA896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753BBAF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37D84C19">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263" w:type="dxa"/>
            <w:noWrap w:val="0"/>
            <w:vAlign w:val="center"/>
          </w:tcPr>
          <w:p w14:paraId="59305BCA">
            <w:pPr>
              <w:pStyle w:val="84"/>
              <w:ind w:firstLine="422"/>
              <w:rPr>
                <w:b/>
                <w:bCs w:val="0"/>
                <w:color w:val="auto"/>
                <w:lang w:val="en-US" w:eastAsia="zh-CN"/>
              </w:rPr>
            </w:pPr>
            <w:r>
              <w:rPr>
                <w:b/>
                <w:bCs w:val="0"/>
                <w:color w:val="auto"/>
                <w:lang w:val="en-US" w:eastAsia="zh-CN"/>
              </w:rPr>
              <w:t>1、噪声</w:t>
            </w:r>
          </w:p>
          <w:p w14:paraId="5D5D2982">
            <w:pPr>
              <w:spacing w:line="360" w:lineRule="auto"/>
              <w:ind w:firstLine="480"/>
              <w:rPr>
                <w:color w:val="auto"/>
                <w:szCs w:val="21"/>
              </w:rPr>
            </w:pPr>
            <w:r>
              <w:rPr>
                <w:color w:val="auto"/>
                <w:szCs w:val="21"/>
              </w:rPr>
              <w:t>运营期厂界噪声排放执行《工业企业厂界环境噪声排放标准》（GB12348-2008）中3类区标准，具体标准值见下表。</w:t>
            </w:r>
          </w:p>
          <w:p w14:paraId="112070E2">
            <w:pPr>
              <w:pStyle w:val="86"/>
              <w:rPr>
                <w:color w:val="auto"/>
              </w:rPr>
            </w:pPr>
            <w:r>
              <w:rPr>
                <w:color w:val="auto"/>
              </w:rPr>
              <w:t>表3</w:t>
            </w:r>
            <w:r>
              <w:rPr>
                <w:rFonts w:hint="eastAsia"/>
                <w:color w:val="auto"/>
              </w:rPr>
              <w:t>-</w:t>
            </w:r>
            <w:r>
              <w:rPr>
                <w:rFonts w:hint="eastAsia"/>
                <w:color w:val="auto"/>
                <w:lang w:val="en-US" w:eastAsia="zh-CN"/>
              </w:rPr>
              <w:t xml:space="preserve">4 </w:t>
            </w:r>
            <w:r>
              <w:rPr>
                <w:rFonts w:hint="eastAsia"/>
                <w:color w:val="auto"/>
              </w:rPr>
              <w:t xml:space="preserve">  工业企业厂界环境噪声排放标准  单位：dB（A）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7"/>
              <w:gridCol w:w="2617"/>
              <w:gridCol w:w="2363"/>
            </w:tblGrid>
            <w:tr w14:paraId="5499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9" w:type="dxa"/>
                  <w:noWrap w:val="0"/>
                  <w:vAlign w:val="center"/>
                </w:tcPr>
                <w:p w14:paraId="762FBEC3">
                  <w:pPr>
                    <w:pStyle w:val="73"/>
                    <w:rPr>
                      <w:b/>
                      <w:bCs/>
                      <w:color w:val="auto"/>
                      <w:sz w:val="21"/>
                      <w:szCs w:val="21"/>
                      <w:lang w:val="en-US" w:eastAsia="zh-CN"/>
                    </w:rPr>
                  </w:pPr>
                  <w:r>
                    <w:rPr>
                      <w:b/>
                      <w:bCs/>
                      <w:color w:val="auto"/>
                      <w:sz w:val="21"/>
                      <w:szCs w:val="21"/>
                      <w:lang w:val="en-US" w:eastAsia="zh-CN"/>
                    </w:rPr>
                    <w:t>标准</w:t>
                  </w:r>
                </w:p>
              </w:tc>
              <w:tc>
                <w:tcPr>
                  <w:tcW w:w="2593" w:type="dxa"/>
                  <w:noWrap w:val="0"/>
                  <w:vAlign w:val="center"/>
                </w:tcPr>
                <w:p w14:paraId="76B73172">
                  <w:pPr>
                    <w:pStyle w:val="73"/>
                    <w:rPr>
                      <w:b/>
                      <w:bCs/>
                      <w:color w:val="auto"/>
                      <w:sz w:val="21"/>
                      <w:szCs w:val="21"/>
                      <w:lang w:val="en-US" w:eastAsia="zh-CN"/>
                    </w:rPr>
                  </w:pPr>
                  <w:r>
                    <w:rPr>
                      <w:b/>
                      <w:bCs/>
                      <w:color w:val="auto"/>
                      <w:sz w:val="21"/>
                      <w:szCs w:val="21"/>
                      <w:lang w:val="en-US" w:eastAsia="zh-CN"/>
                    </w:rPr>
                    <w:t>昼间</w:t>
                  </w:r>
                </w:p>
              </w:tc>
              <w:tc>
                <w:tcPr>
                  <w:tcW w:w="2342" w:type="dxa"/>
                  <w:noWrap w:val="0"/>
                  <w:vAlign w:val="center"/>
                </w:tcPr>
                <w:p w14:paraId="7EE70F8E">
                  <w:pPr>
                    <w:pStyle w:val="73"/>
                    <w:rPr>
                      <w:b/>
                      <w:bCs/>
                      <w:color w:val="auto"/>
                      <w:sz w:val="21"/>
                      <w:szCs w:val="21"/>
                      <w:lang w:val="en-US" w:eastAsia="zh-CN"/>
                    </w:rPr>
                  </w:pPr>
                  <w:r>
                    <w:rPr>
                      <w:b/>
                      <w:bCs/>
                      <w:color w:val="auto"/>
                      <w:sz w:val="21"/>
                      <w:szCs w:val="21"/>
                      <w:lang w:val="en-US" w:eastAsia="zh-CN"/>
                    </w:rPr>
                    <w:t>夜间</w:t>
                  </w:r>
                </w:p>
              </w:tc>
            </w:tr>
            <w:tr w14:paraId="59E8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9" w:type="dxa"/>
                  <w:noWrap w:val="0"/>
                  <w:vAlign w:val="center"/>
                </w:tcPr>
                <w:p w14:paraId="30CE68CB">
                  <w:pPr>
                    <w:pStyle w:val="73"/>
                    <w:rPr>
                      <w:color w:val="auto"/>
                      <w:sz w:val="21"/>
                      <w:szCs w:val="21"/>
                      <w:lang w:val="en-US" w:eastAsia="zh-CN"/>
                    </w:rPr>
                  </w:pPr>
                  <w:r>
                    <w:rPr>
                      <w:color w:val="auto"/>
                      <w:sz w:val="21"/>
                      <w:szCs w:val="21"/>
                      <w:lang w:val="en-US" w:eastAsia="zh-CN"/>
                    </w:rPr>
                    <w:t>GB12348-2008中3类标准</w:t>
                  </w:r>
                </w:p>
              </w:tc>
              <w:tc>
                <w:tcPr>
                  <w:tcW w:w="2593" w:type="dxa"/>
                  <w:noWrap w:val="0"/>
                  <w:vAlign w:val="center"/>
                </w:tcPr>
                <w:p w14:paraId="2E9B8A2E">
                  <w:pPr>
                    <w:pStyle w:val="73"/>
                    <w:rPr>
                      <w:color w:val="auto"/>
                      <w:sz w:val="21"/>
                      <w:szCs w:val="21"/>
                      <w:lang w:val="en-US" w:eastAsia="zh-CN"/>
                    </w:rPr>
                  </w:pPr>
                  <w:r>
                    <w:rPr>
                      <w:color w:val="auto"/>
                      <w:sz w:val="21"/>
                      <w:szCs w:val="21"/>
                      <w:lang w:val="en-US" w:eastAsia="zh-CN"/>
                    </w:rPr>
                    <w:t>65</w:t>
                  </w:r>
                </w:p>
              </w:tc>
              <w:tc>
                <w:tcPr>
                  <w:tcW w:w="2342" w:type="dxa"/>
                  <w:noWrap w:val="0"/>
                  <w:vAlign w:val="center"/>
                </w:tcPr>
                <w:p w14:paraId="46309483">
                  <w:pPr>
                    <w:pStyle w:val="73"/>
                    <w:rPr>
                      <w:color w:val="auto"/>
                      <w:sz w:val="21"/>
                      <w:szCs w:val="21"/>
                      <w:lang w:val="en-US" w:eastAsia="zh-CN"/>
                    </w:rPr>
                  </w:pPr>
                  <w:r>
                    <w:rPr>
                      <w:color w:val="auto"/>
                      <w:sz w:val="21"/>
                      <w:szCs w:val="21"/>
                      <w:lang w:val="en-US" w:eastAsia="zh-CN"/>
                    </w:rPr>
                    <w:t>55</w:t>
                  </w:r>
                </w:p>
              </w:tc>
            </w:tr>
          </w:tbl>
          <w:p w14:paraId="7C11FB04">
            <w:pPr>
              <w:pStyle w:val="84"/>
              <w:ind w:firstLine="422"/>
              <w:rPr>
                <w:b/>
                <w:bCs w:val="0"/>
                <w:color w:val="auto"/>
                <w:lang w:val="en-US" w:eastAsia="zh-CN"/>
              </w:rPr>
            </w:pPr>
            <w:r>
              <w:rPr>
                <w:rFonts w:hint="eastAsia"/>
                <w:b/>
                <w:bCs w:val="0"/>
                <w:color w:val="auto"/>
                <w:lang w:val="en-US" w:eastAsia="zh-CN"/>
              </w:rPr>
              <w:t>2、废气</w:t>
            </w:r>
          </w:p>
          <w:p w14:paraId="1130E74F">
            <w:pPr>
              <w:pStyle w:val="84"/>
              <w:rPr>
                <w:rFonts w:hint="eastAsia"/>
                <w:color w:val="auto"/>
                <w:lang w:val="en-US" w:eastAsia="zh-CN"/>
              </w:rPr>
            </w:pPr>
            <w:r>
              <w:rPr>
                <w:rFonts w:hint="eastAsia"/>
                <w:color w:val="auto"/>
                <w:lang w:val="en-US" w:eastAsia="zh-CN"/>
              </w:rPr>
              <w:t>施工期大气颗粒物执行《施工场地颗粒物排放标准》（DB34/4811-2024）表1控制要求；营运期熔窑废气、配料粉尘、氨排放执行《玻璃工业大气污染物排放标准》(DB34/4295-2022)表1中大气污染物排放限值和表3企业无组织排放浓度限值要求。具体标准值见表</w:t>
            </w:r>
            <w:r>
              <w:rPr>
                <w:color w:val="auto"/>
                <w:lang w:val="en-US" w:eastAsia="zh-CN"/>
              </w:rPr>
              <w:t>3</w:t>
            </w:r>
            <w:r>
              <w:rPr>
                <w:rFonts w:hint="eastAsia"/>
                <w:color w:val="auto"/>
                <w:lang w:val="en-US" w:eastAsia="zh-CN"/>
              </w:rPr>
              <w:t>-6。</w:t>
            </w:r>
          </w:p>
          <w:p w14:paraId="028731A1">
            <w:pPr>
              <w:pStyle w:val="86"/>
              <w:spacing w:line="276" w:lineRule="auto"/>
              <w:rPr>
                <w:color w:val="auto"/>
                <w:szCs w:val="21"/>
                <w:vertAlign w:val="superscript"/>
              </w:rPr>
            </w:pPr>
            <w:r>
              <w:rPr>
                <w:color w:val="auto"/>
              </w:rPr>
              <w:t>表3</w:t>
            </w:r>
            <w:r>
              <w:rPr>
                <w:rFonts w:hint="eastAsia"/>
                <w:color w:val="auto"/>
              </w:rPr>
              <w:t>-</w:t>
            </w:r>
            <w:r>
              <w:rPr>
                <w:rFonts w:hint="eastAsia"/>
                <w:color w:val="auto"/>
                <w:lang w:val="en-US" w:eastAsia="zh-CN"/>
              </w:rPr>
              <w:t xml:space="preserve">5 </w:t>
            </w:r>
            <w:r>
              <w:rPr>
                <w:rFonts w:hint="eastAsia"/>
                <w:color w:val="auto"/>
              </w:rPr>
              <w:t xml:space="preserve">  </w:t>
            </w:r>
            <w:r>
              <w:rPr>
                <w:rFonts w:hint="eastAsia"/>
                <w:color w:val="auto"/>
                <w:lang w:val="en-US" w:eastAsia="zh-CN"/>
              </w:rPr>
              <w:t>施工期颗粒物</w:t>
            </w:r>
            <w:r>
              <w:rPr>
                <w:rFonts w:hint="eastAsia"/>
                <w:color w:val="auto"/>
              </w:rPr>
              <w:t xml:space="preserve">排放标准  </w:t>
            </w:r>
            <w:r>
              <w:rPr>
                <w:rFonts w:hint="eastAsia"/>
                <w:color w:val="auto"/>
                <w:lang w:val="en-US" w:eastAsia="zh-CN"/>
              </w:rPr>
              <w:t>单位：</w:t>
            </w:r>
            <w:r>
              <w:rPr>
                <w:rFonts w:hint="default" w:ascii="Times New Roman" w:hAnsi="Times New Roman" w:cs="Times New Roman"/>
                <w:color w:val="auto"/>
                <w:lang w:val="en-US" w:eastAsia="zh-CN"/>
              </w:rPr>
              <w:t>μg/m</w:t>
            </w:r>
            <w:r>
              <w:rPr>
                <w:rFonts w:hint="default" w:ascii="Times New Roman" w:hAnsi="Times New Roman" w:cs="Times New Roman"/>
                <w:color w:val="auto"/>
                <w:vertAlign w:val="superscript"/>
                <w:lang w:val="en-US" w:eastAsia="zh-CN"/>
              </w:rPr>
              <w:t>3</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4172"/>
              <w:gridCol w:w="2363"/>
            </w:tblGrid>
            <w:tr w14:paraId="44AD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noWrap w:val="0"/>
                  <w:vAlign w:val="center"/>
                </w:tcPr>
                <w:p w14:paraId="08C02CFC">
                  <w:pPr>
                    <w:pStyle w:val="73"/>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控制项目</w:t>
                  </w:r>
                </w:p>
              </w:tc>
              <w:tc>
                <w:tcPr>
                  <w:tcW w:w="4172" w:type="dxa"/>
                  <w:noWrap w:val="0"/>
                  <w:vAlign w:val="center"/>
                </w:tcPr>
                <w:p w14:paraId="4456F6A4">
                  <w:pPr>
                    <w:pStyle w:val="73"/>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监控点浓度限值</w:t>
                  </w:r>
                </w:p>
              </w:tc>
              <w:tc>
                <w:tcPr>
                  <w:tcW w:w="2363" w:type="dxa"/>
                  <w:noWrap w:val="0"/>
                  <w:vAlign w:val="center"/>
                </w:tcPr>
                <w:p w14:paraId="0F97AA6B">
                  <w:pPr>
                    <w:pStyle w:val="73"/>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达标判定依据</w:t>
                  </w:r>
                </w:p>
              </w:tc>
            </w:tr>
            <w:tr w14:paraId="43AE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vMerge w:val="restart"/>
                  <w:noWrap w:val="0"/>
                  <w:vAlign w:val="center"/>
                </w:tcPr>
                <w:p w14:paraId="0FE6E828">
                  <w:pPr>
                    <w:pStyle w:val="73"/>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TSP</w:t>
                  </w:r>
                </w:p>
              </w:tc>
              <w:tc>
                <w:tcPr>
                  <w:tcW w:w="4172" w:type="dxa"/>
                  <w:noWrap w:val="0"/>
                  <w:vAlign w:val="center"/>
                </w:tcPr>
                <w:p w14:paraId="030D1674">
                  <w:pPr>
                    <w:pStyle w:val="73"/>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1000</w:t>
                  </w:r>
                </w:p>
              </w:tc>
              <w:tc>
                <w:tcPr>
                  <w:tcW w:w="2363" w:type="dxa"/>
                  <w:noWrap w:val="0"/>
                  <w:vAlign w:val="center"/>
                </w:tcPr>
                <w:p w14:paraId="64D29A8F">
                  <w:pPr>
                    <w:pStyle w:val="73"/>
                    <w:ind w:left="0" w:leftChars="0" w:firstLine="0" w:firstLineChars="0"/>
                    <w:jc w:val="center"/>
                    <w:rPr>
                      <w:rFonts w:hint="default" w:ascii="Times New Roman" w:hAnsi="Times New Roman" w:cs="Times New Roman"/>
                      <w:color w:val="auto"/>
                      <w:sz w:val="21"/>
                      <w:szCs w:val="21"/>
                      <w:lang w:val="en-US" w:eastAsia="zh-CN"/>
                    </w:rPr>
                  </w:pPr>
                  <w:r>
                    <w:rPr>
                      <w:rFonts w:ascii="宋体" w:hAnsi="宋体" w:eastAsia="宋体" w:cs="宋体"/>
                      <w:b w:val="0"/>
                      <w:bCs w:val="0"/>
                      <w:color w:val="auto"/>
                      <w:sz w:val="18"/>
                      <w:szCs w:val="18"/>
                    </w:rPr>
                    <w:t>超标次数≤</w:t>
                  </w:r>
                  <w:r>
                    <w:rPr>
                      <w:rFonts w:ascii="TimesNewRomanPSMT" w:hAnsi="TimesNewRomanPSMT" w:eastAsia="TimesNewRomanPSMT" w:cs="TimesNewRomanPSMT"/>
                      <w:b w:val="0"/>
                      <w:bCs w:val="0"/>
                      <w:color w:val="auto"/>
                      <w:sz w:val="18"/>
                      <w:szCs w:val="18"/>
                    </w:rPr>
                    <w:t>1</w:t>
                  </w:r>
                  <w:r>
                    <w:rPr>
                      <w:rFonts w:ascii="宋体" w:hAnsi="宋体" w:eastAsia="宋体" w:cs="宋体"/>
                      <w:b w:val="0"/>
                      <w:bCs w:val="0"/>
                      <w:color w:val="auto"/>
                      <w:sz w:val="18"/>
                      <w:szCs w:val="18"/>
                    </w:rPr>
                    <w:t>次</w:t>
                  </w:r>
                  <w:r>
                    <w:rPr>
                      <w:rFonts w:hint="default" w:ascii="TimesNewRomanPSMT" w:hAnsi="TimesNewRomanPSMT" w:eastAsia="TimesNewRomanPSMT" w:cs="TimesNewRomanPSMT"/>
                      <w:b w:val="0"/>
                      <w:bCs w:val="0"/>
                      <w:color w:val="auto"/>
                      <w:sz w:val="18"/>
                      <w:szCs w:val="18"/>
                    </w:rPr>
                    <w:t>/</w:t>
                  </w:r>
                  <w:r>
                    <w:rPr>
                      <w:rFonts w:ascii="宋体" w:hAnsi="宋体" w:eastAsia="宋体" w:cs="宋体"/>
                      <w:b w:val="0"/>
                      <w:bCs w:val="0"/>
                      <w:color w:val="auto"/>
                      <w:sz w:val="18"/>
                      <w:szCs w:val="18"/>
                    </w:rPr>
                    <w:t>日</w:t>
                  </w:r>
                </w:p>
              </w:tc>
            </w:tr>
            <w:tr w14:paraId="6D95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vMerge w:val="continue"/>
                  <w:noWrap w:val="0"/>
                  <w:vAlign w:val="center"/>
                </w:tcPr>
                <w:p w14:paraId="7C07F909">
                  <w:pPr>
                    <w:pStyle w:val="73"/>
                    <w:jc w:val="center"/>
                    <w:rPr>
                      <w:rFonts w:hint="default" w:ascii="Times New Roman" w:hAnsi="Times New Roman" w:cs="Times New Roman"/>
                      <w:color w:val="auto"/>
                      <w:sz w:val="21"/>
                      <w:szCs w:val="21"/>
                      <w:lang w:val="en-US" w:eastAsia="zh-CN"/>
                    </w:rPr>
                  </w:pPr>
                </w:p>
              </w:tc>
              <w:tc>
                <w:tcPr>
                  <w:tcW w:w="4172" w:type="dxa"/>
                  <w:noWrap w:val="0"/>
                  <w:vAlign w:val="center"/>
                </w:tcPr>
                <w:p w14:paraId="239B9924">
                  <w:pPr>
                    <w:pStyle w:val="73"/>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2363" w:type="dxa"/>
                  <w:noWrap w:val="0"/>
                  <w:vAlign w:val="center"/>
                </w:tcPr>
                <w:p w14:paraId="42BDEC72">
                  <w:pPr>
                    <w:pStyle w:val="73"/>
                    <w:jc w:val="center"/>
                    <w:rPr>
                      <w:rFonts w:hint="default" w:ascii="Times New Roman" w:hAnsi="Times New Roman" w:cs="Times New Roman"/>
                      <w:color w:val="auto"/>
                      <w:sz w:val="21"/>
                      <w:szCs w:val="21"/>
                      <w:lang w:val="en-US" w:eastAsia="zh-CN"/>
                    </w:rPr>
                  </w:pPr>
                  <w:r>
                    <w:rPr>
                      <w:rFonts w:ascii="宋体" w:hAnsi="宋体" w:eastAsia="宋体" w:cs="宋体"/>
                      <w:b w:val="0"/>
                      <w:bCs w:val="0"/>
                      <w:color w:val="auto"/>
                      <w:sz w:val="18"/>
                      <w:szCs w:val="18"/>
                    </w:rPr>
                    <w:t>超标次数≤</w:t>
                  </w:r>
                  <w:r>
                    <w:rPr>
                      <w:rFonts w:hint="eastAsia" w:ascii="TimesNewRomanPSMT" w:hAnsi="TimesNewRomanPSMT" w:eastAsia="宋体" w:cs="TimesNewRomanPSMT"/>
                      <w:b w:val="0"/>
                      <w:bCs w:val="0"/>
                      <w:color w:val="auto"/>
                      <w:sz w:val="18"/>
                      <w:szCs w:val="18"/>
                      <w:lang w:val="en-US" w:eastAsia="zh-CN"/>
                    </w:rPr>
                    <w:t>6</w:t>
                  </w:r>
                  <w:r>
                    <w:rPr>
                      <w:rFonts w:ascii="宋体" w:hAnsi="宋体" w:eastAsia="宋体" w:cs="宋体"/>
                      <w:b w:val="0"/>
                      <w:bCs w:val="0"/>
                      <w:color w:val="auto"/>
                      <w:sz w:val="18"/>
                      <w:szCs w:val="18"/>
                    </w:rPr>
                    <w:t>次</w:t>
                  </w:r>
                  <w:r>
                    <w:rPr>
                      <w:rFonts w:hint="default" w:ascii="TimesNewRomanPSMT" w:hAnsi="TimesNewRomanPSMT" w:eastAsia="TimesNewRomanPSMT" w:cs="TimesNewRomanPSMT"/>
                      <w:b w:val="0"/>
                      <w:bCs w:val="0"/>
                      <w:color w:val="auto"/>
                      <w:sz w:val="18"/>
                      <w:szCs w:val="18"/>
                    </w:rPr>
                    <w:t>/</w:t>
                  </w:r>
                  <w:r>
                    <w:rPr>
                      <w:rFonts w:ascii="宋体" w:hAnsi="宋体" w:eastAsia="宋体" w:cs="宋体"/>
                      <w:b w:val="0"/>
                      <w:bCs w:val="0"/>
                      <w:color w:val="auto"/>
                      <w:sz w:val="18"/>
                      <w:szCs w:val="18"/>
                    </w:rPr>
                    <w:t>日</w:t>
                  </w:r>
                </w:p>
              </w:tc>
            </w:tr>
          </w:tbl>
          <w:p w14:paraId="79D41DC2">
            <w:pPr>
              <w:pStyle w:val="86"/>
              <w:spacing w:line="276" w:lineRule="auto"/>
              <w:rPr>
                <w:color w:val="auto"/>
                <w:szCs w:val="21"/>
                <w:vertAlign w:val="superscript"/>
              </w:rPr>
            </w:pPr>
            <w:r>
              <w:rPr>
                <w:rFonts w:hint="eastAsia"/>
                <w:color w:val="auto"/>
              </w:rPr>
              <w:t>表</w:t>
            </w:r>
            <w:r>
              <w:rPr>
                <w:color w:val="auto"/>
              </w:rPr>
              <w:t>3</w:t>
            </w:r>
            <w:r>
              <w:rPr>
                <w:rFonts w:hint="eastAsia"/>
                <w:color w:val="auto"/>
              </w:rPr>
              <w:t>-</w:t>
            </w:r>
            <w:r>
              <w:rPr>
                <w:rFonts w:hint="eastAsia"/>
                <w:color w:val="auto"/>
                <w:lang w:val="en-US" w:eastAsia="zh-CN"/>
              </w:rPr>
              <w:t xml:space="preserve">6   </w:t>
            </w:r>
            <w:r>
              <w:rPr>
                <w:color w:val="auto"/>
              </w:rPr>
              <w:t xml:space="preserve"> </w:t>
            </w:r>
            <w:r>
              <w:rPr>
                <w:rFonts w:hint="eastAsia"/>
                <w:color w:val="auto"/>
                <w:lang w:val="en-US" w:eastAsia="zh-CN"/>
              </w:rPr>
              <w:t>营运期</w:t>
            </w:r>
            <w:r>
              <w:rPr>
                <w:rFonts w:hint="eastAsia"/>
                <w:color w:val="auto"/>
              </w:rPr>
              <w:t>大气污染物排放标准</w:t>
            </w:r>
            <w:r>
              <w:rPr>
                <w:rFonts w:hint="eastAsia"/>
                <w:color w:val="auto"/>
                <w:lang w:val="en-US" w:eastAsia="zh-CN"/>
              </w:rPr>
              <w:t xml:space="preserve">     单位：</w:t>
            </w:r>
            <w:r>
              <w:rPr>
                <w:color w:val="auto"/>
                <w:szCs w:val="21"/>
              </w:rPr>
              <w:t>mg/m</w:t>
            </w:r>
            <w:r>
              <w:rPr>
                <w:color w:val="auto"/>
                <w:szCs w:val="21"/>
                <w:vertAlign w:val="superscript"/>
              </w:rPr>
              <w:t>3</w:t>
            </w:r>
          </w:p>
          <w:tbl>
            <w:tblPr>
              <w:tblStyle w:val="35"/>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710"/>
              <w:gridCol w:w="1665"/>
              <w:gridCol w:w="3447"/>
            </w:tblGrid>
            <w:tr w14:paraId="3AA8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tcBorders>
                    <w:top w:val="single" w:color="auto" w:sz="4" w:space="0"/>
                    <w:left w:val="single" w:color="auto" w:sz="4" w:space="0"/>
                    <w:bottom w:val="single" w:color="auto" w:sz="4" w:space="0"/>
                    <w:right w:val="single" w:color="auto" w:sz="4" w:space="0"/>
                  </w:tcBorders>
                  <w:noWrap w:val="0"/>
                  <w:vAlign w:val="center"/>
                </w:tcPr>
                <w:p w14:paraId="3AED672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标准名称</w:t>
                  </w:r>
                </w:p>
              </w:tc>
              <w:tc>
                <w:tcPr>
                  <w:tcW w:w="1710" w:type="dxa"/>
                  <w:tcBorders>
                    <w:top w:val="single" w:color="auto" w:sz="4" w:space="0"/>
                    <w:left w:val="single" w:color="auto" w:sz="4" w:space="0"/>
                    <w:bottom w:val="single" w:color="auto" w:sz="4" w:space="0"/>
                    <w:right w:val="single" w:color="auto" w:sz="4" w:space="0"/>
                  </w:tcBorders>
                  <w:noWrap w:val="0"/>
                  <w:vAlign w:val="center"/>
                </w:tcPr>
                <w:p w14:paraId="23A37F4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污染物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0A1249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玻璃熔窑</w:t>
                  </w:r>
                </w:p>
              </w:tc>
              <w:tc>
                <w:tcPr>
                  <w:tcW w:w="3447" w:type="dxa"/>
                  <w:tcBorders>
                    <w:top w:val="single" w:color="auto" w:sz="4" w:space="0"/>
                    <w:left w:val="single" w:color="auto" w:sz="4" w:space="0"/>
                    <w:bottom w:val="single" w:color="auto" w:sz="4" w:space="0"/>
                    <w:right w:val="single" w:color="auto" w:sz="4" w:space="0"/>
                  </w:tcBorders>
                  <w:noWrap w:val="0"/>
                  <w:vAlign w:val="center"/>
                </w:tcPr>
                <w:p w14:paraId="500DA82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监控位置</w:t>
                  </w:r>
                </w:p>
              </w:tc>
            </w:tr>
            <w:tr w14:paraId="4BA1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restart"/>
                  <w:tcBorders>
                    <w:top w:val="single" w:color="auto" w:sz="4" w:space="0"/>
                    <w:left w:val="single" w:color="auto" w:sz="4" w:space="0"/>
                    <w:right w:val="single" w:color="auto" w:sz="4" w:space="0"/>
                  </w:tcBorders>
                  <w:noWrap w:val="0"/>
                  <w:vAlign w:val="center"/>
                </w:tcPr>
                <w:p w14:paraId="17538B3F">
                  <w:pPr>
                    <w:keepNext w:val="0"/>
                    <w:keepLines w:val="0"/>
                    <w:pageBreakBefore w:val="0"/>
                    <w:widowControl/>
                    <w:kinsoku/>
                    <w:wordWrap/>
                    <w:overflowPunct/>
                    <w:topLinePunct w:val="0"/>
                    <w:autoSpaceDE/>
                    <w:autoSpaceDN/>
                    <w:bidi w:val="0"/>
                    <w:jc w:val="center"/>
                    <w:textAlignment w:val="auto"/>
                    <w:rPr>
                      <w:color w:val="auto"/>
                      <w:sz w:val="21"/>
                      <w:szCs w:val="21"/>
                      <w:lang w:bidi="ar"/>
                    </w:rPr>
                  </w:pPr>
                  <w:r>
                    <w:rPr>
                      <w:rFonts w:hint="eastAsia"/>
                      <w:color w:val="auto"/>
                      <w:sz w:val="21"/>
                      <w:szCs w:val="21"/>
                      <w:lang w:val="en-US" w:eastAsia="zh-CN"/>
                    </w:rPr>
                    <w:t>DB34/4295-2022</w:t>
                  </w:r>
                </w:p>
              </w:tc>
              <w:tc>
                <w:tcPr>
                  <w:tcW w:w="1710" w:type="dxa"/>
                  <w:tcBorders>
                    <w:top w:val="single" w:color="auto" w:sz="4" w:space="0"/>
                    <w:left w:val="single" w:color="auto" w:sz="4" w:space="0"/>
                    <w:bottom w:val="single" w:color="auto" w:sz="4" w:space="0"/>
                    <w:right w:val="single" w:color="auto" w:sz="4" w:space="0"/>
                  </w:tcBorders>
                  <w:noWrap w:val="0"/>
                  <w:vAlign w:val="center"/>
                </w:tcPr>
                <w:p w14:paraId="20DBAA94">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颗粒物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6A1C08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20</w:t>
                  </w:r>
                </w:p>
              </w:tc>
              <w:tc>
                <w:tcPr>
                  <w:tcW w:w="3447" w:type="dxa"/>
                  <w:vMerge w:val="restart"/>
                  <w:tcBorders>
                    <w:top w:val="single" w:color="auto" w:sz="4" w:space="0"/>
                    <w:left w:val="single" w:color="auto" w:sz="4" w:space="0"/>
                    <w:right w:val="single" w:color="auto" w:sz="4" w:space="0"/>
                  </w:tcBorders>
                  <w:noWrap w:val="0"/>
                  <w:vAlign w:val="center"/>
                </w:tcPr>
                <w:p w14:paraId="4409C811">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车间或生产设施排气筒</w:t>
                  </w:r>
                </w:p>
              </w:tc>
            </w:tr>
            <w:tr w14:paraId="4B8D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continue"/>
                  <w:tcBorders>
                    <w:left w:val="single" w:color="auto" w:sz="4" w:space="0"/>
                    <w:right w:val="single" w:color="auto" w:sz="4" w:space="0"/>
                  </w:tcBorders>
                  <w:noWrap w:val="0"/>
                  <w:vAlign w:val="center"/>
                </w:tcPr>
                <w:p w14:paraId="298B17ED">
                  <w:pPr>
                    <w:keepNext w:val="0"/>
                    <w:keepLines w:val="0"/>
                    <w:pageBreakBefore w:val="0"/>
                    <w:widowControl/>
                    <w:kinsoku/>
                    <w:wordWrap/>
                    <w:overflowPunct/>
                    <w:topLinePunct w:val="0"/>
                    <w:autoSpaceDE/>
                    <w:autoSpaceDN/>
                    <w:bidi w:val="0"/>
                    <w:jc w:val="left"/>
                    <w:textAlignment w:val="auto"/>
                    <w:rPr>
                      <w:color w:val="auto"/>
                      <w:sz w:val="21"/>
                      <w:szCs w:val="21"/>
                      <w:lang w:bidi="ar"/>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457D6C49">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rPr>
                  </w:pPr>
                  <w:r>
                    <w:rPr>
                      <w:color w:val="auto"/>
                      <w:sz w:val="21"/>
                      <w:szCs w:val="21"/>
                    </w:rPr>
                    <w:t>SO</w:t>
                  </w:r>
                  <w:r>
                    <w:rPr>
                      <w:color w:val="auto"/>
                      <w:sz w:val="21"/>
                      <w:szCs w:val="21"/>
                      <w:vertAlign w:val="subscript"/>
                    </w:rPr>
                    <w:t>2</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0126F2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100</w:t>
                  </w:r>
                </w:p>
              </w:tc>
              <w:tc>
                <w:tcPr>
                  <w:tcW w:w="3447" w:type="dxa"/>
                  <w:vMerge w:val="continue"/>
                  <w:tcBorders>
                    <w:left w:val="single" w:color="auto" w:sz="4" w:space="0"/>
                    <w:right w:val="single" w:color="auto" w:sz="4" w:space="0"/>
                  </w:tcBorders>
                  <w:noWrap w:val="0"/>
                  <w:vAlign w:val="top"/>
                </w:tcPr>
                <w:p w14:paraId="6C541C2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0AB9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continue"/>
                  <w:tcBorders>
                    <w:left w:val="single" w:color="auto" w:sz="4" w:space="0"/>
                    <w:right w:val="single" w:color="auto" w:sz="4" w:space="0"/>
                  </w:tcBorders>
                  <w:noWrap w:val="0"/>
                  <w:vAlign w:val="center"/>
                </w:tcPr>
                <w:p w14:paraId="0C71C0F9">
                  <w:pPr>
                    <w:keepNext w:val="0"/>
                    <w:keepLines w:val="0"/>
                    <w:pageBreakBefore w:val="0"/>
                    <w:widowControl/>
                    <w:kinsoku/>
                    <w:wordWrap/>
                    <w:overflowPunct/>
                    <w:topLinePunct w:val="0"/>
                    <w:autoSpaceDE/>
                    <w:autoSpaceDN/>
                    <w:bidi w:val="0"/>
                    <w:jc w:val="left"/>
                    <w:textAlignment w:val="auto"/>
                    <w:rPr>
                      <w:color w:val="auto"/>
                      <w:sz w:val="21"/>
                      <w:szCs w:val="21"/>
                      <w:lang w:bidi="ar"/>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3BEA949D">
                  <w:pPr>
                    <w:keepNext w:val="0"/>
                    <w:keepLines w:val="0"/>
                    <w:pageBreakBefore w:val="0"/>
                    <w:widowControl/>
                    <w:kinsoku/>
                    <w:wordWrap/>
                    <w:overflowPunct/>
                    <w:topLinePunct w:val="0"/>
                    <w:autoSpaceDE/>
                    <w:autoSpaceDN/>
                    <w:bidi w:val="0"/>
                    <w:jc w:val="center"/>
                    <w:textAlignment w:val="auto"/>
                    <w:rPr>
                      <w:color w:val="auto"/>
                      <w:sz w:val="21"/>
                      <w:szCs w:val="21"/>
                    </w:rPr>
                  </w:pPr>
                  <w:r>
                    <w:rPr>
                      <w:color w:val="auto"/>
                      <w:sz w:val="21"/>
                      <w:szCs w:val="21"/>
                    </w:rPr>
                    <w:t>NO</w:t>
                  </w:r>
                  <w:r>
                    <w:rPr>
                      <w:color w:val="auto"/>
                      <w:sz w:val="21"/>
                      <w:szCs w:val="21"/>
                      <w:vertAlign w:val="subscript"/>
                    </w:rPr>
                    <w:t>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060540D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200</w:t>
                  </w:r>
                </w:p>
              </w:tc>
              <w:tc>
                <w:tcPr>
                  <w:tcW w:w="3447" w:type="dxa"/>
                  <w:vMerge w:val="continue"/>
                  <w:tcBorders>
                    <w:left w:val="single" w:color="auto" w:sz="4" w:space="0"/>
                    <w:right w:val="single" w:color="auto" w:sz="4" w:space="0"/>
                  </w:tcBorders>
                  <w:noWrap w:val="0"/>
                  <w:vAlign w:val="top"/>
                </w:tcPr>
                <w:p w14:paraId="635E134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0533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continue"/>
                  <w:tcBorders>
                    <w:left w:val="single" w:color="auto" w:sz="4" w:space="0"/>
                    <w:right w:val="single" w:color="auto" w:sz="4" w:space="0"/>
                  </w:tcBorders>
                  <w:noWrap w:val="0"/>
                  <w:vAlign w:val="center"/>
                </w:tcPr>
                <w:p w14:paraId="0CE42420">
                  <w:pPr>
                    <w:keepNext w:val="0"/>
                    <w:keepLines w:val="0"/>
                    <w:pageBreakBefore w:val="0"/>
                    <w:widowControl/>
                    <w:kinsoku/>
                    <w:wordWrap/>
                    <w:overflowPunct/>
                    <w:topLinePunct w:val="0"/>
                    <w:autoSpaceDE/>
                    <w:autoSpaceDN/>
                    <w:bidi w:val="0"/>
                    <w:jc w:val="left"/>
                    <w:textAlignment w:val="auto"/>
                    <w:rPr>
                      <w:color w:val="auto"/>
                      <w:sz w:val="21"/>
                      <w:szCs w:val="21"/>
                      <w:lang w:bidi="ar"/>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31775002">
                  <w:pPr>
                    <w:keepNext w:val="0"/>
                    <w:keepLines w:val="0"/>
                    <w:pageBreakBefore w:val="0"/>
                    <w:widowControl/>
                    <w:kinsoku/>
                    <w:wordWrap/>
                    <w:overflowPunct/>
                    <w:topLinePunct w:val="0"/>
                    <w:autoSpaceDE/>
                    <w:autoSpaceDN/>
                    <w:bidi w:val="0"/>
                    <w:jc w:val="center"/>
                    <w:textAlignment w:val="auto"/>
                    <w:rPr>
                      <w:rFonts w:hint="eastAsia" w:eastAsia="宋体"/>
                      <w:color w:val="auto"/>
                      <w:sz w:val="21"/>
                      <w:szCs w:val="21"/>
                      <w:lang w:val="en-US" w:eastAsia="zh-CN"/>
                    </w:rPr>
                  </w:pPr>
                  <w:r>
                    <w:rPr>
                      <w:rFonts w:hint="eastAsia"/>
                      <w:color w:val="auto"/>
                      <w:sz w:val="21"/>
                      <w:szCs w:val="21"/>
                      <w:lang w:val="en-US" w:eastAsia="zh-CN"/>
                    </w:rPr>
                    <w:t>氨</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61BA82F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8</w:t>
                  </w:r>
                </w:p>
              </w:tc>
              <w:tc>
                <w:tcPr>
                  <w:tcW w:w="3447" w:type="dxa"/>
                  <w:vMerge w:val="continue"/>
                  <w:tcBorders>
                    <w:left w:val="single" w:color="auto" w:sz="4" w:space="0"/>
                    <w:right w:val="single" w:color="auto" w:sz="4" w:space="0"/>
                  </w:tcBorders>
                  <w:noWrap w:val="0"/>
                  <w:vAlign w:val="top"/>
                </w:tcPr>
                <w:p w14:paraId="05EA31B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644A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continue"/>
                  <w:tcBorders>
                    <w:left w:val="single" w:color="auto" w:sz="4" w:space="0"/>
                    <w:right w:val="single" w:color="auto" w:sz="4" w:space="0"/>
                  </w:tcBorders>
                  <w:noWrap w:val="0"/>
                  <w:vAlign w:val="center"/>
                </w:tcPr>
                <w:p w14:paraId="460D45D0">
                  <w:pPr>
                    <w:keepNext w:val="0"/>
                    <w:keepLines w:val="0"/>
                    <w:pageBreakBefore w:val="0"/>
                    <w:widowControl/>
                    <w:kinsoku/>
                    <w:wordWrap/>
                    <w:overflowPunct/>
                    <w:topLinePunct w:val="0"/>
                    <w:autoSpaceDE/>
                    <w:autoSpaceDN/>
                    <w:bidi w:val="0"/>
                    <w:jc w:val="left"/>
                    <w:textAlignment w:val="auto"/>
                    <w:rPr>
                      <w:color w:val="auto"/>
                      <w:sz w:val="21"/>
                      <w:szCs w:val="21"/>
                      <w:lang w:bidi="ar"/>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33483D05">
                  <w:pPr>
                    <w:keepNext w:val="0"/>
                    <w:keepLines w:val="0"/>
                    <w:pageBreakBefore w:val="0"/>
                    <w:widowControl/>
                    <w:kinsoku/>
                    <w:wordWrap/>
                    <w:overflowPunct/>
                    <w:topLinePunct w:val="0"/>
                    <w:autoSpaceDE/>
                    <w:autoSpaceDN/>
                    <w:bidi w:val="0"/>
                    <w:jc w:val="center"/>
                    <w:textAlignment w:val="auto"/>
                    <w:rPr>
                      <w:rFonts w:hint="eastAsia"/>
                      <w:color w:val="auto"/>
                      <w:sz w:val="21"/>
                      <w:szCs w:val="21"/>
                      <w:lang w:val="en-US" w:eastAsia="zh-CN"/>
                    </w:rPr>
                  </w:pPr>
                  <w:r>
                    <w:rPr>
                      <w:rFonts w:hint="eastAsia"/>
                      <w:color w:val="auto"/>
                      <w:sz w:val="21"/>
                      <w:szCs w:val="21"/>
                    </w:rPr>
                    <w:t>颗粒物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1B1259B4">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3447" w:type="dxa"/>
                  <w:tcBorders>
                    <w:left w:val="single" w:color="auto" w:sz="4" w:space="0"/>
                    <w:right w:val="single" w:color="auto" w:sz="4" w:space="0"/>
                  </w:tcBorders>
                  <w:noWrap w:val="0"/>
                  <w:vAlign w:val="top"/>
                </w:tcPr>
                <w:p w14:paraId="261B7C4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执行HJ/T55的规定，上风向设参照点，下风向设监控点</w:t>
                  </w:r>
                </w:p>
              </w:tc>
            </w:tr>
            <w:tr w14:paraId="22C7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5" w:type="dxa"/>
                  <w:vMerge w:val="continue"/>
                  <w:tcBorders>
                    <w:left w:val="single" w:color="auto" w:sz="4" w:space="0"/>
                    <w:right w:val="single" w:color="auto" w:sz="4" w:space="0"/>
                  </w:tcBorders>
                  <w:noWrap w:val="0"/>
                  <w:vAlign w:val="center"/>
                </w:tcPr>
                <w:p w14:paraId="71BF6FAD">
                  <w:pPr>
                    <w:keepNext w:val="0"/>
                    <w:keepLines w:val="0"/>
                    <w:pageBreakBefore w:val="0"/>
                    <w:widowControl/>
                    <w:kinsoku/>
                    <w:wordWrap/>
                    <w:overflowPunct/>
                    <w:topLinePunct w:val="0"/>
                    <w:autoSpaceDE/>
                    <w:autoSpaceDN/>
                    <w:bidi w:val="0"/>
                    <w:jc w:val="left"/>
                    <w:textAlignment w:val="auto"/>
                    <w:rPr>
                      <w:color w:val="auto"/>
                      <w:sz w:val="21"/>
                      <w:szCs w:val="21"/>
                      <w:lang w:bidi="ar"/>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6D8BBE83">
                  <w:pPr>
                    <w:keepNext w:val="0"/>
                    <w:keepLines w:val="0"/>
                    <w:pageBreakBefore w:val="0"/>
                    <w:widowControl/>
                    <w:kinsoku/>
                    <w:wordWrap/>
                    <w:overflowPunct/>
                    <w:topLinePunct w:val="0"/>
                    <w:autoSpaceDE/>
                    <w:autoSpaceDN/>
                    <w:bidi w:val="0"/>
                    <w:jc w:val="center"/>
                    <w:textAlignment w:val="auto"/>
                    <w:rPr>
                      <w:rFonts w:hint="eastAsia"/>
                      <w:color w:val="auto"/>
                      <w:sz w:val="21"/>
                      <w:szCs w:val="21"/>
                      <w:lang w:val="en-US" w:eastAsia="zh-CN"/>
                    </w:rPr>
                  </w:pPr>
                  <w:r>
                    <w:rPr>
                      <w:rFonts w:hint="eastAsia"/>
                      <w:color w:val="auto"/>
                      <w:sz w:val="21"/>
                      <w:szCs w:val="21"/>
                      <w:lang w:val="en-US" w:eastAsia="zh-CN"/>
                    </w:rPr>
                    <w:t>氨</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BB48ADE">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3447" w:type="dxa"/>
                  <w:tcBorders>
                    <w:left w:val="single" w:color="auto" w:sz="4" w:space="0"/>
                    <w:right w:val="single" w:color="auto" w:sz="4" w:space="0"/>
                  </w:tcBorders>
                  <w:noWrap w:val="0"/>
                  <w:vAlign w:val="top"/>
                </w:tcPr>
                <w:p w14:paraId="32B5C77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执行HJ/T55的规定，下风向设监控点</w:t>
                  </w:r>
                </w:p>
              </w:tc>
            </w:tr>
          </w:tbl>
          <w:p w14:paraId="24031BC5">
            <w:pPr>
              <w:pStyle w:val="84"/>
              <w:ind w:firstLine="422"/>
              <w:rPr>
                <w:b/>
                <w:bCs w:val="0"/>
                <w:color w:val="auto"/>
                <w:lang w:val="en-US" w:eastAsia="zh-CN"/>
              </w:rPr>
            </w:pPr>
            <w:r>
              <w:rPr>
                <w:b/>
                <w:bCs w:val="0"/>
                <w:color w:val="auto"/>
                <w:lang w:val="en-US" w:eastAsia="zh-CN"/>
              </w:rPr>
              <w:t>3、废水</w:t>
            </w:r>
          </w:p>
          <w:p w14:paraId="4E1788FA">
            <w:pPr>
              <w:pStyle w:val="84"/>
              <w:ind w:firstLine="422"/>
              <w:rPr>
                <w:rFonts w:hint="eastAsia"/>
                <w:color w:val="auto"/>
                <w:lang w:val="en-US" w:eastAsia="zh-CN"/>
              </w:rPr>
            </w:pPr>
            <w:r>
              <w:rPr>
                <w:rFonts w:hint="eastAsia"/>
                <w:color w:val="auto"/>
                <w:lang w:val="en-US" w:eastAsia="zh-CN"/>
              </w:rPr>
              <w:t>本技改项目不新增废水排放。</w:t>
            </w:r>
          </w:p>
          <w:p w14:paraId="02D30BE2">
            <w:pPr>
              <w:pStyle w:val="84"/>
              <w:ind w:firstLine="422"/>
              <w:rPr>
                <w:b/>
                <w:bCs w:val="0"/>
                <w:color w:val="auto"/>
                <w:lang w:val="en-US" w:eastAsia="zh-CN"/>
              </w:rPr>
            </w:pPr>
            <w:r>
              <w:rPr>
                <w:b/>
                <w:bCs w:val="0"/>
                <w:color w:val="auto"/>
                <w:lang w:val="en-US" w:eastAsia="zh-CN"/>
              </w:rPr>
              <w:t>4</w:t>
            </w:r>
            <w:r>
              <w:rPr>
                <w:rFonts w:hint="eastAsia"/>
                <w:b/>
                <w:bCs w:val="0"/>
                <w:color w:val="auto"/>
                <w:lang w:val="en-US" w:eastAsia="zh-CN"/>
              </w:rPr>
              <w:t>、</w:t>
            </w:r>
            <w:r>
              <w:rPr>
                <w:b/>
                <w:bCs w:val="0"/>
                <w:color w:val="auto"/>
                <w:lang w:val="en-US" w:eastAsia="zh-CN"/>
              </w:rPr>
              <w:t>固体废弃物</w:t>
            </w:r>
          </w:p>
          <w:p w14:paraId="1F2A0C4A">
            <w:pPr>
              <w:pStyle w:val="84"/>
              <w:jc w:val="both"/>
              <w:rPr>
                <w:rFonts w:hint="eastAsia"/>
                <w:color w:val="auto"/>
                <w:lang w:val="en-US" w:eastAsia="zh-CN"/>
              </w:rPr>
            </w:pPr>
            <w:r>
              <w:rPr>
                <w:color w:val="auto"/>
                <w:sz w:val="21"/>
                <w:szCs w:val="21"/>
                <w:lang w:val="en-US" w:eastAsia="zh-CN"/>
              </w:rPr>
              <w:t>一般固体废物处理处置执行《一般工业固体废物贮存和填埋污染控制标准》（GB18599-2020）中有关规定。危险废物贮存必须严格执行</w:t>
            </w:r>
            <w:r>
              <w:rPr>
                <w:rFonts w:hint="eastAsia"/>
                <w:color w:val="auto"/>
                <w:sz w:val="21"/>
                <w:szCs w:val="21"/>
                <w:lang w:val="en-US" w:eastAsia="zh-CN"/>
              </w:rPr>
              <w:t>《危险废物贮存污染控制标准》（GB18597-2023）</w:t>
            </w:r>
            <w:r>
              <w:rPr>
                <w:color w:val="auto"/>
                <w:sz w:val="21"/>
                <w:szCs w:val="21"/>
                <w:lang w:val="en-US" w:eastAsia="zh-CN"/>
              </w:rPr>
              <w:t>的有关规定。</w:t>
            </w:r>
          </w:p>
        </w:tc>
      </w:tr>
      <w:tr w14:paraId="23E83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40" w:hRule="atLeast"/>
          <w:jc w:val="center"/>
        </w:trPr>
        <w:tc>
          <w:tcPr>
            <w:tcW w:w="798" w:type="dxa"/>
            <w:noWrap w:val="0"/>
            <w:vAlign w:val="center"/>
          </w:tcPr>
          <w:p w14:paraId="793E97F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0673195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2516DD9B">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263" w:type="dxa"/>
            <w:noWrap w:val="0"/>
            <w:vAlign w:val="center"/>
          </w:tcPr>
          <w:p w14:paraId="32B9FA61">
            <w:pPr>
              <w:pStyle w:val="84"/>
              <w:jc w:val="both"/>
              <w:rPr>
                <w:rFonts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根据生态环境部办公厅《关于做好“十四五”主要污染物总量减排工作的通知》（环办综合函〔2021〕323号），目前国家对氮氧化物、挥发性有机物、化学需氧量、氨氮等4种主要污染物纳入排放总量控制计划管理。</w:t>
            </w:r>
          </w:p>
          <w:p w14:paraId="57CDB7E0">
            <w:pPr>
              <w:pStyle w:val="84"/>
              <w:jc w:val="both"/>
              <w:rPr>
                <w:rFonts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本次环评推荐总量控制指标如下：</w:t>
            </w:r>
          </w:p>
          <w:p w14:paraId="50313A59">
            <w:pPr>
              <w:pStyle w:val="84"/>
              <w:jc w:val="both"/>
              <w:rPr>
                <w:rFonts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1</w:t>
            </w:r>
            <w:r>
              <w:rPr>
                <w:rFonts w:ascii="Times New Roman" w:hAnsi="Times New Roman" w:eastAsia="宋体" w:cs="Times New Roman"/>
                <w:bCs/>
                <w:color w:val="auto"/>
                <w:sz w:val="21"/>
                <w:szCs w:val="21"/>
                <w:lang w:val="en-US" w:eastAsia="zh-CN"/>
              </w:rPr>
              <w:t>）水污染物建议总量控制指标如下：</w:t>
            </w:r>
          </w:p>
          <w:p w14:paraId="23B0FF5C">
            <w:pPr>
              <w:pStyle w:val="84"/>
              <w:jc w:val="both"/>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本项目不新增废水排放，不申请水污染物排放总量；</w:t>
            </w:r>
          </w:p>
          <w:p w14:paraId="61883F53">
            <w:pPr>
              <w:pStyle w:val="84"/>
              <w:jc w:val="both"/>
              <w:rPr>
                <w:rFonts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（2）挥发性有机物建议控制总量如下：</w:t>
            </w:r>
          </w:p>
          <w:p w14:paraId="796A3804">
            <w:pPr>
              <w:pStyle w:val="84"/>
              <w:jc w:val="both"/>
              <w:rPr>
                <w:rFonts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根据工程分析，本次技改扩建工程排放的</w:t>
            </w:r>
            <w:bookmarkStart w:id="12" w:name="_Hlk105423246"/>
            <w:r>
              <w:rPr>
                <w:rFonts w:hint="eastAsia" w:ascii="Times New Roman" w:hAnsi="Times New Roman" w:eastAsia="宋体" w:cs="Times New Roman"/>
                <w:bCs/>
                <w:color w:val="auto"/>
                <w:sz w:val="21"/>
                <w:szCs w:val="21"/>
                <w:lang w:val="en-US" w:eastAsia="zh-CN"/>
              </w:rPr>
              <w:t>颗粒物：4.7835t/a、</w:t>
            </w:r>
            <w:r>
              <w:rPr>
                <w:rFonts w:ascii="Times New Roman" w:hAnsi="Times New Roman" w:eastAsia="宋体" w:cs="Times New Roman"/>
                <w:bCs/>
                <w:color w:val="auto"/>
                <w:sz w:val="21"/>
                <w:szCs w:val="21"/>
                <w:lang w:val="en-US" w:eastAsia="zh-CN"/>
              </w:rPr>
              <w:t>SO</w:t>
            </w:r>
            <w:r>
              <w:rPr>
                <w:rFonts w:ascii="Times New Roman" w:hAnsi="Times New Roman" w:eastAsia="宋体" w:cs="Times New Roman"/>
                <w:bCs/>
                <w:color w:val="auto"/>
                <w:sz w:val="21"/>
                <w:szCs w:val="21"/>
                <w:vertAlign w:val="subscript"/>
                <w:lang w:val="en-US" w:eastAsia="zh-CN"/>
              </w:rPr>
              <w:t>2</w:t>
            </w:r>
            <w:r>
              <w:rPr>
                <w:rFonts w:hint="eastAsia" w:ascii="Times New Roman" w:hAnsi="Times New Roman" w:eastAsia="宋体" w:cs="Times New Roman"/>
                <w:bCs/>
                <w:color w:val="auto"/>
                <w:sz w:val="21"/>
                <w:szCs w:val="21"/>
                <w:lang w:val="en-US" w:eastAsia="zh-CN"/>
              </w:rPr>
              <w:t>：5.9024</w:t>
            </w:r>
            <w:r>
              <w:rPr>
                <w:rFonts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val="en-US" w:eastAsia="zh-CN"/>
              </w:rPr>
              <w:t>、</w:t>
            </w:r>
            <w:r>
              <w:rPr>
                <w:rFonts w:ascii="Times New Roman" w:hAnsi="Times New Roman" w:eastAsia="宋体" w:cs="Times New Roman"/>
                <w:bCs/>
                <w:color w:val="auto"/>
                <w:sz w:val="21"/>
                <w:szCs w:val="21"/>
                <w:lang w:val="en-US" w:eastAsia="zh-CN"/>
              </w:rPr>
              <w:t>NOx</w:t>
            </w:r>
            <w:r>
              <w:rPr>
                <w:rFonts w:hint="eastAsia" w:ascii="Times New Roman" w:hAnsi="Times New Roman" w:eastAsia="宋体" w:cs="Times New Roman"/>
                <w:bCs/>
                <w:color w:val="auto"/>
                <w:sz w:val="21"/>
                <w:szCs w:val="21"/>
                <w:lang w:val="en-US" w:eastAsia="zh-CN"/>
              </w:rPr>
              <w:t>：29.982</w:t>
            </w:r>
            <w:r>
              <w:rPr>
                <w:rFonts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val="en-US" w:eastAsia="zh-CN"/>
              </w:rPr>
              <w:t>，现有工程许可排放量为：</w:t>
            </w:r>
            <w:r>
              <w:rPr>
                <w:rFonts w:ascii="Times New Roman" w:hAnsi="Times New Roman" w:eastAsia="宋体" w:cs="Times New Roman"/>
                <w:bCs/>
                <w:color w:val="auto"/>
                <w:sz w:val="21"/>
                <w:szCs w:val="21"/>
                <w:lang w:val="en-US" w:eastAsia="zh-CN"/>
              </w:rPr>
              <w:t>SO</w:t>
            </w:r>
            <w:r>
              <w:rPr>
                <w:rFonts w:ascii="Times New Roman" w:hAnsi="Times New Roman" w:eastAsia="宋体" w:cs="Times New Roman"/>
                <w:bCs/>
                <w:color w:val="auto"/>
                <w:sz w:val="21"/>
                <w:szCs w:val="21"/>
                <w:vertAlign w:val="subscript"/>
                <w:lang w:val="en-US" w:eastAsia="zh-CN"/>
              </w:rPr>
              <w:t>2</w:t>
            </w:r>
            <w:r>
              <w:rPr>
                <w:rFonts w:ascii="Times New Roman" w:hAnsi="Times New Roman" w:eastAsia="宋体" w:cs="Times New Roman"/>
                <w:bCs/>
                <w:color w:val="auto"/>
                <w:sz w:val="21"/>
                <w:szCs w:val="21"/>
                <w:lang w:val="en-US" w:eastAsia="zh-CN"/>
              </w:rPr>
              <w:t>为0.077t/a，NO</w:t>
            </w:r>
            <w:r>
              <w:rPr>
                <w:rFonts w:ascii="Times New Roman" w:hAnsi="Times New Roman" w:eastAsia="宋体" w:cs="Times New Roman"/>
                <w:bCs/>
                <w:color w:val="auto"/>
                <w:sz w:val="21"/>
                <w:szCs w:val="21"/>
                <w:vertAlign w:val="subscript"/>
                <w:lang w:val="en-US" w:eastAsia="zh-CN"/>
              </w:rPr>
              <w:t>X</w:t>
            </w:r>
            <w:r>
              <w:rPr>
                <w:rFonts w:ascii="Times New Roman" w:hAnsi="Times New Roman" w:eastAsia="宋体" w:cs="Times New Roman"/>
                <w:bCs/>
                <w:color w:val="auto"/>
                <w:sz w:val="21"/>
                <w:szCs w:val="21"/>
                <w:lang w:val="en-US" w:eastAsia="zh-CN"/>
              </w:rPr>
              <w:t>为11.974t/a。SO</w:t>
            </w:r>
            <w:r>
              <w:rPr>
                <w:rFonts w:ascii="Times New Roman" w:hAnsi="Times New Roman" w:eastAsia="宋体" w:cs="Times New Roman"/>
                <w:bCs/>
                <w:color w:val="auto"/>
                <w:sz w:val="21"/>
                <w:szCs w:val="21"/>
                <w:vertAlign w:val="subscript"/>
                <w:lang w:val="en-US" w:eastAsia="zh-CN"/>
              </w:rPr>
              <w:t>2</w:t>
            </w:r>
            <w:r>
              <w:rPr>
                <w:rFonts w:hint="eastAsia" w:ascii="Times New Roman" w:hAnsi="Times New Roman" w:eastAsia="宋体" w:cs="Times New Roman"/>
                <w:bCs/>
                <w:color w:val="auto"/>
                <w:sz w:val="21"/>
                <w:szCs w:val="21"/>
                <w:lang w:val="en-US" w:eastAsia="zh-CN"/>
              </w:rPr>
              <w:t>、</w:t>
            </w:r>
            <w:r>
              <w:rPr>
                <w:rFonts w:ascii="Times New Roman" w:hAnsi="Times New Roman" w:eastAsia="宋体" w:cs="Times New Roman"/>
                <w:bCs/>
                <w:color w:val="auto"/>
                <w:sz w:val="21"/>
                <w:szCs w:val="21"/>
                <w:lang w:val="en-US" w:eastAsia="zh-CN"/>
              </w:rPr>
              <w:t>NOx</w:t>
            </w:r>
            <w:r>
              <w:rPr>
                <w:rFonts w:hint="eastAsia" w:ascii="Times New Roman" w:hAnsi="Times New Roman" w:eastAsia="宋体" w:cs="Times New Roman"/>
                <w:bCs/>
                <w:color w:val="auto"/>
                <w:sz w:val="21"/>
                <w:szCs w:val="21"/>
                <w:lang w:val="en-US" w:eastAsia="zh-CN"/>
              </w:rPr>
              <w:t>排放量较现有工程许可排放量变大，增加总量为</w:t>
            </w:r>
            <w:r>
              <w:rPr>
                <w:rFonts w:hint="eastAsia" w:ascii="Times New Roman" w:hAnsi="Times New Roman" w:eastAsia="宋体" w:cs="Times New Roman"/>
                <w:bCs/>
                <w:color w:val="auto"/>
                <w:sz w:val="21"/>
                <w:szCs w:val="21"/>
                <w:lang w:val="en-US" w:eastAsia="zh-CN"/>
              </w:rPr>
              <w:t>SO</w:t>
            </w:r>
            <w:r>
              <w:rPr>
                <w:rFonts w:hint="eastAsia" w:ascii="Times New Roman" w:hAnsi="Times New Roman" w:eastAsia="宋体" w:cs="Times New Roman"/>
                <w:bCs/>
                <w:color w:val="auto"/>
                <w:sz w:val="21"/>
                <w:szCs w:val="21"/>
                <w:vertAlign w:val="subscript"/>
                <w:lang w:val="en-US" w:eastAsia="zh-CN"/>
              </w:rPr>
              <w:t>2</w:t>
            </w:r>
            <w:r>
              <w:rPr>
                <w:rFonts w:hint="eastAsia" w:ascii="Times New Roman" w:hAnsi="Times New Roman" w:eastAsia="宋体" w:cs="Times New Roman"/>
                <w:bCs/>
                <w:color w:val="auto"/>
                <w:sz w:val="21"/>
                <w:szCs w:val="21"/>
                <w:lang w:val="en-US" w:eastAsia="zh-CN"/>
              </w:rPr>
              <w:t>：5.8254t/a</w:t>
            </w:r>
            <w:r>
              <w:rPr>
                <w:rFonts w:hint="eastAsia" w:ascii="Times New Roman" w:hAnsi="Times New Roman" w:eastAsia="宋体" w:cs="Times New Roman"/>
                <w:bCs/>
                <w:color w:val="auto"/>
                <w:sz w:val="21"/>
                <w:szCs w:val="21"/>
                <w:lang w:val="en-US" w:eastAsia="zh-CN"/>
              </w:rPr>
              <w:t>、</w:t>
            </w:r>
            <w:r>
              <w:rPr>
                <w:rFonts w:ascii="Times New Roman" w:hAnsi="Times New Roman" w:eastAsia="宋体" w:cs="Times New Roman"/>
                <w:bCs/>
                <w:color w:val="auto"/>
                <w:sz w:val="21"/>
                <w:szCs w:val="21"/>
                <w:lang w:val="en-US" w:eastAsia="zh-CN"/>
              </w:rPr>
              <w:t>NOx</w:t>
            </w:r>
            <w:r>
              <w:rPr>
                <w:rFonts w:hint="eastAsia" w:ascii="Times New Roman" w:hAnsi="Times New Roman" w:eastAsia="宋体" w:cs="Times New Roman"/>
                <w:bCs/>
                <w:color w:val="auto"/>
                <w:sz w:val="21"/>
                <w:szCs w:val="21"/>
                <w:lang w:val="en-US" w:eastAsia="zh-CN"/>
              </w:rPr>
              <w:t>：18.008</w:t>
            </w:r>
            <w:r>
              <w:rPr>
                <w:rFonts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val="en-US" w:eastAsia="zh-CN"/>
              </w:rPr>
              <w:t>。</w:t>
            </w:r>
          </w:p>
          <w:p w14:paraId="3683DC58">
            <w:pPr>
              <w:pStyle w:val="84"/>
              <w:jc w:val="both"/>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因此，本环评建议建设单位应申请新增总量为：</w:t>
            </w:r>
            <w:r>
              <w:rPr>
                <w:rFonts w:hint="eastAsia" w:ascii="Times New Roman" w:hAnsi="Times New Roman" w:eastAsia="宋体" w:cs="Times New Roman"/>
                <w:bCs/>
                <w:color w:val="auto"/>
                <w:sz w:val="21"/>
                <w:szCs w:val="21"/>
                <w:lang w:val="en-US" w:eastAsia="zh-CN"/>
              </w:rPr>
              <w:t>颗粒物：4.7835t/a、</w:t>
            </w:r>
            <w:r>
              <w:rPr>
                <w:rFonts w:ascii="Times New Roman" w:hAnsi="Times New Roman" w:eastAsia="宋体" w:cs="Times New Roman"/>
                <w:bCs/>
                <w:color w:val="auto"/>
                <w:sz w:val="21"/>
                <w:szCs w:val="21"/>
                <w:lang w:val="en-US" w:eastAsia="zh-CN"/>
              </w:rPr>
              <w:t>SO</w:t>
            </w:r>
            <w:r>
              <w:rPr>
                <w:rFonts w:ascii="Times New Roman" w:hAnsi="Times New Roman" w:eastAsia="宋体" w:cs="Times New Roman"/>
                <w:bCs/>
                <w:color w:val="auto"/>
                <w:sz w:val="21"/>
                <w:szCs w:val="21"/>
                <w:vertAlign w:val="subscript"/>
                <w:lang w:val="en-US" w:eastAsia="zh-CN"/>
              </w:rPr>
              <w:t>2</w:t>
            </w:r>
            <w:r>
              <w:rPr>
                <w:rFonts w:hint="eastAsia" w:ascii="Times New Roman" w:hAnsi="Times New Roman" w:eastAsia="宋体" w:cs="Times New Roman"/>
                <w:bCs/>
                <w:color w:val="auto"/>
                <w:sz w:val="21"/>
                <w:szCs w:val="21"/>
                <w:lang w:val="en-US" w:eastAsia="zh-CN"/>
              </w:rPr>
              <w:t>：5.8254</w:t>
            </w:r>
            <w:r>
              <w:rPr>
                <w:rFonts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NOx：18.008t/a。由生态环境主管部门在区域内调剂。</w:t>
            </w:r>
            <w:bookmarkEnd w:id="12"/>
          </w:p>
          <w:p w14:paraId="791CD187">
            <w:pPr>
              <w:pStyle w:val="84"/>
              <w:rPr>
                <w:color w:val="auto"/>
                <w:lang w:val="en-US" w:eastAsia="zh-CN"/>
              </w:rPr>
            </w:pPr>
          </w:p>
          <w:p w14:paraId="71275612">
            <w:pPr>
              <w:pStyle w:val="84"/>
              <w:rPr>
                <w:rFonts w:hint="eastAsia"/>
                <w:color w:val="auto"/>
                <w:lang w:val="en-US" w:eastAsia="zh-CN"/>
              </w:rPr>
            </w:pPr>
          </w:p>
        </w:tc>
      </w:tr>
    </w:tbl>
    <w:p w14:paraId="08A19B48">
      <w:pPr>
        <w:pStyle w:val="30"/>
        <w:ind w:firstLine="72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3" w:name="_Toc68109905"/>
      <w:r>
        <w:rPr>
          <w:rFonts w:hint="eastAsia" w:ascii="黑体" w:hAnsi="黑体" w:eastAsia="黑体"/>
          <w:snapToGrid w:val="0"/>
          <w:color w:val="auto"/>
          <w:sz w:val="30"/>
          <w:szCs w:val="30"/>
        </w:rPr>
        <w:t>四、主要环境影响和保护措施</w:t>
      </w:r>
      <w:bookmarkEnd w:id="1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D893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0" w:hRule="atLeast"/>
          <w:jc w:val="center"/>
        </w:trPr>
        <w:tc>
          <w:tcPr>
            <w:tcW w:w="746" w:type="dxa"/>
            <w:noWrap w:val="0"/>
            <w:tcMar>
              <w:left w:w="28" w:type="dxa"/>
              <w:right w:w="28" w:type="dxa"/>
            </w:tcMar>
            <w:vAlign w:val="center"/>
          </w:tcPr>
          <w:p w14:paraId="7E7CE57C">
            <w:pPr>
              <w:pStyle w:val="30"/>
              <w:adjustRightInd w:val="0"/>
              <w:snapToGrid w:val="0"/>
              <w:spacing w:before="0" w:beforeAutospacing="0" w:after="0" w:afterAutospacing="0"/>
              <w:jc w:val="center"/>
              <w:rPr>
                <w:rFonts w:hint="eastAsia" w:cs="宋体"/>
                <w:color w:val="auto"/>
                <w:kern w:val="2"/>
                <w:sz w:val="21"/>
                <w:szCs w:val="21"/>
                <w:lang w:val="en-US" w:eastAsia="zh-CN"/>
              </w:rPr>
            </w:pPr>
            <w:r>
              <w:rPr>
                <w:rFonts w:hint="eastAsia" w:cs="宋体"/>
                <w:color w:val="auto"/>
                <w:kern w:val="2"/>
                <w:sz w:val="21"/>
                <w:szCs w:val="21"/>
                <w:lang w:val="en-US" w:eastAsia="zh-CN"/>
              </w:rPr>
              <w:t>施工</w:t>
            </w:r>
          </w:p>
          <w:p w14:paraId="45544E8D">
            <w:pPr>
              <w:pStyle w:val="30"/>
              <w:adjustRightInd w:val="0"/>
              <w:snapToGrid w:val="0"/>
              <w:spacing w:before="0" w:beforeAutospacing="0" w:after="0" w:afterAutospacing="0"/>
              <w:jc w:val="center"/>
              <w:rPr>
                <w:rFonts w:hint="eastAsia" w:cs="宋体"/>
                <w:color w:val="auto"/>
                <w:kern w:val="2"/>
                <w:sz w:val="21"/>
                <w:szCs w:val="21"/>
                <w:lang w:val="en-US" w:eastAsia="zh-CN"/>
              </w:rPr>
            </w:pPr>
            <w:r>
              <w:rPr>
                <w:rFonts w:hint="eastAsia" w:cs="宋体"/>
                <w:color w:val="auto"/>
                <w:kern w:val="2"/>
                <w:sz w:val="21"/>
                <w:szCs w:val="21"/>
                <w:lang w:val="en-US" w:eastAsia="zh-CN"/>
              </w:rPr>
              <w:t>期环</w:t>
            </w:r>
          </w:p>
          <w:p w14:paraId="739514AD">
            <w:pPr>
              <w:pStyle w:val="30"/>
              <w:adjustRightInd w:val="0"/>
              <w:snapToGrid w:val="0"/>
              <w:spacing w:before="0" w:beforeAutospacing="0" w:after="0" w:afterAutospacing="0"/>
              <w:jc w:val="center"/>
              <w:rPr>
                <w:rFonts w:hint="eastAsia" w:cs="宋体"/>
                <w:color w:val="auto"/>
                <w:kern w:val="2"/>
                <w:sz w:val="21"/>
                <w:szCs w:val="21"/>
                <w:lang w:val="en-US" w:eastAsia="zh-CN"/>
              </w:rPr>
            </w:pPr>
            <w:r>
              <w:rPr>
                <w:rFonts w:hint="eastAsia" w:cs="宋体"/>
                <w:color w:val="auto"/>
                <w:kern w:val="2"/>
                <w:sz w:val="21"/>
                <w:szCs w:val="21"/>
                <w:lang w:val="en-US" w:eastAsia="zh-CN"/>
              </w:rPr>
              <w:t>境保</w:t>
            </w:r>
          </w:p>
          <w:p w14:paraId="7C33191C">
            <w:pPr>
              <w:pStyle w:val="30"/>
              <w:adjustRightInd w:val="0"/>
              <w:snapToGrid w:val="0"/>
              <w:spacing w:before="0" w:beforeAutospacing="0" w:after="0" w:afterAutospacing="0"/>
              <w:jc w:val="center"/>
              <w:rPr>
                <w:rFonts w:hint="eastAsia" w:cs="宋体"/>
                <w:color w:val="auto"/>
                <w:kern w:val="2"/>
                <w:sz w:val="21"/>
                <w:szCs w:val="21"/>
                <w:lang w:val="en-US" w:eastAsia="zh-CN"/>
              </w:rPr>
            </w:pPr>
            <w:r>
              <w:rPr>
                <w:rFonts w:hint="eastAsia" w:cs="宋体"/>
                <w:color w:val="auto"/>
                <w:kern w:val="2"/>
                <w:sz w:val="21"/>
                <w:szCs w:val="21"/>
                <w:lang w:val="en-US" w:eastAsia="zh-CN"/>
              </w:rPr>
              <w:t>护措</w:t>
            </w:r>
          </w:p>
          <w:p w14:paraId="5916E755">
            <w:pPr>
              <w:pStyle w:val="30"/>
              <w:adjustRightInd w:val="0"/>
              <w:snapToGrid w:val="0"/>
              <w:spacing w:before="0" w:beforeAutospacing="0" w:after="0" w:afterAutospacing="0"/>
              <w:jc w:val="center"/>
              <w:rPr>
                <w:rFonts w:hint="eastAsia" w:cs="宋体"/>
                <w:bCs/>
                <w:color w:val="auto"/>
                <w:kern w:val="2"/>
                <w:sz w:val="21"/>
                <w:szCs w:val="21"/>
                <w:lang w:val="en-US" w:eastAsia="zh-CN"/>
              </w:rPr>
            </w:pPr>
            <w:r>
              <w:rPr>
                <w:rFonts w:hint="eastAsia" w:cs="宋体"/>
                <w:color w:val="auto"/>
                <w:kern w:val="2"/>
                <w:sz w:val="21"/>
                <w:szCs w:val="21"/>
                <w:lang w:val="en-US" w:eastAsia="zh-CN"/>
              </w:rPr>
              <w:t>施</w:t>
            </w:r>
          </w:p>
        </w:tc>
        <w:tc>
          <w:tcPr>
            <w:tcW w:w="8162" w:type="dxa"/>
            <w:noWrap w:val="0"/>
            <w:vAlign w:val="center"/>
          </w:tcPr>
          <w:p w14:paraId="5C2359BC">
            <w:pPr>
              <w:pStyle w:val="84"/>
              <w:rPr>
                <w:rFonts w:hint="eastAsia"/>
                <w:color w:val="auto"/>
                <w:lang w:val="en-US" w:eastAsia="zh-CN"/>
              </w:rPr>
            </w:pPr>
            <w:r>
              <w:rPr>
                <w:rFonts w:hint="eastAsia"/>
                <w:color w:val="auto"/>
                <w:lang w:val="en-US" w:eastAsia="zh-CN"/>
              </w:rPr>
              <w:t>本次技改扩建工程位于安徽廖氏玻璃科技有限公司现有厂区内，利用现有已建厂房进行技术改造，同时新建两座成品库，涉及少量土建工程。</w:t>
            </w:r>
          </w:p>
          <w:p w14:paraId="699970CF">
            <w:pPr>
              <w:pStyle w:val="84"/>
              <w:spacing w:line="440" w:lineRule="exact"/>
              <w:rPr>
                <w:rFonts w:hint="eastAsia"/>
                <w:color w:val="auto"/>
                <w:lang w:val="en-US"/>
              </w:rPr>
            </w:pPr>
            <w:r>
              <w:rPr>
                <w:rFonts w:hint="eastAsia"/>
                <w:color w:val="auto"/>
                <w:lang w:val="en-US"/>
              </w:rPr>
              <w:t>1、施工噪声</w:t>
            </w:r>
          </w:p>
          <w:p w14:paraId="33960462">
            <w:pPr>
              <w:pStyle w:val="84"/>
              <w:spacing w:line="440" w:lineRule="exact"/>
              <w:rPr>
                <w:color w:val="auto"/>
                <w:lang w:val="en-US"/>
              </w:rPr>
            </w:pPr>
            <w:r>
              <w:rPr>
                <w:rFonts w:hint="eastAsia"/>
                <w:color w:val="auto"/>
                <w:lang w:val="en-US"/>
              </w:rPr>
              <w:t>建设单位工地周围居民较少，工地施工期设置围挡，同时</w:t>
            </w:r>
            <w:r>
              <w:rPr>
                <w:color w:val="auto"/>
                <w:lang w:val="en-US"/>
              </w:rPr>
              <w:t>建设单位应提前协调好周围居民，</w:t>
            </w:r>
            <w:r>
              <w:rPr>
                <w:rFonts w:hint="eastAsia"/>
                <w:color w:val="auto"/>
                <w:lang w:val="en-US"/>
              </w:rPr>
              <w:t>合理安排施工时间（如禁止夜间和中午施工等）</w:t>
            </w:r>
            <w:r>
              <w:rPr>
                <w:color w:val="auto"/>
                <w:lang w:val="en-US"/>
              </w:rPr>
              <w:t>，</w:t>
            </w:r>
            <w:r>
              <w:rPr>
                <w:rFonts w:hint="eastAsia"/>
                <w:color w:val="auto"/>
                <w:lang w:val="en-US"/>
              </w:rPr>
              <w:t>在允许的时间内进行施工，减少夜间施工时间等。施工期间，建筑施工场界噪声应达到 GB12523—2011中的有关规定。本</w:t>
            </w:r>
            <w:r>
              <w:rPr>
                <w:color w:val="auto"/>
                <w:lang w:val="en-US"/>
              </w:rPr>
              <w:t>项目施工期的噪声对周围声环境</w:t>
            </w:r>
            <w:r>
              <w:rPr>
                <w:rFonts w:hint="eastAsia"/>
                <w:color w:val="auto"/>
                <w:lang w:val="en-US"/>
              </w:rPr>
              <w:t>的不利影响随着工程竣工，噪声影响将降低或消失。</w:t>
            </w:r>
          </w:p>
          <w:p w14:paraId="4DE0A441">
            <w:pPr>
              <w:pStyle w:val="84"/>
              <w:spacing w:line="440" w:lineRule="exact"/>
              <w:rPr>
                <w:rFonts w:hint="eastAsia"/>
                <w:color w:val="auto"/>
                <w:lang w:val="en-US"/>
              </w:rPr>
            </w:pPr>
            <w:r>
              <w:rPr>
                <w:rFonts w:hint="eastAsia"/>
                <w:color w:val="auto"/>
                <w:lang w:val="en-US"/>
              </w:rPr>
              <w:t>2、施工粉尘</w:t>
            </w:r>
          </w:p>
          <w:p w14:paraId="4DC4086E">
            <w:pPr>
              <w:pStyle w:val="84"/>
              <w:spacing w:line="440" w:lineRule="exact"/>
              <w:rPr>
                <w:color w:val="auto"/>
                <w:lang w:val="en-US"/>
              </w:rPr>
            </w:pPr>
            <w:r>
              <w:rPr>
                <w:rFonts w:hint="eastAsia"/>
                <w:color w:val="auto"/>
                <w:lang w:val="en-US"/>
              </w:rPr>
              <w:t>施工扬尘：</w:t>
            </w:r>
            <w:r>
              <w:rPr>
                <w:color w:val="auto"/>
                <w:lang w:val="en-US"/>
              </w:rPr>
              <w:t>本</w:t>
            </w:r>
            <w:r>
              <w:rPr>
                <w:rFonts w:hint="eastAsia"/>
                <w:color w:val="auto"/>
                <w:lang w:val="en-US"/>
              </w:rPr>
              <w:t>项目</w:t>
            </w:r>
            <w:r>
              <w:rPr>
                <w:color w:val="auto"/>
                <w:lang w:val="en-US"/>
              </w:rPr>
              <w:t>在施工阶段，伴随着土方的挖掘、装卸和运输等施工活动，其扬尘周围环境会有一定影响的。因此建设单位必须充分重视扬尘所带来的环境污染问题，应从车辆途经路段、车辆行驶速度以及车辆轮胎清洁度，施工工地堆场、裸露地表等方面采取合理可行的污染控制措施，最大程度减轻其污染程度。</w:t>
            </w:r>
          </w:p>
          <w:p w14:paraId="30DEA72D">
            <w:pPr>
              <w:pStyle w:val="84"/>
              <w:spacing w:line="440" w:lineRule="exact"/>
              <w:rPr>
                <w:color w:val="auto"/>
                <w:lang w:val="en-US"/>
              </w:rPr>
            </w:pPr>
            <w:r>
              <w:rPr>
                <w:color w:val="auto"/>
              </w:rPr>
              <w:t>根据《国务院关于印发大气污染防治行动计划》、《安徽省大气污染防治行动计划》、《防治城市扬尘污染技术规范》（HJ/T393-2007）、《</w:t>
            </w:r>
            <w:r>
              <w:rPr>
                <w:color w:val="auto"/>
                <w:lang w:val="en-US"/>
              </w:rPr>
              <w:t>安徽省</w:t>
            </w:r>
            <w:r>
              <w:rPr>
                <w:rFonts w:hint="eastAsia"/>
                <w:color w:val="auto"/>
                <w:lang w:val="en-US"/>
              </w:rPr>
              <w:t>建筑工程施工和预拌混凝土生产扬尘污染防治标准（试行）</w:t>
            </w:r>
            <w:r>
              <w:rPr>
                <w:color w:val="auto"/>
                <w:lang w:val="en-US"/>
              </w:rPr>
              <w:t>》</w:t>
            </w:r>
            <w:r>
              <w:rPr>
                <w:rFonts w:hint="eastAsia"/>
                <w:color w:val="auto"/>
                <w:lang w:val="en-US" w:eastAsia="zh-CN"/>
              </w:rPr>
              <w:t>、《施工场地颗粒物排放标准》（DB34/4811—2024）</w:t>
            </w:r>
            <w:r>
              <w:rPr>
                <w:color w:val="auto"/>
                <w:lang w:val="en-US"/>
              </w:rPr>
              <w:t>等相关文件要求</w:t>
            </w:r>
            <w:r>
              <w:rPr>
                <w:rFonts w:hint="eastAsia"/>
                <w:color w:val="auto"/>
                <w:lang w:val="en-US"/>
              </w:rPr>
              <w:t>，</w:t>
            </w:r>
            <w:r>
              <w:rPr>
                <w:color w:val="auto"/>
                <w:lang w:val="en-US"/>
              </w:rPr>
              <w:t>为减小施工期扬尘对周围环境产生的影响，建设单位必须充分重视扬尘所带来的环境污染问题，本环评要求采取以下措施：</w:t>
            </w:r>
          </w:p>
          <w:p w14:paraId="1136464E">
            <w:pPr>
              <w:pStyle w:val="84"/>
              <w:spacing w:line="440" w:lineRule="exact"/>
              <w:rPr>
                <w:color w:val="auto"/>
                <w:lang w:val="en-US"/>
              </w:rPr>
            </w:pPr>
            <w:r>
              <w:rPr>
                <w:color w:val="auto"/>
                <w:lang w:val="en-US"/>
              </w:rPr>
              <w:t>为减小施工期扬尘对周围环境产生的影响，建设单位必须充分重视扬尘所带来的环境污染问题，本环评建议采取以下措施：</w:t>
            </w:r>
          </w:p>
          <w:p w14:paraId="64FE7132">
            <w:pPr>
              <w:pStyle w:val="84"/>
              <w:spacing w:line="440" w:lineRule="exact"/>
              <w:rPr>
                <w:rFonts w:hint="eastAsia"/>
                <w:color w:val="auto"/>
                <w:lang w:val="en-US" w:eastAsia="zh-CN"/>
              </w:rPr>
            </w:pPr>
            <w:r>
              <w:rPr>
                <w:rFonts w:hint="eastAsia"/>
                <w:color w:val="auto"/>
                <w:lang w:val="en-US" w:eastAsia="zh-CN"/>
              </w:rPr>
              <w:t>（1）、建筑工程施工现场扬尘污染防治应做到工地周边围挡、物料堆放覆盖、路面硬化、土方开挖湿法作业、出入车辆清洗、渣土车辆密闭运输“六个百分之百”。</w:t>
            </w:r>
          </w:p>
          <w:p w14:paraId="4D9676FC">
            <w:pPr>
              <w:pStyle w:val="84"/>
              <w:spacing w:line="440" w:lineRule="exact"/>
              <w:rPr>
                <w:rFonts w:hint="eastAsia"/>
                <w:color w:val="auto"/>
                <w:lang w:val="en-US" w:eastAsia="zh-CN"/>
              </w:rPr>
            </w:pPr>
            <w:r>
              <w:rPr>
                <w:rFonts w:hint="eastAsia"/>
                <w:color w:val="auto"/>
                <w:lang w:val="en-US" w:eastAsia="zh-CN"/>
              </w:rPr>
              <w:t>（2）、建筑工程施工现场和预拌混凝土生产厂（站）应建立扬尘控制责任制度；对扬尘污染防治进行动态管理。</w:t>
            </w:r>
          </w:p>
          <w:p w14:paraId="1E7D2331">
            <w:pPr>
              <w:pStyle w:val="84"/>
              <w:spacing w:line="440" w:lineRule="exact"/>
              <w:rPr>
                <w:rFonts w:hint="eastAsia"/>
                <w:color w:val="auto"/>
                <w:lang w:val="en-US" w:eastAsia="zh-CN"/>
              </w:rPr>
            </w:pPr>
            <w:r>
              <w:rPr>
                <w:rFonts w:hint="eastAsia"/>
                <w:color w:val="auto"/>
                <w:lang w:val="en-US" w:eastAsia="zh-CN"/>
              </w:rPr>
              <w:t>（3）、按照重污染天气黄色、橙色和红色三个预警响应级别，针对扬尘污染防治特点，应采取洒水降尘、局部停工、全面停工等应急响应措施。</w:t>
            </w:r>
          </w:p>
          <w:p w14:paraId="198C2E52">
            <w:pPr>
              <w:pStyle w:val="84"/>
              <w:spacing w:line="440" w:lineRule="exact"/>
              <w:rPr>
                <w:rFonts w:hint="eastAsia"/>
                <w:color w:val="auto"/>
                <w:lang w:val="en-US" w:eastAsia="zh-CN"/>
              </w:rPr>
            </w:pPr>
            <w:r>
              <w:rPr>
                <w:rFonts w:hint="eastAsia"/>
                <w:color w:val="auto"/>
                <w:lang w:val="en-US" w:eastAsia="zh-CN"/>
              </w:rPr>
              <w:t>（4）、建筑工程施工、预拌混凝土生产场所均应安装在线监测与视频监控系统。在线监测设备应能监测温度、湿度、风速、PM</w:t>
            </w:r>
            <w:r>
              <w:rPr>
                <w:rFonts w:hint="eastAsia"/>
                <w:color w:val="auto"/>
                <w:vertAlign w:val="subscript"/>
                <w:lang w:val="en-US" w:eastAsia="zh-CN"/>
              </w:rPr>
              <w:t>2.5</w:t>
            </w:r>
            <w:r>
              <w:rPr>
                <w:rFonts w:hint="eastAsia"/>
                <w:color w:val="auto"/>
                <w:lang w:val="en-US" w:eastAsia="zh-CN"/>
              </w:rPr>
              <w:t>、PM</w:t>
            </w:r>
            <w:r>
              <w:rPr>
                <w:rFonts w:hint="eastAsia"/>
                <w:color w:val="auto"/>
                <w:vertAlign w:val="subscript"/>
                <w:lang w:val="en-US" w:eastAsia="zh-CN"/>
              </w:rPr>
              <w:t>10</w:t>
            </w:r>
            <w:r>
              <w:rPr>
                <w:rFonts w:hint="eastAsia"/>
                <w:color w:val="auto"/>
                <w:lang w:val="en-US" w:eastAsia="zh-CN"/>
              </w:rPr>
              <w:t>等指标，视频监控设备应配置摄像和在线传输功能。</w:t>
            </w:r>
          </w:p>
          <w:p w14:paraId="251E44ED">
            <w:pPr>
              <w:pStyle w:val="84"/>
              <w:spacing w:line="440" w:lineRule="exact"/>
              <w:rPr>
                <w:rFonts w:hint="eastAsia"/>
                <w:color w:val="auto"/>
                <w:lang w:val="en-US" w:eastAsia="zh-CN"/>
              </w:rPr>
            </w:pPr>
            <w:r>
              <w:rPr>
                <w:rFonts w:hint="eastAsia"/>
                <w:color w:val="auto"/>
                <w:lang w:val="en-US" w:eastAsia="zh-CN"/>
              </w:rPr>
              <w:t>（5）、扬尘污染防治责任单位应建立扬尘污染防治检查制度，组织开展日常巡查、定期检查和不定期抽查，并填写相关检查记录。</w:t>
            </w:r>
          </w:p>
          <w:p w14:paraId="2997D3FC">
            <w:pPr>
              <w:pStyle w:val="84"/>
              <w:spacing w:line="440" w:lineRule="exact"/>
              <w:rPr>
                <w:rFonts w:hint="eastAsia"/>
                <w:color w:val="auto"/>
                <w:lang w:val="en-US" w:eastAsia="zh-CN"/>
              </w:rPr>
            </w:pPr>
            <w:r>
              <w:rPr>
                <w:rFonts w:hint="eastAsia"/>
                <w:color w:val="auto"/>
                <w:lang w:val="en-US" w:eastAsia="zh-CN"/>
              </w:rPr>
              <w:t>（6）、建设单位应组织监理单位、施工单位每月对工程项目开展一次扬尘污染防治综合检查。</w:t>
            </w:r>
          </w:p>
          <w:p w14:paraId="595AC02D">
            <w:pPr>
              <w:pStyle w:val="84"/>
              <w:spacing w:line="440" w:lineRule="exact"/>
              <w:rPr>
                <w:color w:val="auto"/>
                <w:lang w:val="en-US" w:eastAsia="zh-CN"/>
              </w:rPr>
            </w:pPr>
            <w:r>
              <w:rPr>
                <w:rFonts w:hint="eastAsia"/>
                <w:color w:val="auto"/>
                <w:lang w:val="en-US" w:eastAsia="zh-CN"/>
              </w:rPr>
              <w:t>（7）、施工现场总平面布置应充分考虑扬尘污染防治需要，做到施工、办公、生活和材料加工四区分离并应采取相应的隔离措施，布局合理、功能分区明确。施工现场应按施工扬尘控制方案要求配备车辆冲洗台、雾炮机、洒水车、喷雾设施、吸尘器、除尘器等必要的扬尘污染防治设备、设施、机具、材料等资源；并经总监理工程师组织建设单位、施工单位联合验收并签字确认后进场。施工现场道路、作业区、加工场、楼层等应保持干净整洁、无浮土积灰。不得在未实施洒水等措施情况下进行直接清扫。施工单位应及时清运工程施工过程中产生的建筑垃圾，并按照当地政府市容环境卫生主管部门的规定处置，防止污染环境。施工现场土方堆放时，除应采取覆盖防尘网、绿化等防尘措施，并适时洒水。</w:t>
            </w:r>
          </w:p>
          <w:p w14:paraId="232B5F31">
            <w:pPr>
              <w:pStyle w:val="84"/>
              <w:spacing w:line="440" w:lineRule="exact"/>
              <w:rPr>
                <w:color w:val="auto"/>
                <w:lang w:val="en-US"/>
              </w:rPr>
            </w:pPr>
            <w:r>
              <w:rPr>
                <w:color w:val="auto"/>
                <w:lang w:val="en-US"/>
              </w:rPr>
              <w:t>施工期间各类施工机械流动性强，所产生的机械废气较为分散，在易于扩散的气象条件下，施工机械尾气对周围环境影响不会很大</w:t>
            </w:r>
            <w:r>
              <w:rPr>
                <w:rFonts w:hint="eastAsia"/>
                <w:color w:val="auto"/>
                <w:lang w:val="en-US"/>
              </w:rPr>
              <w:t>，主要对作业点周围及运输路线两侧产生一定的影响，排放量不大</w:t>
            </w:r>
            <w:r>
              <w:rPr>
                <w:color w:val="auto"/>
                <w:lang w:val="en-US"/>
              </w:rPr>
              <w:t>。</w:t>
            </w:r>
          </w:p>
          <w:p w14:paraId="5796551F">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3、施工废水</w:t>
            </w:r>
          </w:p>
          <w:p w14:paraId="67FA52E0">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施工期废水排放主要是施工现场工人生活区排放的生活污水、施工活动中排放的各类生产废水、地表裸露破坏引起的水土流失等。施工期不同阶段施工人数不尽相同，施工高峰期人员按</w:t>
            </w:r>
            <w:r>
              <w:rPr>
                <w:rFonts w:hint="eastAsia"/>
                <w:color w:val="auto"/>
                <w:lang w:val="en-US" w:eastAsia="zh-CN"/>
              </w:rPr>
              <w:t>2</w:t>
            </w:r>
            <w:r>
              <w:rPr>
                <w:rFonts w:hint="eastAsia"/>
                <w:color w:val="auto"/>
                <w:lang w:val="en-US"/>
              </w:rPr>
              <w:t>0人计算，人均用水量以50L/d计，排放系数取0.8，则人均生活污水产生量为</w:t>
            </w:r>
            <w:r>
              <w:rPr>
                <w:rFonts w:hint="eastAsia"/>
                <w:color w:val="auto"/>
                <w:lang w:val="en-US" w:eastAsia="zh-CN"/>
              </w:rPr>
              <w:t>4</w:t>
            </w:r>
            <w:r>
              <w:rPr>
                <w:rFonts w:hint="eastAsia"/>
                <w:color w:val="auto"/>
                <w:lang w:val="en-US"/>
              </w:rPr>
              <w:t>0L/d，即生活污水排放量为</w:t>
            </w:r>
            <w:r>
              <w:rPr>
                <w:rFonts w:hint="eastAsia"/>
                <w:color w:val="auto"/>
                <w:lang w:val="en-US" w:eastAsia="zh-CN"/>
              </w:rPr>
              <w:t>0.8</w:t>
            </w:r>
            <w:r>
              <w:rPr>
                <w:rFonts w:hint="eastAsia"/>
                <w:color w:val="auto"/>
                <w:lang w:val="en-US"/>
              </w:rPr>
              <w:t>t/d，主要污染物COD、NH</w:t>
            </w:r>
            <w:r>
              <w:rPr>
                <w:rFonts w:hint="eastAsia"/>
                <w:color w:val="auto"/>
                <w:vertAlign w:val="subscript"/>
                <w:lang w:val="en-US"/>
              </w:rPr>
              <w:t>3</w:t>
            </w:r>
            <w:r>
              <w:rPr>
                <w:rFonts w:hint="eastAsia"/>
                <w:color w:val="auto"/>
                <w:lang w:val="en-US"/>
              </w:rPr>
              <w:t>-N浓度分别取500mg/L、35mg/L，则废水中主要污染物产生量分别为</w:t>
            </w:r>
            <w:r>
              <w:rPr>
                <w:rFonts w:hint="eastAsia"/>
                <w:color w:val="auto"/>
                <w:lang w:val="en-US" w:eastAsia="zh-CN"/>
              </w:rPr>
              <w:t>：</w:t>
            </w:r>
            <w:r>
              <w:rPr>
                <w:rFonts w:hint="eastAsia"/>
                <w:color w:val="auto"/>
                <w:lang w:val="en-US"/>
              </w:rPr>
              <w:t>COD0.</w:t>
            </w:r>
            <w:r>
              <w:rPr>
                <w:rFonts w:hint="eastAsia"/>
                <w:color w:val="auto"/>
                <w:lang w:val="en-US" w:eastAsia="zh-CN"/>
              </w:rPr>
              <w:t>4</w:t>
            </w:r>
            <w:r>
              <w:rPr>
                <w:rFonts w:hint="eastAsia"/>
                <w:color w:val="auto"/>
                <w:lang w:val="en-US"/>
              </w:rPr>
              <w:t>kg/d，NH</w:t>
            </w:r>
            <w:r>
              <w:rPr>
                <w:rFonts w:hint="eastAsia"/>
                <w:color w:val="auto"/>
                <w:vertAlign w:val="subscript"/>
                <w:lang w:val="en-US"/>
              </w:rPr>
              <w:t>3</w:t>
            </w:r>
            <w:r>
              <w:rPr>
                <w:rFonts w:hint="eastAsia"/>
                <w:color w:val="auto"/>
                <w:lang w:val="en-US"/>
              </w:rPr>
              <w:t>-N 0.00</w:t>
            </w:r>
            <w:r>
              <w:rPr>
                <w:rFonts w:hint="eastAsia"/>
                <w:color w:val="auto"/>
                <w:lang w:val="en-US" w:eastAsia="zh-CN"/>
              </w:rPr>
              <w:t>28</w:t>
            </w:r>
            <w:r>
              <w:rPr>
                <w:rFonts w:hint="eastAsia"/>
                <w:color w:val="auto"/>
                <w:lang w:val="en-US"/>
              </w:rPr>
              <w:t>kg/d。生活污水可依托厂区</w:t>
            </w:r>
            <w:r>
              <w:rPr>
                <w:rFonts w:hint="eastAsia"/>
                <w:color w:val="auto"/>
                <w:lang w:val="en-US" w:eastAsia="zh-CN"/>
              </w:rPr>
              <w:t>现有</w:t>
            </w:r>
            <w:r>
              <w:rPr>
                <w:rFonts w:hint="eastAsia"/>
                <w:color w:val="auto"/>
                <w:lang w:val="en-US"/>
              </w:rPr>
              <w:t>化粪池等，不外排。</w:t>
            </w:r>
          </w:p>
          <w:p w14:paraId="7BC166C6">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生产废水主要包括车辆冲洗废水，主要污染物有悬浮物、COD、油类等。车辆冲洗装置冲洗水压不应小于0.3MPa，冲洗时间不宜少于3min。废水设沉淀池收集后可部分回用，少量泼洒场地，对环境影响较小。</w:t>
            </w:r>
          </w:p>
          <w:p w14:paraId="5AC4D954">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4、施工固体废物</w:t>
            </w:r>
          </w:p>
          <w:p w14:paraId="531F7457">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施工期固体废弃物主要为建筑垃圾、开挖士方和施工人员的生活垃圾，建筑垃圾包括施工过程中丢弃的包装袋、废建材等，企业应妥善安排收集，回收可利用的固体废物，不可利用废物按照</w:t>
            </w:r>
            <w:r>
              <w:rPr>
                <w:rFonts w:hint="eastAsia"/>
                <w:color w:val="auto"/>
                <w:lang w:val="en-US" w:eastAsia="zh-CN"/>
              </w:rPr>
              <w:t>淮南市</w:t>
            </w:r>
            <w:r>
              <w:rPr>
                <w:rFonts w:hint="eastAsia"/>
                <w:color w:val="auto"/>
                <w:lang w:val="en-US"/>
              </w:rPr>
              <w:t>建筑垃圾管理要求进行处置。挖方可作为绿化的回填土，做到填挖平衡。</w:t>
            </w:r>
          </w:p>
          <w:p w14:paraId="1DEF55A1">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施工期间施工高峰期人员按</w:t>
            </w:r>
            <w:r>
              <w:rPr>
                <w:rFonts w:hint="eastAsia"/>
                <w:color w:val="auto"/>
                <w:lang w:val="en-US" w:eastAsia="zh-CN"/>
              </w:rPr>
              <w:t>2</w:t>
            </w:r>
            <w:r>
              <w:rPr>
                <w:rFonts w:hint="eastAsia"/>
                <w:color w:val="auto"/>
                <w:lang w:val="en-US"/>
              </w:rPr>
              <w:t>0人计算，人均生活垃圾产生量以0.5kg/d计，则施工人员生活垃圾产生量为0.0</w:t>
            </w:r>
            <w:r>
              <w:rPr>
                <w:rFonts w:hint="eastAsia"/>
                <w:color w:val="auto"/>
                <w:lang w:val="en-US" w:eastAsia="zh-CN"/>
              </w:rPr>
              <w:t>1</w:t>
            </w:r>
            <w:r>
              <w:rPr>
                <w:rFonts w:hint="eastAsia"/>
                <w:color w:val="auto"/>
                <w:lang w:val="en-US"/>
              </w:rPr>
              <w:t>t/d，生活垃圾由环卫部门处理。</w:t>
            </w:r>
          </w:p>
          <w:p w14:paraId="3004D6E8">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rPr>
            </w:pPr>
            <w:r>
              <w:rPr>
                <w:rFonts w:hint="eastAsia"/>
                <w:color w:val="auto"/>
                <w:lang w:val="en-US"/>
              </w:rPr>
              <w:t>5、水土流失</w:t>
            </w:r>
          </w:p>
          <w:p w14:paraId="0513A873">
            <w:pPr>
              <w:pStyle w:val="8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rPr>
              <w:t>本项目建设过程中工程开挖、回填、临时表土堆放等均可能对项目地水土流失产生影响。由于施工阶段是短期行为，本工程施工范围有限仅限在园区征地范围内，不会产生严重的水土流失现象。</w:t>
            </w:r>
          </w:p>
        </w:tc>
      </w:tr>
      <w:tr w14:paraId="1D2F2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746" w:type="dxa"/>
            <w:noWrap w:val="0"/>
            <w:tcMar>
              <w:left w:w="28" w:type="dxa"/>
              <w:right w:w="28" w:type="dxa"/>
            </w:tcMar>
            <w:vAlign w:val="center"/>
          </w:tcPr>
          <w:p w14:paraId="767FE67E">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6328DEEC">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092EDE4">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0191784A">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2F6563BB">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1851A781">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252F31F6">
            <w:pPr>
              <w:pStyle w:val="84"/>
              <w:ind w:firstLine="422"/>
              <w:rPr>
                <w:b/>
                <w:bCs w:val="0"/>
                <w:color w:val="auto"/>
                <w:lang w:val="en-US" w:eastAsia="zh-CN"/>
              </w:rPr>
            </w:pPr>
            <w:r>
              <w:rPr>
                <w:rFonts w:hint="eastAsia"/>
                <w:b/>
                <w:bCs w:val="0"/>
                <w:color w:val="auto"/>
                <w:lang w:val="en-US" w:eastAsia="zh-CN"/>
              </w:rPr>
              <w:t>1、废气</w:t>
            </w:r>
          </w:p>
          <w:p w14:paraId="5C65FC49">
            <w:pPr>
              <w:pStyle w:val="84"/>
              <w:rPr>
                <w:color w:val="auto"/>
                <w:lang w:val="en-US" w:eastAsia="zh-CN"/>
              </w:rPr>
            </w:pPr>
            <w:r>
              <w:rPr>
                <w:rFonts w:hint="eastAsia"/>
                <w:color w:val="auto"/>
                <w:lang w:val="en-US" w:eastAsia="zh-CN"/>
              </w:rPr>
              <w:t>本次技改扩建工程废气产排情况见表4-</w:t>
            </w:r>
            <w:r>
              <w:rPr>
                <w:color w:val="auto"/>
                <w:lang w:val="en-US" w:eastAsia="zh-CN"/>
              </w:rPr>
              <w:t>1</w:t>
            </w:r>
            <w:r>
              <w:rPr>
                <w:rFonts w:hint="eastAsia"/>
                <w:color w:val="auto"/>
                <w:lang w:val="en-US" w:eastAsia="zh-CN"/>
              </w:rPr>
              <w:t>。</w:t>
            </w:r>
          </w:p>
          <w:p w14:paraId="2AFEDD79">
            <w:pPr>
              <w:pStyle w:val="84"/>
              <w:rPr>
                <w:color w:val="auto"/>
                <w:lang w:val="en-US" w:eastAsia="zh-CN"/>
              </w:rPr>
            </w:pPr>
            <w:r>
              <w:rPr>
                <w:rFonts w:hint="eastAsia"/>
                <w:color w:val="auto"/>
                <w:lang w:val="en-US" w:eastAsia="zh-CN"/>
              </w:rPr>
              <w:t>本次技改扩建工程大气污染物排口信息及排放标准汇总见表4-</w:t>
            </w:r>
            <w:r>
              <w:rPr>
                <w:color w:val="auto"/>
                <w:lang w:val="en-US" w:eastAsia="zh-CN"/>
              </w:rPr>
              <w:t>2</w:t>
            </w:r>
            <w:r>
              <w:rPr>
                <w:rFonts w:hint="eastAsia"/>
                <w:color w:val="auto"/>
                <w:lang w:val="en-US" w:eastAsia="zh-CN"/>
              </w:rPr>
              <w:t>。</w:t>
            </w:r>
          </w:p>
          <w:p w14:paraId="1442422E">
            <w:pPr>
              <w:pStyle w:val="84"/>
              <w:rPr>
                <w:color w:val="auto"/>
                <w:lang w:val="en-US" w:eastAsia="zh-CN"/>
              </w:rPr>
            </w:pPr>
            <w:r>
              <w:rPr>
                <w:rFonts w:hint="eastAsia"/>
                <w:color w:val="auto"/>
                <w:lang w:val="en-US" w:eastAsia="zh-CN"/>
              </w:rPr>
              <w:t>本次技改扩建工程大气污染物无组织排放信息汇总见表4-</w:t>
            </w:r>
            <w:r>
              <w:rPr>
                <w:color w:val="auto"/>
                <w:lang w:val="en-US" w:eastAsia="zh-CN"/>
              </w:rPr>
              <w:t>3</w:t>
            </w:r>
            <w:r>
              <w:rPr>
                <w:rFonts w:hint="eastAsia"/>
                <w:color w:val="auto"/>
                <w:lang w:val="en-US" w:eastAsia="zh-CN"/>
              </w:rPr>
              <w:t>。</w:t>
            </w:r>
          </w:p>
          <w:p w14:paraId="019C6E76">
            <w:pPr>
              <w:pStyle w:val="84"/>
              <w:rPr>
                <w:color w:val="auto"/>
                <w:lang w:val="en-US" w:eastAsia="zh-CN"/>
              </w:rPr>
            </w:pPr>
            <w:r>
              <w:rPr>
                <w:rFonts w:hint="eastAsia"/>
                <w:color w:val="auto"/>
                <w:lang w:val="en-US" w:eastAsia="zh-CN"/>
              </w:rPr>
              <w:t>根据《排污许可证申请与核发技术规范 总则》（HJ942—2018）中主要排放口确定本项目废气污染源例行监测要求汇总见表4-</w:t>
            </w:r>
            <w:r>
              <w:rPr>
                <w:color w:val="auto"/>
                <w:lang w:val="en-US" w:eastAsia="zh-CN"/>
              </w:rPr>
              <w:t>4</w:t>
            </w:r>
            <w:r>
              <w:rPr>
                <w:rFonts w:hint="eastAsia"/>
                <w:color w:val="auto"/>
                <w:lang w:val="en-US" w:eastAsia="zh-CN"/>
              </w:rPr>
              <w:t>。</w:t>
            </w:r>
          </w:p>
          <w:p w14:paraId="197113C1">
            <w:pPr>
              <w:pStyle w:val="84"/>
              <w:ind w:firstLine="400"/>
              <w:rPr>
                <w:rFonts w:ascii="宋体" w:hAnsi="宋体" w:cs="宋体"/>
                <w:bCs w:val="0"/>
                <w:color w:val="auto"/>
                <w:spacing w:val="-10"/>
                <w:lang w:val="en-US" w:eastAsia="zh-CN"/>
              </w:rPr>
            </w:pPr>
          </w:p>
          <w:p w14:paraId="5570DA11">
            <w:pPr>
              <w:pStyle w:val="84"/>
              <w:ind w:firstLine="400"/>
              <w:rPr>
                <w:rFonts w:ascii="宋体" w:hAnsi="宋体" w:cs="宋体"/>
                <w:bCs w:val="0"/>
                <w:color w:val="auto"/>
                <w:spacing w:val="-10"/>
                <w:lang w:val="en-US" w:eastAsia="zh-CN"/>
              </w:rPr>
            </w:pPr>
          </w:p>
          <w:p w14:paraId="72436B7C">
            <w:pPr>
              <w:pStyle w:val="84"/>
              <w:ind w:firstLine="400"/>
              <w:rPr>
                <w:rFonts w:ascii="宋体" w:hAnsi="宋体" w:cs="宋体"/>
                <w:bCs w:val="0"/>
                <w:color w:val="auto"/>
                <w:spacing w:val="-10"/>
                <w:lang w:val="en-US" w:eastAsia="zh-CN"/>
              </w:rPr>
            </w:pPr>
          </w:p>
          <w:p w14:paraId="13E53E36">
            <w:pPr>
              <w:pStyle w:val="84"/>
              <w:ind w:firstLine="400"/>
              <w:rPr>
                <w:rFonts w:ascii="宋体" w:hAnsi="宋体" w:cs="宋体"/>
                <w:bCs w:val="0"/>
                <w:color w:val="auto"/>
                <w:spacing w:val="-10"/>
                <w:lang w:val="en-US" w:eastAsia="zh-CN"/>
              </w:rPr>
            </w:pPr>
          </w:p>
          <w:p w14:paraId="214388EB">
            <w:pPr>
              <w:pStyle w:val="84"/>
              <w:ind w:firstLine="400"/>
              <w:rPr>
                <w:rFonts w:ascii="宋体" w:hAnsi="宋体" w:cs="宋体"/>
                <w:bCs w:val="0"/>
                <w:color w:val="auto"/>
                <w:spacing w:val="-10"/>
                <w:lang w:val="en-US" w:eastAsia="zh-CN"/>
              </w:rPr>
            </w:pPr>
          </w:p>
          <w:p w14:paraId="465D3A73">
            <w:pPr>
              <w:pStyle w:val="84"/>
              <w:ind w:firstLine="400"/>
              <w:rPr>
                <w:rFonts w:ascii="宋体" w:hAnsi="宋体" w:cs="宋体"/>
                <w:bCs w:val="0"/>
                <w:color w:val="auto"/>
                <w:spacing w:val="-10"/>
                <w:lang w:val="en-US" w:eastAsia="zh-CN"/>
              </w:rPr>
            </w:pPr>
          </w:p>
          <w:p w14:paraId="26E9BCFF">
            <w:pPr>
              <w:pStyle w:val="84"/>
              <w:ind w:firstLine="400"/>
              <w:rPr>
                <w:rFonts w:ascii="宋体" w:hAnsi="宋体" w:cs="宋体"/>
                <w:bCs w:val="0"/>
                <w:color w:val="auto"/>
                <w:spacing w:val="-10"/>
                <w:lang w:val="en-US" w:eastAsia="zh-CN"/>
              </w:rPr>
            </w:pPr>
          </w:p>
          <w:p w14:paraId="52FA05AC">
            <w:pPr>
              <w:pStyle w:val="84"/>
              <w:ind w:firstLine="400"/>
              <w:rPr>
                <w:rFonts w:ascii="宋体" w:hAnsi="宋体" w:cs="宋体"/>
                <w:bCs w:val="0"/>
                <w:color w:val="auto"/>
                <w:spacing w:val="-10"/>
                <w:lang w:val="en-US" w:eastAsia="zh-CN"/>
              </w:rPr>
            </w:pPr>
          </w:p>
          <w:p w14:paraId="0E388700">
            <w:pPr>
              <w:pStyle w:val="84"/>
              <w:ind w:firstLine="400"/>
              <w:rPr>
                <w:rFonts w:hint="eastAsia" w:ascii="宋体" w:hAnsi="宋体" w:cs="宋体"/>
                <w:bCs w:val="0"/>
                <w:color w:val="auto"/>
                <w:spacing w:val="-10"/>
                <w:lang w:val="en-US" w:eastAsia="zh-CN"/>
              </w:rPr>
            </w:pPr>
          </w:p>
          <w:p w14:paraId="0AEA05D9">
            <w:pPr>
              <w:pStyle w:val="84"/>
              <w:ind w:firstLine="400"/>
              <w:rPr>
                <w:rFonts w:hint="eastAsia" w:ascii="宋体" w:hAnsi="宋体" w:cs="宋体"/>
                <w:bCs w:val="0"/>
                <w:color w:val="auto"/>
                <w:spacing w:val="-10"/>
                <w:lang w:val="en-US" w:eastAsia="zh-CN"/>
              </w:rPr>
            </w:pPr>
          </w:p>
        </w:tc>
      </w:tr>
    </w:tbl>
    <w:p w14:paraId="1C6CAA93">
      <w:pPr>
        <w:tabs>
          <w:tab w:val="left" w:pos="1785"/>
        </w:tabs>
        <w:rPr>
          <w:rFonts w:ascii="宋体" w:cs="宋体"/>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ascii="宋体" w:cs="宋体"/>
          <w:color w:val="auto"/>
          <w:sz w:val="28"/>
          <w:szCs w:val="28"/>
        </w:rPr>
        <w:tab/>
      </w:r>
    </w:p>
    <w:p w14:paraId="157F51CE">
      <w:pPr>
        <w:pStyle w:val="86"/>
        <w:rPr>
          <w:color w:val="auto"/>
        </w:rPr>
      </w:pPr>
      <w:r>
        <w:rPr>
          <w:rFonts w:hint="eastAsia"/>
          <w:color w:val="auto"/>
        </w:rPr>
        <w:t>表</w:t>
      </w:r>
      <w:r>
        <w:rPr>
          <w:color w:val="auto"/>
        </w:rPr>
        <w:t>4</w:t>
      </w:r>
      <w:r>
        <w:rPr>
          <w:rFonts w:hint="eastAsia"/>
          <w:color w:val="auto"/>
        </w:rPr>
        <w:t>-</w:t>
      </w:r>
      <w:r>
        <w:rPr>
          <w:color w:val="auto"/>
        </w:rPr>
        <w:t xml:space="preserve">1 </w:t>
      </w:r>
      <w:r>
        <w:rPr>
          <w:rFonts w:hint="eastAsia"/>
          <w:color w:val="auto"/>
        </w:rPr>
        <w:t xml:space="preserve"> 废气产排污节点、污染物产排及污染治理设施信息表</w:t>
      </w:r>
    </w:p>
    <w:tbl>
      <w:tblPr>
        <w:tblStyle w:val="35"/>
        <w:tblW w:w="55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922"/>
        <w:gridCol w:w="611"/>
        <w:gridCol w:w="831"/>
        <w:gridCol w:w="863"/>
        <w:gridCol w:w="878"/>
        <w:gridCol w:w="955"/>
        <w:gridCol w:w="887"/>
        <w:gridCol w:w="1263"/>
        <w:gridCol w:w="716"/>
        <w:gridCol w:w="1017"/>
        <w:gridCol w:w="711"/>
        <w:gridCol w:w="745"/>
        <w:gridCol w:w="784"/>
        <w:gridCol w:w="928"/>
        <w:gridCol w:w="961"/>
        <w:gridCol w:w="914"/>
      </w:tblGrid>
      <w:tr w14:paraId="01B2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restart"/>
            <w:noWrap w:val="0"/>
            <w:vAlign w:val="center"/>
          </w:tcPr>
          <w:p w14:paraId="132CD821">
            <w:pPr>
              <w:widowControl/>
              <w:jc w:val="center"/>
              <w:rPr>
                <w:color w:val="auto"/>
                <w:kern w:val="0"/>
                <w:sz w:val="18"/>
                <w:szCs w:val="18"/>
              </w:rPr>
            </w:pPr>
            <w:bookmarkStart w:id="14" w:name="_Hlk96370466"/>
            <w:r>
              <w:rPr>
                <w:color w:val="auto"/>
                <w:kern w:val="0"/>
                <w:sz w:val="18"/>
                <w:szCs w:val="18"/>
              </w:rPr>
              <w:t>工序</w:t>
            </w:r>
          </w:p>
        </w:tc>
        <w:tc>
          <w:tcPr>
            <w:tcW w:w="312" w:type="pct"/>
            <w:vMerge w:val="restart"/>
            <w:noWrap w:val="0"/>
            <w:vAlign w:val="center"/>
          </w:tcPr>
          <w:p w14:paraId="1C9ABFD9">
            <w:pPr>
              <w:widowControl/>
              <w:jc w:val="center"/>
              <w:rPr>
                <w:color w:val="auto"/>
                <w:kern w:val="0"/>
                <w:sz w:val="18"/>
                <w:szCs w:val="18"/>
              </w:rPr>
            </w:pPr>
            <w:r>
              <w:rPr>
                <w:color w:val="auto"/>
                <w:kern w:val="0"/>
                <w:sz w:val="18"/>
                <w:szCs w:val="18"/>
              </w:rPr>
              <w:t>污染物</w:t>
            </w:r>
          </w:p>
        </w:tc>
        <w:tc>
          <w:tcPr>
            <w:tcW w:w="207" w:type="pct"/>
            <w:vMerge w:val="restart"/>
            <w:noWrap w:val="0"/>
            <w:vAlign w:val="center"/>
          </w:tcPr>
          <w:p w14:paraId="4E1F1F80">
            <w:pPr>
              <w:widowControl/>
              <w:jc w:val="center"/>
              <w:rPr>
                <w:color w:val="auto"/>
                <w:kern w:val="0"/>
                <w:sz w:val="18"/>
                <w:szCs w:val="18"/>
              </w:rPr>
            </w:pPr>
            <w:r>
              <w:rPr>
                <w:color w:val="auto"/>
                <w:kern w:val="0"/>
                <w:sz w:val="18"/>
                <w:szCs w:val="18"/>
              </w:rPr>
              <w:t>核算方法</w:t>
            </w:r>
          </w:p>
        </w:tc>
        <w:tc>
          <w:tcPr>
            <w:tcW w:w="1193" w:type="pct"/>
            <w:gridSpan w:val="4"/>
            <w:vMerge w:val="restart"/>
            <w:noWrap w:val="0"/>
            <w:vAlign w:val="center"/>
          </w:tcPr>
          <w:p w14:paraId="642E8EFA">
            <w:pPr>
              <w:widowControl/>
              <w:jc w:val="center"/>
              <w:rPr>
                <w:color w:val="auto"/>
                <w:kern w:val="0"/>
                <w:sz w:val="18"/>
                <w:szCs w:val="18"/>
              </w:rPr>
            </w:pPr>
            <w:r>
              <w:rPr>
                <w:color w:val="auto"/>
                <w:kern w:val="0"/>
                <w:sz w:val="18"/>
                <w:szCs w:val="18"/>
              </w:rPr>
              <w:t>污染物产生情况</w:t>
            </w:r>
          </w:p>
        </w:tc>
        <w:tc>
          <w:tcPr>
            <w:tcW w:w="1313" w:type="pct"/>
            <w:gridSpan w:val="4"/>
            <w:vMerge w:val="restart"/>
            <w:noWrap w:val="0"/>
            <w:vAlign w:val="center"/>
          </w:tcPr>
          <w:p w14:paraId="35FAA85D">
            <w:pPr>
              <w:widowControl/>
              <w:jc w:val="center"/>
              <w:rPr>
                <w:color w:val="auto"/>
                <w:kern w:val="0"/>
                <w:sz w:val="18"/>
                <w:szCs w:val="18"/>
              </w:rPr>
            </w:pPr>
            <w:r>
              <w:rPr>
                <w:color w:val="auto"/>
                <w:kern w:val="0"/>
                <w:sz w:val="18"/>
                <w:szCs w:val="18"/>
              </w:rPr>
              <w:t>治理设施</w:t>
            </w:r>
          </w:p>
        </w:tc>
        <w:tc>
          <w:tcPr>
            <w:tcW w:w="0" w:type="auto"/>
            <w:gridSpan w:val="5"/>
            <w:noWrap w:val="0"/>
            <w:vAlign w:val="center"/>
          </w:tcPr>
          <w:p w14:paraId="228370C3">
            <w:pPr>
              <w:widowControl/>
              <w:jc w:val="center"/>
              <w:rPr>
                <w:color w:val="auto"/>
                <w:kern w:val="0"/>
                <w:sz w:val="18"/>
                <w:szCs w:val="18"/>
              </w:rPr>
            </w:pPr>
            <w:r>
              <w:rPr>
                <w:color w:val="auto"/>
                <w:kern w:val="0"/>
                <w:sz w:val="18"/>
                <w:szCs w:val="18"/>
              </w:rPr>
              <w:t>污染物排放情况</w:t>
            </w:r>
          </w:p>
        </w:tc>
        <w:tc>
          <w:tcPr>
            <w:tcW w:w="0" w:type="auto"/>
            <w:vMerge w:val="restart"/>
            <w:noWrap w:val="0"/>
            <w:vAlign w:val="center"/>
          </w:tcPr>
          <w:p w14:paraId="04B89820">
            <w:pPr>
              <w:widowControl/>
              <w:jc w:val="center"/>
              <w:rPr>
                <w:color w:val="auto"/>
                <w:kern w:val="0"/>
                <w:sz w:val="18"/>
                <w:szCs w:val="18"/>
              </w:rPr>
            </w:pPr>
            <w:r>
              <w:rPr>
                <w:color w:val="auto"/>
                <w:kern w:val="0"/>
                <w:sz w:val="18"/>
                <w:szCs w:val="18"/>
              </w:rPr>
              <w:t>排放时间h/a</w:t>
            </w:r>
          </w:p>
        </w:tc>
      </w:tr>
      <w:tr w14:paraId="1941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6A2AA678">
            <w:pPr>
              <w:widowControl/>
              <w:jc w:val="center"/>
              <w:rPr>
                <w:color w:val="auto"/>
                <w:kern w:val="0"/>
                <w:sz w:val="18"/>
                <w:szCs w:val="18"/>
              </w:rPr>
            </w:pPr>
          </w:p>
        </w:tc>
        <w:tc>
          <w:tcPr>
            <w:tcW w:w="312" w:type="pct"/>
            <w:vMerge w:val="continue"/>
            <w:noWrap w:val="0"/>
            <w:vAlign w:val="center"/>
          </w:tcPr>
          <w:p w14:paraId="58989F8E">
            <w:pPr>
              <w:widowControl/>
              <w:jc w:val="left"/>
              <w:rPr>
                <w:color w:val="auto"/>
                <w:kern w:val="0"/>
                <w:sz w:val="18"/>
                <w:szCs w:val="18"/>
              </w:rPr>
            </w:pPr>
          </w:p>
        </w:tc>
        <w:tc>
          <w:tcPr>
            <w:tcW w:w="207" w:type="pct"/>
            <w:vMerge w:val="continue"/>
            <w:noWrap w:val="0"/>
            <w:vAlign w:val="center"/>
          </w:tcPr>
          <w:p w14:paraId="57C0271A">
            <w:pPr>
              <w:widowControl/>
              <w:jc w:val="left"/>
              <w:rPr>
                <w:color w:val="auto"/>
                <w:kern w:val="0"/>
                <w:sz w:val="18"/>
                <w:szCs w:val="18"/>
              </w:rPr>
            </w:pPr>
          </w:p>
        </w:tc>
        <w:tc>
          <w:tcPr>
            <w:tcW w:w="1193" w:type="pct"/>
            <w:gridSpan w:val="4"/>
            <w:vMerge w:val="continue"/>
            <w:noWrap w:val="0"/>
            <w:vAlign w:val="center"/>
          </w:tcPr>
          <w:p w14:paraId="218AD53C">
            <w:pPr>
              <w:widowControl/>
              <w:jc w:val="left"/>
              <w:rPr>
                <w:color w:val="auto"/>
                <w:kern w:val="0"/>
                <w:sz w:val="18"/>
                <w:szCs w:val="18"/>
              </w:rPr>
            </w:pPr>
          </w:p>
        </w:tc>
        <w:tc>
          <w:tcPr>
            <w:tcW w:w="1313" w:type="pct"/>
            <w:gridSpan w:val="4"/>
            <w:vMerge w:val="continue"/>
            <w:noWrap w:val="0"/>
            <w:vAlign w:val="center"/>
          </w:tcPr>
          <w:p w14:paraId="2C45E71B">
            <w:pPr>
              <w:widowControl/>
              <w:jc w:val="left"/>
              <w:rPr>
                <w:color w:val="auto"/>
                <w:kern w:val="0"/>
                <w:sz w:val="18"/>
                <w:szCs w:val="18"/>
              </w:rPr>
            </w:pPr>
          </w:p>
        </w:tc>
        <w:tc>
          <w:tcPr>
            <w:tcW w:w="0" w:type="auto"/>
            <w:gridSpan w:val="3"/>
            <w:noWrap w:val="0"/>
            <w:vAlign w:val="center"/>
          </w:tcPr>
          <w:p w14:paraId="220EB50F">
            <w:pPr>
              <w:widowControl/>
              <w:jc w:val="center"/>
              <w:rPr>
                <w:color w:val="auto"/>
                <w:kern w:val="0"/>
                <w:sz w:val="18"/>
                <w:szCs w:val="18"/>
              </w:rPr>
            </w:pPr>
            <w:r>
              <w:rPr>
                <w:color w:val="auto"/>
                <w:kern w:val="0"/>
                <w:sz w:val="18"/>
                <w:szCs w:val="18"/>
              </w:rPr>
              <w:t>有组织</w:t>
            </w:r>
          </w:p>
        </w:tc>
        <w:tc>
          <w:tcPr>
            <w:tcW w:w="0" w:type="auto"/>
            <w:gridSpan w:val="2"/>
            <w:noWrap w:val="0"/>
            <w:vAlign w:val="center"/>
          </w:tcPr>
          <w:p w14:paraId="5BA14DA9">
            <w:pPr>
              <w:widowControl/>
              <w:jc w:val="center"/>
              <w:rPr>
                <w:color w:val="auto"/>
                <w:kern w:val="0"/>
                <w:sz w:val="18"/>
                <w:szCs w:val="18"/>
              </w:rPr>
            </w:pPr>
            <w:r>
              <w:rPr>
                <w:color w:val="auto"/>
                <w:kern w:val="0"/>
                <w:sz w:val="18"/>
                <w:szCs w:val="18"/>
              </w:rPr>
              <w:t>无组织</w:t>
            </w:r>
          </w:p>
        </w:tc>
        <w:tc>
          <w:tcPr>
            <w:tcW w:w="0" w:type="auto"/>
            <w:vMerge w:val="continue"/>
            <w:noWrap w:val="0"/>
            <w:vAlign w:val="center"/>
          </w:tcPr>
          <w:p w14:paraId="316F01B1">
            <w:pPr>
              <w:widowControl/>
              <w:jc w:val="center"/>
              <w:rPr>
                <w:color w:val="auto"/>
                <w:kern w:val="0"/>
                <w:sz w:val="18"/>
                <w:szCs w:val="18"/>
              </w:rPr>
            </w:pPr>
          </w:p>
        </w:tc>
      </w:tr>
      <w:tr w14:paraId="5A53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66" w:type="pct"/>
            <w:vMerge w:val="continue"/>
            <w:noWrap w:val="0"/>
            <w:vAlign w:val="center"/>
          </w:tcPr>
          <w:p w14:paraId="36AB7E26">
            <w:pPr>
              <w:widowControl/>
              <w:jc w:val="center"/>
              <w:rPr>
                <w:color w:val="auto"/>
                <w:kern w:val="0"/>
                <w:sz w:val="18"/>
                <w:szCs w:val="18"/>
              </w:rPr>
            </w:pPr>
          </w:p>
        </w:tc>
        <w:tc>
          <w:tcPr>
            <w:tcW w:w="312" w:type="pct"/>
            <w:vMerge w:val="continue"/>
            <w:noWrap w:val="0"/>
            <w:vAlign w:val="center"/>
          </w:tcPr>
          <w:p w14:paraId="17AE2D08">
            <w:pPr>
              <w:widowControl/>
              <w:jc w:val="left"/>
              <w:rPr>
                <w:color w:val="auto"/>
                <w:kern w:val="0"/>
                <w:sz w:val="18"/>
                <w:szCs w:val="18"/>
              </w:rPr>
            </w:pPr>
          </w:p>
        </w:tc>
        <w:tc>
          <w:tcPr>
            <w:tcW w:w="207" w:type="pct"/>
            <w:vMerge w:val="continue"/>
            <w:noWrap w:val="0"/>
            <w:vAlign w:val="center"/>
          </w:tcPr>
          <w:p w14:paraId="76315DBF">
            <w:pPr>
              <w:widowControl/>
              <w:jc w:val="left"/>
              <w:rPr>
                <w:color w:val="auto"/>
                <w:kern w:val="0"/>
                <w:sz w:val="18"/>
                <w:szCs w:val="18"/>
              </w:rPr>
            </w:pPr>
          </w:p>
        </w:tc>
        <w:tc>
          <w:tcPr>
            <w:tcW w:w="281" w:type="pct"/>
            <w:noWrap w:val="0"/>
            <w:vAlign w:val="center"/>
          </w:tcPr>
          <w:p w14:paraId="30B41DAB">
            <w:pPr>
              <w:widowControl/>
              <w:jc w:val="center"/>
              <w:rPr>
                <w:color w:val="auto"/>
                <w:kern w:val="0"/>
                <w:sz w:val="18"/>
                <w:szCs w:val="18"/>
              </w:rPr>
            </w:pPr>
            <w:r>
              <w:rPr>
                <w:color w:val="auto"/>
                <w:kern w:val="0"/>
                <w:sz w:val="18"/>
                <w:szCs w:val="18"/>
              </w:rPr>
              <w:t>废气量</w:t>
            </w:r>
          </w:p>
          <w:p w14:paraId="26604B33">
            <w:pPr>
              <w:widowControl/>
              <w:jc w:val="center"/>
              <w:rPr>
                <w:rFonts w:eastAsia="等线"/>
                <w:color w:val="auto"/>
                <w:kern w:val="0"/>
                <w:sz w:val="18"/>
                <w:szCs w:val="18"/>
              </w:rPr>
            </w:pPr>
            <w:r>
              <w:rPr>
                <w:rFonts w:eastAsia="等线"/>
                <w:color w:val="auto"/>
                <w:kern w:val="0"/>
                <w:sz w:val="18"/>
                <w:szCs w:val="18"/>
              </w:rPr>
              <w:t>m</w:t>
            </w:r>
            <w:r>
              <w:rPr>
                <w:rFonts w:eastAsia="等线"/>
                <w:color w:val="auto"/>
                <w:kern w:val="0"/>
                <w:sz w:val="18"/>
                <w:szCs w:val="18"/>
                <w:vertAlign w:val="superscript"/>
              </w:rPr>
              <w:t>3</w:t>
            </w:r>
            <w:r>
              <w:rPr>
                <w:rFonts w:eastAsia="等线"/>
                <w:color w:val="auto"/>
                <w:kern w:val="0"/>
                <w:sz w:val="18"/>
                <w:szCs w:val="18"/>
              </w:rPr>
              <w:t>/h</w:t>
            </w:r>
          </w:p>
        </w:tc>
        <w:tc>
          <w:tcPr>
            <w:tcW w:w="292" w:type="pct"/>
            <w:noWrap w:val="0"/>
            <w:vAlign w:val="center"/>
          </w:tcPr>
          <w:p w14:paraId="5401E865">
            <w:pPr>
              <w:widowControl/>
              <w:jc w:val="center"/>
              <w:rPr>
                <w:color w:val="auto"/>
                <w:kern w:val="0"/>
                <w:sz w:val="18"/>
                <w:szCs w:val="18"/>
              </w:rPr>
            </w:pPr>
            <w:r>
              <w:rPr>
                <w:color w:val="auto"/>
                <w:kern w:val="0"/>
                <w:sz w:val="18"/>
                <w:szCs w:val="18"/>
              </w:rPr>
              <w:t>产生量</w:t>
            </w:r>
          </w:p>
          <w:p w14:paraId="03FDBC7F">
            <w:pPr>
              <w:widowControl/>
              <w:jc w:val="center"/>
              <w:rPr>
                <w:rFonts w:eastAsia="等线"/>
                <w:color w:val="auto"/>
                <w:kern w:val="0"/>
                <w:sz w:val="18"/>
                <w:szCs w:val="18"/>
              </w:rPr>
            </w:pPr>
            <w:r>
              <w:rPr>
                <w:rFonts w:eastAsia="等线"/>
                <w:color w:val="auto"/>
                <w:kern w:val="0"/>
                <w:sz w:val="18"/>
                <w:szCs w:val="18"/>
              </w:rPr>
              <w:t>t/a</w:t>
            </w:r>
          </w:p>
        </w:tc>
        <w:tc>
          <w:tcPr>
            <w:tcW w:w="297" w:type="pct"/>
            <w:noWrap w:val="0"/>
            <w:vAlign w:val="center"/>
          </w:tcPr>
          <w:p w14:paraId="3B0B8175">
            <w:pPr>
              <w:widowControl/>
              <w:jc w:val="center"/>
              <w:rPr>
                <w:color w:val="auto"/>
                <w:kern w:val="0"/>
                <w:sz w:val="18"/>
                <w:szCs w:val="18"/>
              </w:rPr>
            </w:pPr>
            <w:r>
              <w:rPr>
                <w:color w:val="auto"/>
                <w:kern w:val="0"/>
                <w:sz w:val="18"/>
                <w:szCs w:val="18"/>
              </w:rPr>
              <w:t>产生速率</w:t>
            </w:r>
          </w:p>
          <w:p w14:paraId="14D4CC7C">
            <w:pPr>
              <w:widowControl/>
              <w:jc w:val="center"/>
              <w:rPr>
                <w:rFonts w:eastAsia="等线"/>
                <w:color w:val="auto"/>
                <w:kern w:val="0"/>
                <w:sz w:val="18"/>
                <w:szCs w:val="18"/>
              </w:rPr>
            </w:pPr>
            <w:r>
              <w:rPr>
                <w:rFonts w:eastAsia="等线"/>
                <w:color w:val="auto"/>
                <w:kern w:val="0"/>
                <w:sz w:val="18"/>
                <w:szCs w:val="18"/>
              </w:rPr>
              <w:t>kg/h</w:t>
            </w:r>
          </w:p>
        </w:tc>
        <w:tc>
          <w:tcPr>
            <w:tcW w:w="323" w:type="pct"/>
            <w:noWrap w:val="0"/>
            <w:vAlign w:val="center"/>
          </w:tcPr>
          <w:p w14:paraId="3A629CA5">
            <w:pPr>
              <w:widowControl/>
              <w:jc w:val="center"/>
              <w:rPr>
                <w:color w:val="auto"/>
                <w:kern w:val="0"/>
                <w:sz w:val="18"/>
                <w:szCs w:val="18"/>
              </w:rPr>
            </w:pPr>
            <w:r>
              <w:rPr>
                <w:color w:val="auto"/>
                <w:kern w:val="0"/>
                <w:sz w:val="18"/>
                <w:szCs w:val="18"/>
              </w:rPr>
              <w:t>产生浓度</w:t>
            </w:r>
          </w:p>
          <w:p w14:paraId="21CBFEE3">
            <w:pPr>
              <w:widowControl/>
              <w:jc w:val="center"/>
              <w:rPr>
                <w:rFonts w:eastAsia="等线"/>
                <w:color w:val="auto"/>
                <w:kern w:val="0"/>
                <w:sz w:val="18"/>
                <w:szCs w:val="18"/>
              </w:rPr>
            </w:pPr>
            <w:r>
              <w:rPr>
                <w:rFonts w:eastAsia="等线"/>
                <w:color w:val="auto"/>
                <w:kern w:val="0"/>
                <w:sz w:val="18"/>
                <w:szCs w:val="18"/>
              </w:rPr>
              <w:t>mg/m</w:t>
            </w:r>
            <w:r>
              <w:rPr>
                <w:rFonts w:eastAsia="等线"/>
                <w:color w:val="auto"/>
                <w:kern w:val="0"/>
                <w:sz w:val="18"/>
                <w:szCs w:val="18"/>
                <w:vertAlign w:val="superscript"/>
              </w:rPr>
              <w:t>3</w:t>
            </w:r>
          </w:p>
        </w:tc>
        <w:tc>
          <w:tcPr>
            <w:tcW w:w="300" w:type="pct"/>
            <w:noWrap w:val="0"/>
            <w:vAlign w:val="center"/>
          </w:tcPr>
          <w:p w14:paraId="22BC9B52">
            <w:pPr>
              <w:widowControl/>
              <w:jc w:val="center"/>
              <w:rPr>
                <w:color w:val="auto"/>
                <w:kern w:val="0"/>
                <w:sz w:val="18"/>
                <w:szCs w:val="18"/>
              </w:rPr>
            </w:pPr>
            <w:r>
              <w:rPr>
                <w:color w:val="auto"/>
                <w:kern w:val="0"/>
                <w:sz w:val="18"/>
                <w:szCs w:val="18"/>
              </w:rPr>
              <w:t>收集效率</w:t>
            </w:r>
          </w:p>
          <w:p w14:paraId="2F343484">
            <w:pPr>
              <w:widowControl/>
              <w:jc w:val="center"/>
              <w:rPr>
                <w:rFonts w:eastAsia="等线"/>
                <w:color w:val="auto"/>
                <w:kern w:val="0"/>
                <w:sz w:val="18"/>
                <w:szCs w:val="18"/>
              </w:rPr>
            </w:pPr>
            <w:r>
              <w:rPr>
                <w:rFonts w:eastAsia="等线"/>
                <w:color w:val="auto"/>
                <w:kern w:val="0"/>
                <w:sz w:val="18"/>
                <w:szCs w:val="18"/>
              </w:rPr>
              <w:t>%</w:t>
            </w:r>
          </w:p>
        </w:tc>
        <w:tc>
          <w:tcPr>
            <w:tcW w:w="427" w:type="pct"/>
            <w:noWrap w:val="0"/>
            <w:vAlign w:val="center"/>
          </w:tcPr>
          <w:p w14:paraId="56CA49F0">
            <w:pPr>
              <w:widowControl/>
              <w:jc w:val="center"/>
              <w:rPr>
                <w:color w:val="auto"/>
                <w:kern w:val="0"/>
                <w:sz w:val="18"/>
                <w:szCs w:val="18"/>
              </w:rPr>
            </w:pPr>
            <w:r>
              <w:rPr>
                <w:color w:val="auto"/>
                <w:kern w:val="0"/>
                <w:sz w:val="18"/>
                <w:szCs w:val="18"/>
              </w:rPr>
              <w:t>治理工艺</w:t>
            </w:r>
          </w:p>
        </w:tc>
        <w:tc>
          <w:tcPr>
            <w:tcW w:w="242" w:type="pct"/>
            <w:noWrap w:val="0"/>
            <w:vAlign w:val="center"/>
          </w:tcPr>
          <w:p w14:paraId="3475C812">
            <w:pPr>
              <w:widowControl/>
              <w:jc w:val="center"/>
              <w:rPr>
                <w:color w:val="auto"/>
                <w:kern w:val="0"/>
                <w:sz w:val="18"/>
                <w:szCs w:val="18"/>
              </w:rPr>
            </w:pPr>
            <w:r>
              <w:rPr>
                <w:color w:val="auto"/>
                <w:kern w:val="0"/>
                <w:sz w:val="18"/>
                <w:szCs w:val="18"/>
              </w:rPr>
              <w:t>去除效率</w:t>
            </w:r>
          </w:p>
          <w:p w14:paraId="2CD792AD">
            <w:pPr>
              <w:widowControl/>
              <w:jc w:val="center"/>
              <w:rPr>
                <w:rFonts w:eastAsia="等线"/>
                <w:color w:val="auto"/>
                <w:kern w:val="0"/>
                <w:sz w:val="18"/>
                <w:szCs w:val="18"/>
              </w:rPr>
            </w:pPr>
            <w:r>
              <w:rPr>
                <w:rFonts w:eastAsia="等线"/>
                <w:color w:val="auto"/>
                <w:kern w:val="0"/>
                <w:sz w:val="18"/>
                <w:szCs w:val="18"/>
              </w:rPr>
              <w:t>%</w:t>
            </w:r>
          </w:p>
        </w:tc>
        <w:tc>
          <w:tcPr>
            <w:tcW w:w="343" w:type="pct"/>
            <w:noWrap w:val="0"/>
            <w:vAlign w:val="center"/>
          </w:tcPr>
          <w:p w14:paraId="504B6BC0">
            <w:pPr>
              <w:widowControl/>
              <w:jc w:val="center"/>
              <w:rPr>
                <w:color w:val="auto"/>
                <w:kern w:val="0"/>
                <w:sz w:val="18"/>
                <w:szCs w:val="18"/>
              </w:rPr>
            </w:pPr>
            <w:r>
              <w:rPr>
                <w:color w:val="auto"/>
                <w:kern w:val="0"/>
                <w:sz w:val="18"/>
                <w:szCs w:val="18"/>
              </w:rPr>
              <w:t>是否为可行性技术</w:t>
            </w:r>
          </w:p>
        </w:tc>
        <w:tc>
          <w:tcPr>
            <w:tcW w:w="240" w:type="pct"/>
            <w:noWrap w:val="0"/>
            <w:vAlign w:val="center"/>
          </w:tcPr>
          <w:p w14:paraId="7565751E">
            <w:pPr>
              <w:widowControl/>
              <w:jc w:val="center"/>
              <w:rPr>
                <w:color w:val="auto"/>
                <w:kern w:val="0"/>
                <w:sz w:val="18"/>
                <w:szCs w:val="18"/>
              </w:rPr>
            </w:pPr>
            <w:r>
              <w:rPr>
                <w:color w:val="auto"/>
                <w:kern w:val="0"/>
                <w:sz w:val="18"/>
                <w:szCs w:val="18"/>
              </w:rPr>
              <w:t>排放量</w:t>
            </w:r>
          </w:p>
          <w:p w14:paraId="213290D9">
            <w:pPr>
              <w:widowControl/>
              <w:jc w:val="center"/>
              <w:rPr>
                <w:rFonts w:eastAsia="等线"/>
                <w:color w:val="auto"/>
                <w:kern w:val="0"/>
                <w:sz w:val="18"/>
                <w:szCs w:val="18"/>
              </w:rPr>
            </w:pPr>
            <w:r>
              <w:rPr>
                <w:rFonts w:eastAsia="等线"/>
                <w:color w:val="auto"/>
                <w:kern w:val="0"/>
                <w:sz w:val="18"/>
                <w:szCs w:val="18"/>
              </w:rPr>
              <w:t>t/a</w:t>
            </w:r>
          </w:p>
        </w:tc>
        <w:tc>
          <w:tcPr>
            <w:tcW w:w="252" w:type="pct"/>
            <w:noWrap w:val="0"/>
            <w:vAlign w:val="center"/>
          </w:tcPr>
          <w:p w14:paraId="322BD081">
            <w:pPr>
              <w:widowControl/>
              <w:jc w:val="center"/>
              <w:rPr>
                <w:color w:val="auto"/>
                <w:kern w:val="0"/>
                <w:sz w:val="18"/>
                <w:szCs w:val="18"/>
              </w:rPr>
            </w:pPr>
            <w:r>
              <w:rPr>
                <w:color w:val="auto"/>
                <w:kern w:val="0"/>
                <w:sz w:val="18"/>
                <w:szCs w:val="18"/>
              </w:rPr>
              <w:t>排放速率</w:t>
            </w:r>
          </w:p>
          <w:p w14:paraId="261AF3D3">
            <w:pPr>
              <w:widowControl/>
              <w:jc w:val="center"/>
              <w:rPr>
                <w:rFonts w:eastAsia="等线"/>
                <w:color w:val="auto"/>
                <w:kern w:val="0"/>
                <w:sz w:val="18"/>
                <w:szCs w:val="18"/>
              </w:rPr>
            </w:pPr>
            <w:r>
              <w:rPr>
                <w:rFonts w:eastAsia="等线"/>
                <w:color w:val="auto"/>
                <w:kern w:val="0"/>
                <w:sz w:val="18"/>
                <w:szCs w:val="18"/>
              </w:rPr>
              <w:t>kg/h</w:t>
            </w:r>
          </w:p>
        </w:tc>
        <w:tc>
          <w:tcPr>
            <w:tcW w:w="265" w:type="pct"/>
            <w:noWrap w:val="0"/>
            <w:vAlign w:val="center"/>
          </w:tcPr>
          <w:p w14:paraId="5D354E44">
            <w:pPr>
              <w:widowControl/>
              <w:jc w:val="center"/>
              <w:rPr>
                <w:color w:val="auto"/>
                <w:kern w:val="0"/>
                <w:sz w:val="18"/>
                <w:szCs w:val="18"/>
              </w:rPr>
            </w:pPr>
            <w:r>
              <w:rPr>
                <w:color w:val="auto"/>
                <w:kern w:val="0"/>
                <w:sz w:val="18"/>
                <w:szCs w:val="18"/>
              </w:rPr>
              <w:t>排放浓度</w:t>
            </w:r>
          </w:p>
          <w:p w14:paraId="46FD7409">
            <w:pPr>
              <w:widowControl/>
              <w:jc w:val="center"/>
              <w:rPr>
                <w:rFonts w:eastAsia="等线"/>
                <w:color w:val="auto"/>
                <w:kern w:val="0"/>
                <w:sz w:val="18"/>
                <w:szCs w:val="18"/>
              </w:rPr>
            </w:pPr>
            <w:r>
              <w:rPr>
                <w:rFonts w:eastAsia="等线"/>
                <w:color w:val="auto"/>
                <w:kern w:val="0"/>
                <w:sz w:val="18"/>
                <w:szCs w:val="18"/>
              </w:rPr>
              <w:t>mg/m</w:t>
            </w:r>
            <w:r>
              <w:rPr>
                <w:rFonts w:eastAsia="等线"/>
                <w:color w:val="auto"/>
                <w:kern w:val="0"/>
                <w:sz w:val="18"/>
                <w:szCs w:val="18"/>
                <w:vertAlign w:val="superscript"/>
              </w:rPr>
              <w:t>3</w:t>
            </w:r>
          </w:p>
        </w:tc>
        <w:tc>
          <w:tcPr>
            <w:tcW w:w="314" w:type="pct"/>
            <w:noWrap w:val="0"/>
            <w:vAlign w:val="center"/>
          </w:tcPr>
          <w:p w14:paraId="04DD82EF">
            <w:pPr>
              <w:widowControl/>
              <w:jc w:val="center"/>
              <w:rPr>
                <w:color w:val="auto"/>
                <w:kern w:val="0"/>
                <w:sz w:val="18"/>
                <w:szCs w:val="18"/>
              </w:rPr>
            </w:pPr>
            <w:r>
              <w:rPr>
                <w:color w:val="auto"/>
                <w:kern w:val="0"/>
                <w:sz w:val="18"/>
                <w:szCs w:val="18"/>
              </w:rPr>
              <w:t>排放量t/a</w:t>
            </w:r>
          </w:p>
        </w:tc>
        <w:tc>
          <w:tcPr>
            <w:tcW w:w="325" w:type="pct"/>
            <w:noWrap w:val="0"/>
            <w:vAlign w:val="center"/>
          </w:tcPr>
          <w:p w14:paraId="1BBF5E17">
            <w:pPr>
              <w:widowControl/>
              <w:jc w:val="center"/>
              <w:rPr>
                <w:color w:val="auto"/>
                <w:kern w:val="0"/>
                <w:sz w:val="18"/>
                <w:szCs w:val="18"/>
              </w:rPr>
            </w:pPr>
            <w:r>
              <w:rPr>
                <w:color w:val="auto"/>
                <w:kern w:val="0"/>
                <w:sz w:val="18"/>
                <w:szCs w:val="18"/>
              </w:rPr>
              <w:t>排放速率kg/h</w:t>
            </w:r>
          </w:p>
        </w:tc>
        <w:tc>
          <w:tcPr>
            <w:tcW w:w="0" w:type="auto"/>
            <w:vMerge w:val="continue"/>
            <w:noWrap w:val="0"/>
            <w:vAlign w:val="center"/>
          </w:tcPr>
          <w:p w14:paraId="6D16923B">
            <w:pPr>
              <w:widowControl/>
              <w:jc w:val="center"/>
              <w:rPr>
                <w:color w:val="auto"/>
                <w:kern w:val="0"/>
                <w:sz w:val="18"/>
                <w:szCs w:val="18"/>
              </w:rPr>
            </w:pPr>
          </w:p>
        </w:tc>
      </w:tr>
      <w:tr w14:paraId="4D3C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443AD5AA">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入库</w:t>
            </w:r>
          </w:p>
        </w:tc>
        <w:tc>
          <w:tcPr>
            <w:tcW w:w="312" w:type="pct"/>
            <w:noWrap w:val="0"/>
            <w:vAlign w:val="center"/>
          </w:tcPr>
          <w:p w14:paraId="6213C753">
            <w:pPr>
              <w:widowControl/>
              <w:jc w:val="center"/>
              <w:rPr>
                <w:color w:val="auto"/>
                <w:kern w:val="0"/>
                <w:sz w:val="18"/>
                <w:szCs w:val="18"/>
              </w:rPr>
            </w:pPr>
            <w:r>
              <w:rPr>
                <w:rFonts w:hint="eastAsia"/>
                <w:color w:val="auto"/>
                <w:sz w:val="18"/>
              </w:rPr>
              <w:t>颗粒物</w:t>
            </w:r>
          </w:p>
        </w:tc>
        <w:tc>
          <w:tcPr>
            <w:tcW w:w="207" w:type="pct"/>
            <w:vMerge w:val="restart"/>
            <w:noWrap w:val="0"/>
            <w:vAlign w:val="center"/>
          </w:tcPr>
          <w:p w14:paraId="502DE1FA">
            <w:pPr>
              <w:widowControl/>
              <w:jc w:val="center"/>
              <w:rPr>
                <w:color w:val="auto"/>
                <w:kern w:val="0"/>
                <w:sz w:val="18"/>
                <w:szCs w:val="18"/>
              </w:rPr>
            </w:pPr>
            <w:r>
              <w:rPr>
                <w:rFonts w:hint="eastAsia"/>
                <w:color w:val="auto"/>
                <w:kern w:val="0"/>
                <w:sz w:val="18"/>
                <w:szCs w:val="18"/>
              </w:rPr>
              <w:t>产污系数法</w:t>
            </w:r>
          </w:p>
        </w:tc>
        <w:tc>
          <w:tcPr>
            <w:tcW w:w="281" w:type="pct"/>
            <w:noWrap w:val="0"/>
            <w:vAlign w:val="center"/>
          </w:tcPr>
          <w:p w14:paraId="1A74129D">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292" w:type="pct"/>
            <w:noWrap w:val="0"/>
            <w:vAlign w:val="center"/>
          </w:tcPr>
          <w:p w14:paraId="4B300FB8">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18.25</w:t>
            </w:r>
          </w:p>
        </w:tc>
        <w:tc>
          <w:tcPr>
            <w:tcW w:w="297" w:type="pct"/>
            <w:noWrap w:val="0"/>
            <w:vAlign w:val="center"/>
          </w:tcPr>
          <w:p w14:paraId="11939559">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27.65</w:t>
            </w:r>
          </w:p>
        </w:tc>
        <w:tc>
          <w:tcPr>
            <w:tcW w:w="323" w:type="pct"/>
            <w:noWrap w:val="0"/>
            <w:vAlign w:val="center"/>
          </w:tcPr>
          <w:p w14:paraId="5B446A05">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300" w:type="pct"/>
            <w:noWrap w:val="0"/>
            <w:vAlign w:val="center"/>
          </w:tcPr>
          <w:p w14:paraId="1149EC2F">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21350002">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车辆冲洗+原料库密闭</w:t>
            </w:r>
          </w:p>
        </w:tc>
        <w:tc>
          <w:tcPr>
            <w:tcW w:w="242" w:type="pct"/>
            <w:noWrap w:val="0"/>
            <w:vAlign w:val="center"/>
          </w:tcPr>
          <w:p w14:paraId="18B443DE">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99.8</w:t>
            </w:r>
          </w:p>
        </w:tc>
        <w:tc>
          <w:tcPr>
            <w:tcW w:w="343" w:type="pct"/>
            <w:noWrap w:val="0"/>
            <w:vAlign w:val="center"/>
          </w:tcPr>
          <w:p w14:paraId="2D2CE422">
            <w:pPr>
              <w:widowControl/>
              <w:jc w:val="center"/>
              <w:rPr>
                <w:color w:val="auto"/>
                <w:kern w:val="0"/>
                <w:sz w:val="18"/>
                <w:szCs w:val="18"/>
              </w:rPr>
            </w:pPr>
            <w:r>
              <w:rPr>
                <w:rFonts w:hint="eastAsia"/>
                <w:color w:val="auto"/>
                <w:kern w:val="0"/>
                <w:sz w:val="18"/>
                <w:szCs w:val="18"/>
              </w:rPr>
              <w:t>/</w:t>
            </w:r>
          </w:p>
        </w:tc>
        <w:tc>
          <w:tcPr>
            <w:tcW w:w="0" w:type="auto"/>
            <w:noWrap w:val="0"/>
            <w:vAlign w:val="center"/>
          </w:tcPr>
          <w:p w14:paraId="0320907E">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0" w:type="auto"/>
            <w:noWrap w:val="0"/>
            <w:vAlign w:val="center"/>
          </w:tcPr>
          <w:p w14:paraId="339FD062">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0" w:type="auto"/>
            <w:noWrap w:val="0"/>
            <w:vAlign w:val="center"/>
          </w:tcPr>
          <w:p w14:paraId="1AF46ED3">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314" w:type="pct"/>
            <w:noWrap w:val="0"/>
            <w:vAlign w:val="center"/>
          </w:tcPr>
          <w:p w14:paraId="74767CF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0.04</w:t>
            </w:r>
          </w:p>
        </w:tc>
        <w:tc>
          <w:tcPr>
            <w:tcW w:w="325" w:type="pct"/>
            <w:noWrap w:val="0"/>
            <w:vAlign w:val="center"/>
          </w:tcPr>
          <w:p w14:paraId="2A2C51D5">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0.061</w:t>
            </w:r>
          </w:p>
        </w:tc>
        <w:tc>
          <w:tcPr>
            <w:tcW w:w="0" w:type="auto"/>
            <w:noWrap w:val="0"/>
            <w:vAlign w:val="center"/>
          </w:tcPr>
          <w:p w14:paraId="3878DFB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660</w:t>
            </w:r>
          </w:p>
        </w:tc>
      </w:tr>
      <w:tr w14:paraId="6198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575D96CD">
            <w:pPr>
              <w:widowControl/>
              <w:jc w:val="center"/>
              <w:rPr>
                <w:rFonts w:hint="default"/>
                <w:color w:val="auto"/>
                <w:kern w:val="0"/>
                <w:sz w:val="18"/>
                <w:szCs w:val="18"/>
                <w:lang w:val="en-US" w:eastAsia="zh-CN"/>
              </w:rPr>
            </w:pPr>
            <w:r>
              <w:rPr>
                <w:rFonts w:hint="eastAsia"/>
                <w:color w:val="auto"/>
                <w:kern w:val="0"/>
                <w:sz w:val="18"/>
                <w:szCs w:val="18"/>
                <w:lang w:val="en-US" w:eastAsia="zh-CN"/>
              </w:rPr>
              <w:t>下料</w:t>
            </w:r>
          </w:p>
        </w:tc>
        <w:tc>
          <w:tcPr>
            <w:tcW w:w="312" w:type="pct"/>
            <w:noWrap w:val="0"/>
            <w:vAlign w:val="center"/>
          </w:tcPr>
          <w:p w14:paraId="377E0F55">
            <w:pPr>
              <w:widowControl/>
              <w:jc w:val="center"/>
              <w:rPr>
                <w:rFonts w:hint="eastAsia"/>
                <w:color w:val="auto"/>
                <w:sz w:val="18"/>
              </w:rPr>
            </w:pPr>
            <w:r>
              <w:rPr>
                <w:rFonts w:hint="eastAsia"/>
                <w:color w:val="auto"/>
                <w:sz w:val="18"/>
              </w:rPr>
              <w:t>颗粒物</w:t>
            </w:r>
          </w:p>
        </w:tc>
        <w:tc>
          <w:tcPr>
            <w:tcW w:w="207" w:type="pct"/>
            <w:vMerge w:val="continue"/>
            <w:noWrap w:val="0"/>
            <w:vAlign w:val="center"/>
          </w:tcPr>
          <w:p w14:paraId="20469D35">
            <w:pPr>
              <w:widowControl/>
              <w:jc w:val="left"/>
              <w:rPr>
                <w:rFonts w:hint="eastAsia"/>
                <w:color w:val="auto"/>
                <w:kern w:val="0"/>
                <w:sz w:val="18"/>
                <w:szCs w:val="18"/>
              </w:rPr>
            </w:pPr>
          </w:p>
        </w:tc>
        <w:tc>
          <w:tcPr>
            <w:tcW w:w="281" w:type="pct"/>
            <w:noWrap w:val="0"/>
            <w:vAlign w:val="center"/>
          </w:tcPr>
          <w:p w14:paraId="3CA14BAD">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292" w:type="pct"/>
            <w:noWrap w:val="0"/>
            <w:vAlign w:val="center"/>
          </w:tcPr>
          <w:p w14:paraId="1452091F">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9.125</w:t>
            </w:r>
          </w:p>
        </w:tc>
        <w:tc>
          <w:tcPr>
            <w:tcW w:w="297" w:type="pct"/>
            <w:noWrap w:val="0"/>
            <w:vAlign w:val="center"/>
          </w:tcPr>
          <w:p w14:paraId="3B76F53C">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6.913</w:t>
            </w:r>
          </w:p>
        </w:tc>
        <w:tc>
          <w:tcPr>
            <w:tcW w:w="323" w:type="pct"/>
            <w:noWrap w:val="0"/>
            <w:vAlign w:val="center"/>
          </w:tcPr>
          <w:p w14:paraId="0C01C1C7">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300" w:type="pct"/>
            <w:noWrap w:val="0"/>
            <w:vAlign w:val="center"/>
          </w:tcPr>
          <w:p w14:paraId="21654FBC">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37D8C2E9">
            <w:pPr>
              <w:widowControl/>
              <w:jc w:val="center"/>
              <w:rPr>
                <w:rFonts w:hint="default"/>
                <w:color w:val="auto"/>
                <w:kern w:val="0"/>
                <w:sz w:val="18"/>
                <w:szCs w:val="18"/>
                <w:lang w:val="en-US" w:eastAsia="zh-CN"/>
              </w:rPr>
            </w:pPr>
            <w:r>
              <w:rPr>
                <w:rFonts w:hint="eastAsia"/>
                <w:color w:val="auto"/>
                <w:kern w:val="0"/>
                <w:sz w:val="18"/>
                <w:szCs w:val="18"/>
                <w:lang w:val="en-US" w:eastAsia="zh-CN"/>
              </w:rPr>
              <w:t>湿喷淋+原料库密闭</w:t>
            </w:r>
          </w:p>
        </w:tc>
        <w:tc>
          <w:tcPr>
            <w:tcW w:w="242" w:type="pct"/>
            <w:noWrap w:val="0"/>
            <w:vAlign w:val="center"/>
          </w:tcPr>
          <w:p w14:paraId="1776DE1D">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92</w:t>
            </w:r>
          </w:p>
        </w:tc>
        <w:tc>
          <w:tcPr>
            <w:tcW w:w="343" w:type="pct"/>
            <w:noWrap w:val="0"/>
            <w:vAlign w:val="center"/>
          </w:tcPr>
          <w:p w14:paraId="1886FDC6">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0" w:type="auto"/>
            <w:noWrap w:val="0"/>
            <w:vAlign w:val="center"/>
          </w:tcPr>
          <w:p w14:paraId="5658078B">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0" w:type="auto"/>
            <w:noWrap w:val="0"/>
            <w:vAlign w:val="center"/>
          </w:tcPr>
          <w:p w14:paraId="7C8A6354">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0" w:type="auto"/>
            <w:noWrap w:val="0"/>
            <w:vAlign w:val="center"/>
          </w:tcPr>
          <w:p w14:paraId="4B51F844">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314" w:type="pct"/>
            <w:noWrap w:val="0"/>
            <w:vAlign w:val="center"/>
          </w:tcPr>
          <w:p w14:paraId="1561EC65">
            <w:pPr>
              <w:widowControl/>
              <w:jc w:val="center"/>
              <w:rPr>
                <w:rFonts w:hint="default"/>
                <w:color w:val="auto"/>
                <w:kern w:val="0"/>
                <w:sz w:val="18"/>
                <w:szCs w:val="18"/>
                <w:lang w:val="en-US" w:eastAsia="zh-CN"/>
              </w:rPr>
            </w:pPr>
            <w:r>
              <w:rPr>
                <w:rFonts w:hint="eastAsia"/>
                <w:color w:val="auto"/>
                <w:kern w:val="0"/>
                <w:sz w:val="18"/>
                <w:szCs w:val="18"/>
                <w:lang w:val="en-US" w:eastAsia="zh-CN"/>
              </w:rPr>
              <w:t>1.825</w:t>
            </w:r>
          </w:p>
        </w:tc>
        <w:tc>
          <w:tcPr>
            <w:tcW w:w="325" w:type="pct"/>
            <w:noWrap w:val="0"/>
            <w:vAlign w:val="center"/>
          </w:tcPr>
          <w:p w14:paraId="2E121E24">
            <w:pPr>
              <w:widowControl/>
              <w:jc w:val="center"/>
              <w:rPr>
                <w:rFonts w:hint="default"/>
                <w:color w:val="auto"/>
                <w:kern w:val="0"/>
                <w:sz w:val="18"/>
                <w:szCs w:val="18"/>
                <w:lang w:val="en-US" w:eastAsia="zh-CN"/>
              </w:rPr>
            </w:pPr>
            <w:r>
              <w:rPr>
                <w:rFonts w:hint="eastAsia"/>
                <w:color w:val="auto"/>
                <w:kern w:val="0"/>
                <w:sz w:val="18"/>
                <w:szCs w:val="18"/>
                <w:lang w:val="en-US" w:eastAsia="zh-CN"/>
              </w:rPr>
              <w:t>1.383</w:t>
            </w:r>
          </w:p>
        </w:tc>
        <w:tc>
          <w:tcPr>
            <w:tcW w:w="0" w:type="auto"/>
            <w:noWrap w:val="0"/>
            <w:vAlign w:val="center"/>
          </w:tcPr>
          <w:p w14:paraId="064360E2">
            <w:pPr>
              <w:widowControl/>
              <w:jc w:val="center"/>
              <w:rPr>
                <w:rFonts w:hint="default"/>
                <w:color w:val="auto"/>
                <w:kern w:val="0"/>
                <w:sz w:val="18"/>
                <w:szCs w:val="18"/>
                <w:lang w:val="en-US" w:eastAsia="zh-CN"/>
              </w:rPr>
            </w:pPr>
            <w:r>
              <w:rPr>
                <w:rFonts w:hint="eastAsia"/>
                <w:color w:val="auto"/>
                <w:kern w:val="0"/>
                <w:sz w:val="18"/>
                <w:szCs w:val="18"/>
                <w:lang w:val="en-US" w:eastAsia="zh-CN"/>
              </w:rPr>
              <w:t>1320</w:t>
            </w:r>
          </w:p>
        </w:tc>
      </w:tr>
      <w:tr w14:paraId="4A0A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22DDBF22">
            <w:pPr>
              <w:widowControl/>
              <w:jc w:val="center"/>
              <w:rPr>
                <w:rFonts w:hint="default"/>
                <w:color w:val="auto"/>
                <w:kern w:val="0"/>
                <w:sz w:val="18"/>
                <w:szCs w:val="18"/>
                <w:lang w:val="en-US" w:eastAsia="zh-CN"/>
              </w:rPr>
            </w:pPr>
            <w:r>
              <w:rPr>
                <w:rFonts w:hint="eastAsia"/>
                <w:color w:val="auto"/>
                <w:kern w:val="0"/>
                <w:sz w:val="18"/>
                <w:szCs w:val="18"/>
                <w:lang w:val="en-US" w:eastAsia="zh-CN"/>
              </w:rPr>
              <w:t>混料、</w:t>
            </w:r>
            <w:r>
              <w:rPr>
                <w:rFonts w:hint="eastAsia"/>
                <w:color w:val="auto"/>
                <w:kern w:val="0"/>
                <w:sz w:val="18"/>
                <w:szCs w:val="18"/>
                <w:highlight w:val="none"/>
                <w:lang w:val="en-US" w:eastAsia="zh-CN"/>
              </w:rPr>
              <w:t>搅拌</w:t>
            </w:r>
          </w:p>
        </w:tc>
        <w:tc>
          <w:tcPr>
            <w:tcW w:w="312" w:type="pct"/>
            <w:noWrap w:val="0"/>
            <w:vAlign w:val="center"/>
          </w:tcPr>
          <w:p w14:paraId="4E10B8F4">
            <w:pPr>
              <w:widowControl/>
              <w:jc w:val="center"/>
              <w:rPr>
                <w:rFonts w:hint="eastAsia"/>
                <w:color w:val="auto"/>
                <w:sz w:val="18"/>
              </w:rPr>
            </w:pPr>
            <w:r>
              <w:rPr>
                <w:rFonts w:hint="eastAsia"/>
                <w:color w:val="auto"/>
                <w:sz w:val="18"/>
              </w:rPr>
              <w:t>颗粒物</w:t>
            </w:r>
          </w:p>
        </w:tc>
        <w:tc>
          <w:tcPr>
            <w:tcW w:w="207" w:type="pct"/>
            <w:vMerge w:val="continue"/>
            <w:noWrap w:val="0"/>
            <w:vAlign w:val="center"/>
          </w:tcPr>
          <w:p w14:paraId="5DC88166">
            <w:pPr>
              <w:widowControl/>
              <w:jc w:val="left"/>
              <w:rPr>
                <w:rFonts w:hint="eastAsia"/>
                <w:color w:val="auto"/>
                <w:kern w:val="0"/>
                <w:sz w:val="18"/>
                <w:szCs w:val="18"/>
              </w:rPr>
            </w:pPr>
          </w:p>
        </w:tc>
        <w:tc>
          <w:tcPr>
            <w:tcW w:w="281" w:type="pct"/>
            <w:noWrap w:val="0"/>
            <w:vAlign w:val="center"/>
          </w:tcPr>
          <w:p w14:paraId="262ED003">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6000</w:t>
            </w:r>
          </w:p>
        </w:tc>
        <w:tc>
          <w:tcPr>
            <w:tcW w:w="292" w:type="pct"/>
            <w:noWrap w:val="0"/>
            <w:vAlign w:val="center"/>
          </w:tcPr>
          <w:p w14:paraId="1E13B6DF">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3.285</w:t>
            </w:r>
          </w:p>
        </w:tc>
        <w:tc>
          <w:tcPr>
            <w:tcW w:w="297" w:type="pct"/>
            <w:noWrap w:val="0"/>
            <w:vAlign w:val="center"/>
          </w:tcPr>
          <w:p w14:paraId="757A16F6">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0.89</w:t>
            </w:r>
          </w:p>
        </w:tc>
        <w:tc>
          <w:tcPr>
            <w:tcW w:w="323" w:type="pct"/>
            <w:noWrap w:val="0"/>
            <w:vAlign w:val="center"/>
          </w:tcPr>
          <w:p w14:paraId="2EB61088">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148.33</w:t>
            </w:r>
          </w:p>
        </w:tc>
        <w:tc>
          <w:tcPr>
            <w:tcW w:w="300" w:type="pct"/>
            <w:noWrap w:val="0"/>
            <w:vAlign w:val="center"/>
          </w:tcPr>
          <w:p w14:paraId="03EF1D2A">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100</w:t>
            </w:r>
          </w:p>
        </w:tc>
        <w:tc>
          <w:tcPr>
            <w:tcW w:w="427" w:type="pct"/>
            <w:noWrap w:val="0"/>
            <w:vAlign w:val="center"/>
          </w:tcPr>
          <w:p w14:paraId="45D60DC4">
            <w:pPr>
              <w:widowControl/>
              <w:jc w:val="center"/>
              <w:rPr>
                <w:rFonts w:hint="default"/>
                <w:color w:val="auto"/>
                <w:kern w:val="0"/>
                <w:sz w:val="18"/>
                <w:szCs w:val="18"/>
                <w:lang w:val="en-US" w:eastAsia="zh-CN"/>
              </w:rPr>
            </w:pPr>
            <w:r>
              <w:rPr>
                <w:rFonts w:hint="eastAsia"/>
                <w:color w:val="auto"/>
                <w:kern w:val="0"/>
                <w:sz w:val="18"/>
                <w:szCs w:val="18"/>
                <w:lang w:val="en-US" w:eastAsia="zh-CN"/>
              </w:rPr>
              <w:t>布袋除尘器</w:t>
            </w:r>
          </w:p>
        </w:tc>
        <w:tc>
          <w:tcPr>
            <w:tcW w:w="242" w:type="pct"/>
            <w:noWrap w:val="0"/>
            <w:vAlign w:val="center"/>
          </w:tcPr>
          <w:p w14:paraId="3AE429D1">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99</w:t>
            </w:r>
          </w:p>
        </w:tc>
        <w:tc>
          <w:tcPr>
            <w:tcW w:w="343" w:type="pct"/>
            <w:noWrap w:val="0"/>
            <w:vAlign w:val="center"/>
          </w:tcPr>
          <w:p w14:paraId="67B7EA2B">
            <w:pPr>
              <w:widowControl/>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0" w:type="auto"/>
            <w:noWrap w:val="0"/>
            <w:vAlign w:val="center"/>
          </w:tcPr>
          <w:p w14:paraId="407E2959">
            <w:pPr>
              <w:widowControl/>
              <w:jc w:val="center"/>
              <w:rPr>
                <w:rFonts w:hint="default" w:eastAsia="等线"/>
                <w:color w:val="auto"/>
                <w:kern w:val="0"/>
                <w:sz w:val="18"/>
                <w:szCs w:val="18"/>
                <w:lang w:val="en-US" w:eastAsia="zh-CN"/>
              </w:rPr>
            </w:pPr>
            <w:r>
              <w:rPr>
                <w:rFonts w:hint="eastAsia"/>
                <w:color w:val="auto"/>
                <w:kern w:val="0"/>
                <w:sz w:val="18"/>
                <w:szCs w:val="18"/>
                <w:lang w:val="en-US" w:eastAsia="zh-CN"/>
              </w:rPr>
              <w:t>0.033</w:t>
            </w:r>
          </w:p>
        </w:tc>
        <w:tc>
          <w:tcPr>
            <w:tcW w:w="0" w:type="auto"/>
            <w:noWrap w:val="0"/>
            <w:vAlign w:val="center"/>
          </w:tcPr>
          <w:p w14:paraId="5265472A">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0.009</w:t>
            </w:r>
          </w:p>
        </w:tc>
        <w:tc>
          <w:tcPr>
            <w:tcW w:w="0" w:type="auto"/>
            <w:noWrap w:val="0"/>
            <w:vAlign w:val="center"/>
          </w:tcPr>
          <w:p w14:paraId="3E7E906D">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1.5</w:t>
            </w:r>
          </w:p>
        </w:tc>
        <w:tc>
          <w:tcPr>
            <w:tcW w:w="314" w:type="pct"/>
            <w:noWrap w:val="0"/>
            <w:vAlign w:val="center"/>
          </w:tcPr>
          <w:p w14:paraId="5166EA0C">
            <w:pPr>
              <w:widowControl/>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325" w:type="pct"/>
            <w:noWrap w:val="0"/>
            <w:vAlign w:val="center"/>
          </w:tcPr>
          <w:p w14:paraId="383377D4">
            <w:pPr>
              <w:widowControl/>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0" w:type="auto"/>
            <w:noWrap w:val="0"/>
            <w:vAlign w:val="center"/>
          </w:tcPr>
          <w:p w14:paraId="47939D1D">
            <w:pPr>
              <w:widowControl/>
              <w:jc w:val="center"/>
              <w:rPr>
                <w:rFonts w:hint="default"/>
                <w:color w:val="auto"/>
                <w:kern w:val="0"/>
                <w:sz w:val="18"/>
                <w:szCs w:val="18"/>
                <w:lang w:val="en-US" w:eastAsia="zh-CN"/>
              </w:rPr>
            </w:pPr>
            <w:r>
              <w:rPr>
                <w:rFonts w:hint="eastAsia"/>
                <w:color w:val="auto"/>
                <w:kern w:val="0"/>
                <w:sz w:val="18"/>
                <w:szCs w:val="18"/>
                <w:lang w:val="en-US" w:eastAsia="zh-CN"/>
              </w:rPr>
              <w:t>3690</w:t>
            </w:r>
          </w:p>
        </w:tc>
      </w:tr>
      <w:tr w14:paraId="3D1B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6E9EA964">
            <w:pPr>
              <w:widowControl/>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投料</w:t>
            </w:r>
          </w:p>
        </w:tc>
        <w:tc>
          <w:tcPr>
            <w:tcW w:w="312" w:type="pct"/>
            <w:noWrap w:val="0"/>
            <w:vAlign w:val="center"/>
          </w:tcPr>
          <w:p w14:paraId="262397EB">
            <w:pPr>
              <w:widowControl/>
              <w:jc w:val="center"/>
              <w:rPr>
                <w:rFonts w:hint="eastAsia"/>
                <w:color w:val="auto"/>
                <w:sz w:val="18"/>
                <w:highlight w:val="none"/>
              </w:rPr>
            </w:pPr>
            <w:r>
              <w:rPr>
                <w:rFonts w:hint="eastAsia"/>
                <w:color w:val="auto"/>
                <w:sz w:val="18"/>
                <w:highlight w:val="none"/>
              </w:rPr>
              <w:t>颗粒物</w:t>
            </w:r>
          </w:p>
        </w:tc>
        <w:tc>
          <w:tcPr>
            <w:tcW w:w="207" w:type="pct"/>
            <w:vMerge w:val="continue"/>
            <w:noWrap w:val="0"/>
            <w:vAlign w:val="center"/>
          </w:tcPr>
          <w:p w14:paraId="0915D317">
            <w:pPr>
              <w:widowControl/>
              <w:jc w:val="left"/>
              <w:rPr>
                <w:rFonts w:hint="eastAsia"/>
                <w:color w:val="auto"/>
                <w:kern w:val="0"/>
                <w:sz w:val="18"/>
                <w:szCs w:val="18"/>
              </w:rPr>
            </w:pPr>
          </w:p>
        </w:tc>
        <w:tc>
          <w:tcPr>
            <w:tcW w:w="281" w:type="pct"/>
            <w:noWrap w:val="0"/>
            <w:vAlign w:val="center"/>
          </w:tcPr>
          <w:p w14:paraId="1F825345">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2000</w:t>
            </w:r>
          </w:p>
        </w:tc>
        <w:tc>
          <w:tcPr>
            <w:tcW w:w="292" w:type="pct"/>
            <w:noWrap w:val="0"/>
            <w:vAlign w:val="center"/>
          </w:tcPr>
          <w:p w14:paraId="591DB6EA">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9.125</w:t>
            </w:r>
          </w:p>
        </w:tc>
        <w:tc>
          <w:tcPr>
            <w:tcW w:w="297" w:type="pct"/>
            <w:noWrap w:val="0"/>
            <w:vAlign w:val="center"/>
          </w:tcPr>
          <w:p w14:paraId="47190BE9">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2.473</w:t>
            </w:r>
          </w:p>
        </w:tc>
        <w:tc>
          <w:tcPr>
            <w:tcW w:w="323" w:type="pct"/>
            <w:noWrap w:val="0"/>
            <w:vAlign w:val="center"/>
          </w:tcPr>
          <w:p w14:paraId="415EF6B2">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1236.45</w:t>
            </w:r>
          </w:p>
        </w:tc>
        <w:tc>
          <w:tcPr>
            <w:tcW w:w="300" w:type="pct"/>
            <w:noWrap w:val="0"/>
            <w:vAlign w:val="center"/>
          </w:tcPr>
          <w:p w14:paraId="20019DF2">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90</w:t>
            </w:r>
          </w:p>
        </w:tc>
        <w:tc>
          <w:tcPr>
            <w:tcW w:w="427" w:type="pct"/>
            <w:noWrap w:val="0"/>
            <w:vAlign w:val="center"/>
          </w:tcPr>
          <w:p w14:paraId="443487C2">
            <w:pPr>
              <w:widowControl/>
              <w:jc w:val="center"/>
              <w:rPr>
                <w:rFonts w:hint="eastAsia"/>
                <w:color w:val="auto"/>
                <w:kern w:val="0"/>
                <w:sz w:val="18"/>
                <w:szCs w:val="18"/>
                <w:lang w:val="en-US" w:eastAsia="zh-CN"/>
              </w:rPr>
            </w:pPr>
            <w:r>
              <w:rPr>
                <w:rFonts w:hint="eastAsia"/>
                <w:color w:val="auto"/>
                <w:kern w:val="0"/>
                <w:sz w:val="18"/>
                <w:szCs w:val="18"/>
                <w:lang w:val="en-US" w:eastAsia="zh-CN"/>
              </w:rPr>
              <w:t>布袋除尘器</w:t>
            </w:r>
          </w:p>
        </w:tc>
        <w:tc>
          <w:tcPr>
            <w:tcW w:w="242" w:type="pct"/>
            <w:noWrap w:val="0"/>
            <w:vAlign w:val="center"/>
          </w:tcPr>
          <w:p w14:paraId="75E599EE">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99</w:t>
            </w:r>
          </w:p>
        </w:tc>
        <w:tc>
          <w:tcPr>
            <w:tcW w:w="343" w:type="pct"/>
            <w:noWrap w:val="0"/>
            <w:vAlign w:val="center"/>
          </w:tcPr>
          <w:p w14:paraId="54C1DFC7">
            <w:pPr>
              <w:widowControl/>
              <w:jc w:val="center"/>
              <w:rPr>
                <w:rFonts w:hint="eastAsia"/>
                <w:color w:val="auto"/>
                <w:kern w:val="0"/>
                <w:sz w:val="18"/>
                <w:szCs w:val="18"/>
                <w:lang w:val="en-US" w:eastAsia="zh-CN"/>
              </w:rPr>
            </w:pPr>
          </w:p>
        </w:tc>
        <w:tc>
          <w:tcPr>
            <w:tcW w:w="0" w:type="auto"/>
            <w:noWrap w:val="0"/>
            <w:vAlign w:val="center"/>
          </w:tcPr>
          <w:p w14:paraId="3D8111A7">
            <w:pPr>
              <w:widowControl/>
              <w:jc w:val="center"/>
              <w:rPr>
                <w:rFonts w:hint="default"/>
                <w:color w:val="auto"/>
                <w:kern w:val="0"/>
                <w:sz w:val="18"/>
                <w:szCs w:val="18"/>
                <w:lang w:val="en-US" w:eastAsia="zh-CN"/>
              </w:rPr>
            </w:pPr>
            <w:r>
              <w:rPr>
                <w:rFonts w:hint="eastAsia"/>
                <w:color w:val="auto"/>
                <w:kern w:val="0"/>
                <w:sz w:val="18"/>
                <w:szCs w:val="18"/>
                <w:lang w:val="en-US" w:eastAsia="zh-CN"/>
              </w:rPr>
              <w:t>0.082</w:t>
            </w:r>
          </w:p>
        </w:tc>
        <w:tc>
          <w:tcPr>
            <w:tcW w:w="0" w:type="auto"/>
            <w:noWrap w:val="0"/>
            <w:vAlign w:val="center"/>
          </w:tcPr>
          <w:p w14:paraId="371D5E74">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0.022</w:t>
            </w:r>
          </w:p>
        </w:tc>
        <w:tc>
          <w:tcPr>
            <w:tcW w:w="0" w:type="auto"/>
            <w:noWrap w:val="0"/>
            <w:vAlign w:val="center"/>
          </w:tcPr>
          <w:p w14:paraId="1324615F">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11.11</w:t>
            </w:r>
          </w:p>
        </w:tc>
        <w:tc>
          <w:tcPr>
            <w:tcW w:w="314" w:type="pct"/>
            <w:noWrap w:val="0"/>
            <w:vAlign w:val="center"/>
          </w:tcPr>
          <w:p w14:paraId="42FC4E82">
            <w:pPr>
              <w:widowControl/>
              <w:jc w:val="center"/>
              <w:rPr>
                <w:rFonts w:hint="default"/>
                <w:color w:val="auto"/>
                <w:kern w:val="0"/>
                <w:sz w:val="18"/>
                <w:szCs w:val="18"/>
                <w:lang w:val="en-US" w:eastAsia="zh-CN"/>
              </w:rPr>
            </w:pPr>
            <w:r>
              <w:rPr>
                <w:rFonts w:hint="eastAsia"/>
                <w:color w:val="auto"/>
                <w:kern w:val="0"/>
                <w:sz w:val="18"/>
                <w:szCs w:val="18"/>
                <w:lang w:val="en-US" w:eastAsia="zh-CN"/>
              </w:rPr>
              <w:t>0.9125</w:t>
            </w:r>
          </w:p>
        </w:tc>
        <w:tc>
          <w:tcPr>
            <w:tcW w:w="325" w:type="pct"/>
            <w:noWrap w:val="0"/>
            <w:vAlign w:val="center"/>
          </w:tcPr>
          <w:p w14:paraId="6DF16E2A">
            <w:pPr>
              <w:widowControl/>
              <w:jc w:val="center"/>
              <w:rPr>
                <w:rFonts w:hint="default"/>
                <w:color w:val="auto"/>
                <w:kern w:val="0"/>
                <w:sz w:val="18"/>
                <w:szCs w:val="18"/>
                <w:lang w:val="en-US" w:eastAsia="zh-CN"/>
              </w:rPr>
            </w:pPr>
            <w:r>
              <w:rPr>
                <w:rFonts w:hint="eastAsia"/>
                <w:color w:val="auto"/>
                <w:kern w:val="0"/>
                <w:sz w:val="18"/>
                <w:szCs w:val="18"/>
                <w:lang w:val="en-US" w:eastAsia="zh-CN"/>
              </w:rPr>
              <w:t>0.247</w:t>
            </w:r>
          </w:p>
        </w:tc>
        <w:tc>
          <w:tcPr>
            <w:tcW w:w="0" w:type="auto"/>
            <w:noWrap w:val="0"/>
            <w:vAlign w:val="center"/>
          </w:tcPr>
          <w:p w14:paraId="700D210C">
            <w:pPr>
              <w:widowControl/>
              <w:jc w:val="center"/>
              <w:rPr>
                <w:rFonts w:hint="default"/>
                <w:color w:val="auto"/>
                <w:kern w:val="0"/>
                <w:sz w:val="18"/>
                <w:szCs w:val="18"/>
                <w:lang w:val="en-US" w:eastAsia="zh-CN"/>
              </w:rPr>
            </w:pPr>
            <w:r>
              <w:rPr>
                <w:rFonts w:hint="eastAsia"/>
                <w:color w:val="auto"/>
                <w:kern w:val="0"/>
                <w:sz w:val="18"/>
                <w:szCs w:val="18"/>
                <w:lang w:val="en-US" w:eastAsia="zh-CN"/>
              </w:rPr>
              <w:t>3690</w:t>
            </w:r>
          </w:p>
        </w:tc>
      </w:tr>
      <w:tr w14:paraId="0AA4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restart"/>
            <w:noWrap w:val="0"/>
            <w:vAlign w:val="center"/>
          </w:tcPr>
          <w:p w14:paraId="1750CEF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熔窑废气</w:t>
            </w:r>
          </w:p>
        </w:tc>
        <w:tc>
          <w:tcPr>
            <w:tcW w:w="312" w:type="pct"/>
            <w:noWrap w:val="0"/>
            <w:vAlign w:val="center"/>
          </w:tcPr>
          <w:p w14:paraId="13C3F7B1">
            <w:pPr>
              <w:widowControl/>
              <w:jc w:val="center"/>
              <w:rPr>
                <w:color w:val="auto"/>
                <w:kern w:val="0"/>
                <w:sz w:val="18"/>
                <w:szCs w:val="18"/>
              </w:rPr>
            </w:pPr>
            <w:r>
              <w:rPr>
                <w:color w:val="auto"/>
                <w:sz w:val="18"/>
              </w:rPr>
              <w:t>SO</w:t>
            </w:r>
            <w:r>
              <w:rPr>
                <w:color w:val="auto"/>
                <w:sz w:val="18"/>
                <w:vertAlign w:val="subscript"/>
              </w:rPr>
              <w:t>2</w:t>
            </w:r>
          </w:p>
        </w:tc>
        <w:tc>
          <w:tcPr>
            <w:tcW w:w="207" w:type="pct"/>
            <w:vMerge w:val="continue"/>
            <w:noWrap w:val="0"/>
            <w:vAlign w:val="center"/>
          </w:tcPr>
          <w:p w14:paraId="62E678AF">
            <w:pPr>
              <w:widowControl/>
              <w:jc w:val="center"/>
              <w:rPr>
                <w:rFonts w:hint="eastAsia"/>
                <w:color w:val="auto"/>
                <w:kern w:val="0"/>
                <w:sz w:val="18"/>
                <w:szCs w:val="18"/>
              </w:rPr>
            </w:pPr>
          </w:p>
        </w:tc>
        <w:tc>
          <w:tcPr>
            <w:tcW w:w="281" w:type="pct"/>
            <w:vMerge w:val="restart"/>
            <w:noWrap w:val="0"/>
            <w:vAlign w:val="center"/>
          </w:tcPr>
          <w:p w14:paraId="0BE70373">
            <w:pPr>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17676.8</w:t>
            </w:r>
          </w:p>
        </w:tc>
        <w:tc>
          <w:tcPr>
            <w:tcW w:w="292" w:type="pct"/>
            <w:noWrap w:val="0"/>
            <w:vAlign w:val="center"/>
          </w:tcPr>
          <w:p w14:paraId="65B1EA29">
            <w:pPr>
              <w:widowControl/>
              <w:jc w:val="center"/>
              <w:rPr>
                <w:rFonts w:hint="default" w:eastAsia="等线"/>
                <w:color w:val="auto"/>
                <w:kern w:val="0"/>
                <w:sz w:val="18"/>
                <w:szCs w:val="18"/>
                <w:lang w:val="en-US" w:eastAsia="zh-CN"/>
              </w:rPr>
            </w:pPr>
            <w:r>
              <w:rPr>
                <w:rFonts w:hint="eastAsia" w:eastAsia="等线"/>
                <w:color w:val="auto"/>
                <w:sz w:val="18"/>
                <w:lang w:val="en-US" w:eastAsia="zh-CN"/>
              </w:rPr>
              <w:t>8.432</w:t>
            </w:r>
          </w:p>
        </w:tc>
        <w:tc>
          <w:tcPr>
            <w:tcW w:w="297" w:type="pct"/>
            <w:noWrap w:val="0"/>
            <w:vAlign w:val="center"/>
          </w:tcPr>
          <w:p w14:paraId="2998E048">
            <w:pPr>
              <w:widowControl/>
              <w:jc w:val="center"/>
              <w:rPr>
                <w:rFonts w:eastAsia="等线"/>
                <w:color w:val="auto"/>
                <w:kern w:val="0"/>
                <w:sz w:val="18"/>
                <w:szCs w:val="18"/>
              </w:rPr>
            </w:pPr>
            <w:r>
              <w:rPr>
                <w:rFonts w:hint="eastAsia" w:eastAsia="等线"/>
                <w:color w:val="auto"/>
                <w:sz w:val="18"/>
                <w:szCs w:val="18"/>
                <w:lang w:val="en-US" w:eastAsia="zh-CN"/>
              </w:rPr>
              <w:t>1.065</w:t>
            </w:r>
          </w:p>
        </w:tc>
        <w:tc>
          <w:tcPr>
            <w:tcW w:w="323" w:type="pct"/>
            <w:noWrap w:val="0"/>
            <w:vAlign w:val="center"/>
          </w:tcPr>
          <w:p w14:paraId="138F3BA6">
            <w:pPr>
              <w:widowControl/>
              <w:jc w:val="center"/>
              <w:rPr>
                <w:rFonts w:eastAsia="等线"/>
                <w:color w:val="auto"/>
                <w:kern w:val="0"/>
                <w:sz w:val="18"/>
                <w:szCs w:val="18"/>
              </w:rPr>
            </w:pPr>
            <w:r>
              <w:rPr>
                <w:rFonts w:hint="eastAsia" w:eastAsia="等线"/>
                <w:color w:val="auto"/>
                <w:sz w:val="18"/>
                <w:szCs w:val="18"/>
                <w:lang w:val="en-US" w:eastAsia="zh-CN"/>
              </w:rPr>
              <w:t>60.25</w:t>
            </w:r>
          </w:p>
        </w:tc>
        <w:tc>
          <w:tcPr>
            <w:tcW w:w="300" w:type="pct"/>
            <w:noWrap w:val="0"/>
            <w:vAlign w:val="center"/>
          </w:tcPr>
          <w:p w14:paraId="2F055EB4">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100</w:t>
            </w:r>
          </w:p>
        </w:tc>
        <w:tc>
          <w:tcPr>
            <w:tcW w:w="427" w:type="pct"/>
            <w:vMerge w:val="restart"/>
            <w:noWrap w:val="0"/>
            <w:vAlign w:val="center"/>
          </w:tcPr>
          <w:p w14:paraId="2440B34F">
            <w:pPr>
              <w:widowControl/>
              <w:jc w:val="center"/>
              <w:rPr>
                <w:bCs/>
                <w:color w:val="auto"/>
                <w:kern w:val="0"/>
                <w:sz w:val="18"/>
                <w:szCs w:val="18"/>
              </w:rPr>
            </w:pPr>
            <w:r>
              <w:rPr>
                <w:rFonts w:hint="eastAsia" w:ascii="Times New Roman" w:hAnsi="Times New Roman" w:eastAsia="宋体" w:cs="Times New Roman"/>
                <w:color w:val="auto"/>
                <w:sz w:val="18"/>
                <w:szCs w:val="18"/>
                <w:lang w:val="en-US" w:eastAsia="zh-CN"/>
              </w:rPr>
              <w:t>密闭收集+陶瓷纤维脱硝除尘一体烟气净化系统（调质脱硫塔+陶瓷滤筒脱硝除尘）</w:t>
            </w:r>
          </w:p>
        </w:tc>
        <w:tc>
          <w:tcPr>
            <w:tcW w:w="242" w:type="pct"/>
            <w:noWrap w:val="0"/>
            <w:vAlign w:val="center"/>
          </w:tcPr>
          <w:p w14:paraId="61D8D4EE">
            <w:pPr>
              <w:widowControl/>
              <w:jc w:val="center"/>
              <w:rPr>
                <w:rFonts w:hint="default" w:eastAsia="等线"/>
                <w:color w:val="auto"/>
                <w:kern w:val="0"/>
                <w:sz w:val="18"/>
                <w:szCs w:val="18"/>
                <w:lang w:val="en-US"/>
              </w:rPr>
            </w:pPr>
            <w:r>
              <w:rPr>
                <w:rFonts w:hint="eastAsia" w:eastAsia="等线"/>
                <w:color w:val="auto"/>
                <w:sz w:val="18"/>
                <w:szCs w:val="18"/>
                <w:lang w:val="en-US" w:eastAsia="zh-CN"/>
              </w:rPr>
              <w:t>30%</w:t>
            </w:r>
          </w:p>
        </w:tc>
        <w:tc>
          <w:tcPr>
            <w:tcW w:w="343" w:type="pct"/>
            <w:noWrap w:val="0"/>
            <w:vAlign w:val="center"/>
          </w:tcPr>
          <w:p w14:paraId="2FF64FFE">
            <w:pPr>
              <w:widowControl/>
              <w:jc w:val="center"/>
              <w:rPr>
                <w:color w:val="auto"/>
                <w:kern w:val="0"/>
                <w:sz w:val="18"/>
                <w:szCs w:val="18"/>
              </w:rPr>
            </w:pPr>
            <w:r>
              <w:rPr>
                <w:rFonts w:hint="eastAsia"/>
                <w:color w:val="auto"/>
                <w:kern w:val="0"/>
                <w:sz w:val="18"/>
                <w:szCs w:val="18"/>
              </w:rPr>
              <w:t>/</w:t>
            </w:r>
          </w:p>
        </w:tc>
        <w:tc>
          <w:tcPr>
            <w:tcW w:w="240" w:type="pct"/>
            <w:noWrap w:val="0"/>
            <w:vAlign w:val="center"/>
          </w:tcPr>
          <w:p w14:paraId="0F1C41FE">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5.9024</w:t>
            </w:r>
          </w:p>
        </w:tc>
        <w:tc>
          <w:tcPr>
            <w:tcW w:w="0" w:type="auto"/>
            <w:noWrap w:val="0"/>
            <w:vAlign w:val="center"/>
          </w:tcPr>
          <w:p w14:paraId="095A88DB">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0.745</w:t>
            </w:r>
          </w:p>
        </w:tc>
        <w:tc>
          <w:tcPr>
            <w:tcW w:w="0" w:type="auto"/>
            <w:noWrap w:val="0"/>
            <w:vAlign w:val="center"/>
          </w:tcPr>
          <w:p w14:paraId="4DB8FF46">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42.16</w:t>
            </w:r>
          </w:p>
        </w:tc>
        <w:tc>
          <w:tcPr>
            <w:tcW w:w="314" w:type="pct"/>
            <w:noWrap w:val="0"/>
            <w:vAlign w:val="center"/>
          </w:tcPr>
          <w:p w14:paraId="5F7B4C9E">
            <w:pPr>
              <w:widowControl/>
              <w:jc w:val="center"/>
              <w:rPr>
                <w:rFonts w:eastAsia="等线"/>
                <w:color w:val="auto"/>
                <w:kern w:val="0"/>
                <w:sz w:val="18"/>
                <w:szCs w:val="18"/>
              </w:rPr>
            </w:pPr>
            <w:r>
              <w:rPr>
                <w:rFonts w:eastAsia="等线"/>
                <w:color w:val="auto"/>
                <w:sz w:val="18"/>
                <w:szCs w:val="18"/>
              </w:rPr>
              <w:t>/</w:t>
            </w:r>
          </w:p>
        </w:tc>
        <w:tc>
          <w:tcPr>
            <w:tcW w:w="325" w:type="pct"/>
            <w:noWrap w:val="0"/>
            <w:vAlign w:val="center"/>
          </w:tcPr>
          <w:p w14:paraId="671B3C2F">
            <w:pPr>
              <w:widowControl/>
              <w:jc w:val="center"/>
              <w:rPr>
                <w:rFonts w:eastAsia="等线"/>
                <w:color w:val="auto"/>
                <w:kern w:val="0"/>
                <w:sz w:val="18"/>
                <w:szCs w:val="18"/>
              </w:rPr>
            </w:pPr>
            <w:r>
              <w:rPr>
                <w:rFonts w:eastAsia="等线"/>
                <w:color w:val="auto"/>
                <w:sz w:val="18"/>
                <w:szCs w:val="18"/>
              </w:rPr>
              <w:t>/</w:t>
            </w:r>
          </w:p>
        </w:tc>
        <w:tc>
          <w:tcPr>
            <w:tcW w:w="0" w:type="auto"/>
            <w:noWrap w:val="0"/>
            <w:vAlign w:val="center"/>
          </w:tcPr>
          <w:p w14:paraId="06B38A8F">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7920</w:t>
            </w:r>
          </w:p>
        </w:tc>
      </w:tr>
      <w:tr w14:paraId="25BC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1FF5E452">
            <w:pPr>
              <w:widowControl/>
              <w:jc w:val="center"/>
              <w:rPr>
                <w:color w:val="auto"/>
                <w:kern w:val="0"/>
                <w:sz w:val="18"/>
                <w:szCs w:val="18"/>
              </w:rPr>
            </w:pPr>
          </w:p>
        </w:tc>
        <w:tc>
          <w:tcPr>
            <w:tcW w:w="312" w:type="pct"/>
            <w:noWrap w:val="0"/>
            <w:vAlign w:val="center"/>
          </w:tcPr>
          <w:p w14:paraId="120F1DBB">
            <w:pPr>
              <w:widowControl/>
              <w:jc w:val="center"/>
              <w:rPr>
                <w:color w:val="auto"/>
                <w:kern w:val="0"/>
                <w:sz w:val="18"/>
                <w:szCs w:val="18"/>
              </w:rPr>
            </w:pPr>
            <w:r>
              <w:rPr>
                <w:color w:val="auto"/>
                <w:sz w:val="18"/>
              </w:rPr>
              <w:t>NOx</w:t>
            </w:r>
          </w:p>
        </w:tc>
        <w:tc>
          <w:tcPr>
            <w:tcW w:w="207" w:type="pct"/>
            <w:vMerge w:val="continue"/>
            <w:noWrap w:val="0"/>
            <w:vAlign w:val="center"/>
          </w:tcPr>
          <w:p w14:paraId="6BE424D5">
            <w:pPr>
              <w:widowControl/>
              <w:jc w:val="center"/>
              <w:rPr>
                <w:color w:val="auto"/>
                <w:kern w:val="0"/>
                <w:sz w:val="18"/>
                <w:szCs w:val="18"/>
              </w:rPr>
            </w:pPr>
          </w:p>
        </w:tc>
        <w:tc>
          <w:tcPr>
            <w:tcW w:w="281" w:type="pct"/>
            <w:vMerge w:val="continue"/>
            <w:noWrap w:val="0"/>
            <w:vAlign w:val="center"/>
          </w:tcPr>
          <w:p w14:paraId="375BFFCD">
            <w:pPr>
              <w:jc w:val="center"/>
              <w:rPr>
                <w:rFonts w:eastAsia="等线"/>
                <w:color w:val="auto"/>
                <w:kern w:val="0"/>
                <w:sz w:val="18"/>
                <w:szCs w:val="18"/>
              </w:rPr>
            </w:pPr>
          </w:p>
        </w:tc>
        <w:tc>
          <w:tcPr>
            <w:tcW w:w="292" w:type="pct"/>
            <w:noWrap w:val="0"/>
            <w:vAlign w:val="center"/>
          </w:tcPr>
          <w:p w14:paraId="09B0215E">
            <w:pPr>
              <w:widowControl/>
              <w:jc w:val="center"/>
              <w:rPr>
                <w:rFonts w:hint="default" w:eastAsia="宋体"/>
                <w:color w:val="auto"/>
                <w:sz w:val="18"/>
                <w:szCs w:val="18"/>
                <w:lang w:val="en-US" w:eastAsia="zh-CN"/>
              </w:rPr>
            </w:pPr>
            <w:r>
              <w:rPr>
                <w:rFonts w:hint="eastAsia"/>
                <w:color w:val="auto"/>
                <w:sz w:val="18"/>
                <w:lang w:val="en-US" w:eastAsia="zh-CN"/>
              </w:rPr>
              <w:t>153.3</w:t>
            </w:r>
          </w:p>
        </w:tc>
        <w:tc>
          <w:tcPr>
            <w:tcW w:w="297" w:type="pct"/>
            <w:noWrap w:val="0"/>
            <w:vAlign w:val="center"/>
          </w:tcPr>
          <w:p w14:paraId="794FECEE">
            <w:pPr>
              <w:widowControl/>
              <w:jc w:val="center"/>
              <w:rPr>
                <w:color w:val="auto"/>
                <w:sz w:val="18"/>
                <w:szCs w:val="18"/>
              </w:rPr>
            </w:pPr>
            <w:r>
              <w:rPr>
                <w:rFonts w:hint="eastAsia" w:eastAsia="等线"/>
                <w:color w:val="auto"/>
                <w:sz w:val="18"/>
                <w:szCs w:val="18"/>
                <w:lang w:val="en-US" w:eastAsia="zh-CN"/>
              </w:rPr>
              <w:t>19.36</w:t>
            </w:r>
          </w:p>
        </w:tc>
        <w:tc>
          <w:tcPr>
            <w:tcW w:w="323" w:type="pct"/>
            <w:noWrap w:val="0"/>
            <w:vAlign w:val="center"/>
          </w:tcPr>
          <w:p w14:paraId="50262EA4">
            <w:pPr>
              <w:widowControl/>
              <w:jc w:val="center"/>
              <w:rPr>
                <w:rFonts w:hint="default" w:eastAsia="宋体"/>
                <w:color w:val="auto"/>
                <w:sz w:val="18"/>
                <w:szCs w:val="18"/>
                <w:lang w:val="en-US" w:eastAsia="zh-CN"/>
              </w:rPr>
            </w:pPr>
            <w:r>
              <w:rPr>
                <w:rFonts w:hint="eastAsia"/>
                <w:color w:val="auto"/>
                <w:sz w:val="18"/>
                <w:szCs w:val="18"/>
                <w:lang w:val="en-US" w:eastAsia="zh-CN"/>
              </w:rPr>
              <w:t>1095.22</w:t>
            </w:r>
          </w:p>
        </w:tc>
        <w:tc>
          <w:tcPr>
            <w:tcW w:w="300" w:type="pct"/>
            <w:noWrap w:val="0"/>
            <w:vAlign w:val="center"/>
          </w:tcPr>
          <w:p w14:paraId="2C4A2511">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100</w:t>
            </w:r>
          </w:p>
        </w:tc>
        <w:tc>
          <w:tcPr>
            <w:tcW w:w="427" w:type="pct"/>
            <w:vMerge w:val="continue"/>
            <w:noWrap w:val="0"/>
            <w:vAlign w:val="center"/>
          </w:tcPr>
          <w:p w14:paraId="2BBCF337">
            <w:pPr>
              <w:widowControl/>
              <w:jc w:val="center"/>
              <w:rPr>
                <w:bCs/>
                <w:color w:val="auto"/>
                <w:kern w:val="0"/>
                <w:sz w:val="18"/>
                <w:szCs w:val="18"/>
              </w:rPr>
            </w:pPr>
          </w:p>
        </w:tc>
        <w:tc>
          <w:tcPr>
            <w:tcW w:w="242" w:type="pct"/>
            <w:noWrap w:val="0"/>
            <w:vAlign w:val="center"/>
          </w:tcPr>
          <w:p w14:paraId="12BEA9ED">
            <w:pPr>
              <w:widowControl/>
              <w:jc w:val="center"/>
              <w:rPr>
                <w:rFonts w:eastAsia="等线"/>
                <w:color w:val="auto"/>
                <w:kern w:val="0"/>
                <w:sz w:val="18"/>
                <w:szCs w:val="18"/>
              </w:rPr>
            </w:pPr>
            <w:r>
              <w:rPr>
                <w:rFonts w:hint="eastAsia" w:eastAsia="等线"/>
                <w:color w:val="auto"/>
                <w:sz w:val="18"/>
                <w:szCs w:val="18"/>
                <w:lang w:val="en-US" w:eastAsia="zh-CN"/>
              </w:rPr>
              <w:t>85</w:t>
            </w:r>
          </w:p>
        </w:tc>
        <w:tc>
          <w:tcPr>
            <w:tcW w:w="343" w:type="pct"/>
            <w:noWrap w:val="0"/>
            <w:vAlign w:val="center"/>
          </w:tcPr>
          <w:p w14:paraId="6B123FDC">
            <w:pPr>
              <w:widowControl/>
              <w:jc w:val="center"/>
              <w:rPr>
                <w:color w:val="auto"/>
                <w:kern w:val="0"/>
                <w:sz w:val="18"/>
                <w:szCs w:val="18"/>
              </w:rPr>
            </w:pPr>
            <w:r>
              <w:rPr>
                <w:rFonts w:hint="eastAsia"/>
                <w:color w:val="auto"/>
                <w:kern w:val="0"/>
                <w:sz w:val="18"/>
                <w:szCs w:val="18"/>
              </w:rPr>
              <w:t>/</w:t>
            </w:r>
          </w:p>
        </w:tc>
        <w:tc>
          <w:tcPr>
            <w:tcW w:w="240" w:type="pct"/>
            <w:noWrap w:val="0"/>
            <w:vAlign w:val="center"/>
          </w:tcPr>
          <w:p w14:paraId="49850D51">
            <w:pPr>
              <w:widowControl/>
              <w:jc w:val="center"/>
              <w:rPr>
                <w:color w:val="auto"/>
                <w:sz w:val="18"/>
                <w:szCs w:val="18"/>
              </w:rPr>
            </w:pPr>
            <w:r>
              <w:rPr>
                <w:rFonts w:hint="eastAsia"/>
                <w:color w:val="auto"/>
                <w:sz w:val="18"/>
                <w:lang w:val="en-US" w:eastAsia="zh-CN"/>
              </w:rPr>
              <w:t>22.995</w:t>
            </w:r>
          </w:p>
        </w:tc>
        <w:tc>
          <w:tcPr>
            <w:tcW w:w="0" w:type="auto"/>
            <w:noWrap w:val="0"/>
            <w:vAlign w:val="center"/>
          </w:tcPr>
          <w:p w14:paraId="03CB08BC">
            <w:pPr>
              <w:widowControl/>
              <w:jc w:val="center"/>
              <w:rPr>
                <w:color w:val="auto"/>
                <w:sz w:val="18"/>
                <w:szCs w:val="18"/>
              </w:rPr>
            </w:pPr>
            <w:r>
              <w:rPr>
                <w:rFonts w:hint="eastAsia" w:eastAsia="等线"/>
                <w:color w:val="auto"/>
                <w:sz w:val="18"/>
                <w:szCs w:val="18"/>
                <w:lang w:val="en-US" w:eastAsia="zh-CN"/>
              </w:rPr>
              <w:t>2.903</w:t>
            </w:r>
          </w:p>
        </w:tc>
        <w:tc>
          <w:tcPr>
            <w:tcW w:w="0" w:type="auto"/>
            <w:noWrap w:val="0"/>
            <w:vAlign w:val="center"/>
          </w:tcPr>
          <w:p w14:paraId="31BD271D">
            <w:pPr>
              <w:widowControl/>
              <w:jc w:val="center"/>
              <w:rPr>
                <w:rFonts w:hint="default" w:eastAsia="宋体"/>
                <w:color w:val="auto"/>
                <w:sz w:val="18"/>
                <w:szCs w:val="18"/>
                <w:lang w:val="en-US" w:eastAsia="zh-CN"/>
              </w:rPr>
            </w:pPr>
            <w:r>
              <w:rPr>
                <w:rFonts w:hint="eastAsia" w:eastAsia="等线"/>
                <w:color w:val="auto"/>
                <w:sz w:val="18"/>
                <w:szCs w:val="18"/>
                <w:lang w:val="en-US" w:eastAsia="zh-CN"/>
              </w:rPr>
              <w:t>164.23</w:t>
            </w:r>
          </w:p>
        </w:tc>
        <w:tc>
          <w:tcPr>
            <w:tcW w:w="314" w:type="pct"/>
            <w:noWrap w:val="0"/>
            <w:vAlign w:val="center"/>
          </w:tcPr>
          <w:p w14:paraId="2078FBEA">
            <w:pPr>
              <w:widowControl/>
              <w:jc w:val="center"/>
              <w:rPr>
                <w:color w:val="auto"/>
                <w:sz w:val="18"/>
                <w:szCs w:val="18"/>
              </w:rPr>
            </w:pPr>
            <w:r>
              <w:rPr>
                <w:rFonts w:eastAsia="等线"/>
                <w:color w:val="auto"/>
                <w:sz w:val="18"/>
                <w:szCs w:val="18"/>
              </w:rPr>
              <w:t>/</w:t>
            </w:r>
          </w:p>
        </w:tc>
        <w:tc>
          <w:tcPr>
            <w:tcW w:w="325" w:type="pct"/>
            <w:noWrap w:val="0"/>
            <w:vAlign w:val="center"/>
          </w:tcPr>
          <w:p w14:paraId="03143BBE">
            <w:pPr>
              <w:widowControl/>
              <w:jc w:val="center"/>
              <w:rPr>
                <w:color w:val="auto"/>
                <w:sz w:val="18"/>
                <w:szCs w:val="18"/>
              </w:rPr>
            </w:pPr>
            <w:r>
              <w:rPr>
                <w:rFonts w:eastAsia="等线"/>
                <w:color w:val="auto"/>
                <w:sz w:val="18"/>
                <w:szCs w:val="18"/>
              </w:rPr>
              <w:t>/</w:t>
            </w:r>
          </w:p>
        </w:tc>
        <w:tc>
          <w:tcPr>
            <w:tcW w:w="0" w:type="auto"/>
            <w:noWrap w:val="0"/>
            <w:vAlign w:val="center"/>
          </w:tcPr>
          <w:p w14:paraId="4810DEEE">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7920</w:t>
            </w:r>
          </w:p>
        </w:tc>
      </w:tr>
      <w:tr w14:paraId="3E3B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2D817BF1">
            <w:pPr>
              <w:widowControl/>
              <w:jc w:val="center"/>
              <w:rPr>
                <w:color w:val="auto"/>
                <w:kern w:val="0"/>
                <w:sz w:val="18"/>
                <w:szCs w:val="18"/>
              </w:rPr>
            </w:pPr>
          </w:p>
        </w:tc>
        <w:tc>
          <w:tcPr>
            <w:tcW w:w="312" w:type="pct"/>
            <w:noWrap w:val="0"/>
            <w:vAlign w:val="center"/>
          </w:tcPr>
          <w:p w14:paraId="20B25C31">
            <w:pPr>
              <w:widowControl/>
              <w:jc w:val="center"/>
              <w:rPr>
                <w:color w:val="auto"/>
                <w:kern w:val="0"/>
                <w:sz w:val="18"/>
                <w:szCs w:val="18"/>
              </w:rPr>
            </w:pPr>
            <w:r>
              <w:rPr>
                <w:color w:val="auto"/>
                <w:sz w:val="18"/>
              </w:rPr>
              <w:t>烟尘</w:t>
            </w:r>
          </w:p>
        </w:tc>
        <w:tc>
          <w:tcPr>
            <w:tcW w:w="207" w:type="pct"/>
            <w:vMerge w:val="continue"/>
            <w:noWrap w:val="0"/>
            <w:vAlign w:val="center"/>
          </w:tcPr>
          <w:p w14:paraId="360B4DFA">
            <w:pPr>
              <w:widowControl/>
              <w:jc w:val="center"/>
              <w:rPr>
                <w:color w:val="auto"/>
                <w:kern w:val="0"/>
                <w:sz w:val="18"/>
                <w:szCs w:val="18"/>
              </w:rPr>
            </w:pPr>
          </w:p>
        </w:tc>
        <w:tc>
          <w:tcPr>
            <w:tcW w:w="281" w:type="pct"/>
            <w:vMerge w:val="continue"/>
            <w:noWrap w:val="0"/>
            <w:vAlign w:val="center"/>
          </w:tcPr>
          <w:p w14:paraId="6C942908">
            <w:pPr>
              <w:jc w:val="center"/>
              <w:rPr>
                <w:rFonts w:eastAsia="等线"/>
                <w:color w:val="auto"/>
                <w:kern w:val="0"/>
                <w:sz w:val="18"/>
                <w:szCs w:val="18"/>
              </w:rPr>
            </w:pPr>
          </w:p>
        </w:tc>
        <w:tc>
          <w:tcPr>
            <w:tcW w:w="292" w:type="pct"/>
            <w:noWrap w:val="0"/>
            <w:vAlign w:val="center"/>
          </w:tcPr>
          <w:p w14:paraId="683FE679">
            <w:pPr>
              <w:widowControl/>
              <w:jc w:val="center"/>
              <w:rPr>
                <w:rFonts w:hint="default" w:eastAsia="宋体"/>
                <w:color w:val="auto"/>
                <w:sz w:val="18"/>
                <w:szCs w:val="18"/>
                <w:lang w:val="en-US" w:eastAsia="zh-CN"/>
              </w:rPr>
            </w:pPr>
            <w:r>
              <w:rPr>
                <w:rFonts w:hint="eastAsia"/>
                <w:color w:val="auto"/>
                <w:sz w:val="18"/>
                <w:lang w:val="en-US" w:eastAsia="zh-CN"/>
              </w:rPr>
              <w:t>5.402</w:t>
            </w:r>
          </w:p>
        </w:tc>
        <w:tc>
          <w:tcPr>
            <w:tcW w:w="297" w:type="pct"/>
            <w:noWrap w:val="0"/>
            <w:vAlign w:val="center"/>
          </w:tcPr>
          <w:p w14:paraId="503699FC">
            <w:pPr>
              <w:widowControl/>
              <w:jc w:val="center"/>
              <w:rPr>
                <w:rFonts w:hint="default" w:eastAsia="等线"/>
                <w:color w:val="auto"/>
                <w:sz w:val="18"/>
                <w:szCs w:val="18"/>
                <w:lang w:val="en-US" w:eastAsia="zh-CN"/>
              </w:rPr>
            </w:pPr>
            <w:r>
              <w:rPr>
                <w:rFonts w:eastAsia="等线"/>
                <w:color w:val="auto"/>
                <w:sz w:val="18"/>
                <w:szCs w:val="18"/>
              </w:rPr>
              <w:t>0.</w:t>
            </w:r>
            <w:r>
              <w:rPr>
                <w:rFonts w:hint="eastAsia" w:eastAsia="等线"/>
                <w:color w:val="auto"/>
                <w:sz w:val="18"/>
                <w:szCs w:val="18"/>
                <w:lang w:val="en-US" w:eastAsia="zh-CN"/>
              </w:rPr>
              <w:t>682</w:t>
            </w:r>
          </w:p>
        </w:tc>
        <w:tc>
          <w:tcPr>
            <w:tcW w:w="323" w:type="pct"/>
            <w:noWrap w:val="0"/>
            <w:vAlign w:val="center"/>
          </w:tcPr>
          <w:p w14:paraId="3756A52A">
            <w:pPr>
              <w:widowControl/>
              <w:jc w:val="center"/>
              <w:rPr>
                <w:color w:val="auto"/>
                <w:sz w:val="18"/>
                <w:szCs w:val="18"/>
              </w:rPr>
            </w:pPr>
            <w:r>
              <w:rPr>
                <w:rFonts w:hint="eastAsia" w:eastAsia="等线"/>
                <w:color w:val="auto"/>
                <w:sz w:val="18"/>
                <w:szCs w:val="18"/>
                <w:lang w:val="en-US" w:eastAsia="zh-CN"/>
              </w:rPr>
              <w:t>38</w:t>
            </w:r>
            <w:r>
              <w:rPr>
                <w:rFonts w:eastAsia="等线"/>
                <w:color w:val="auto"/>
                <w:sz w:val="18"/>
                <w:szCs w:val="18"/>
              </w:rPr>
              <w:t xml:space="preserve">.58 </w:t>
            </w:r>
          </w:p>
        </w:tc>
        <w:tc>
          <w:tcPr>
            <w:tcW w:w="300" w:type="pct"/>
            <w:noWrap w:val="0"/>
            <w:vAlign w:val="center"/>
          </w:tcPr>
          <w:p w14:paraId="0807C202">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100</w:t>
            </w:r>
          </w:p>
        </w:tc>
        <w:tc>
          <w:tcPr>
            <w:tcW w:w="427" w:type="pct"/>
            <w:vMerge w:val="continue"/>
            <w:noWrap w:val="0"/>
            <w:vAlign w:val="center"/>
          </w:tcPr>
          <w:p w14:paraId="1CCF75CF">
            <w:pPr>
              <w:widowControl/>
              <w:jc w:val="center"/>
              <w:rPr>
                <w:bCs/>
                <w:color w:val="auto"/>
                <w:kern w:val="0"/>
                <w:sz w:val="18"/>
                <w:szCs w:val="18"/>
              </w:rPr>
            </w:pPr>
          </w:p>
        </w:tc>
        <w:tc>
          <w:tcPr>
            <w:tcW w:w="242" w:type="pct"/>
            <w:noWrap w:val="0"/>
            <w:vAlign w:val="center"/>
          </w:tcPr>
          <w:p w14:paraId="4C7C8E46">
            <w:pPr>
              <w:widowControl/>
              <w:jc w:val="center"/>
              <w:rPr>
                <w:rFonts w:eastAsia="等线"/>
                <w:color w:val="auto"/>
                <w:kern w:val="0"/>
                <w:sz w:val="18"/>
                <w:szCs w:val="18"/>
              </w:rPr>
            </w:pPr>
            <w:r>
              <w:rPr>
                <w:rFonts w:hint="eastAsia" w:eastAsia="等线"/>
                <w:color w:val="auto"/>
                <w:sz w:val="18"/>
                <w:szCs w:val="18"/>
                <w:lang w:val="en-US" w:eastAsia="zh-CN"/>
              </w:rPr>
              <w:t>99</w:t>
            </w:r>
          </w:p>
        </w:tc>
        <w:tc>
          <w:tcPr>
            <w:tcW w:w="343" w:type="pct"/>
            <w:noWrap w:val="0"/>
            <w:vAlign w:val="center"/>
          </w:tcPr>
          <w:p w14:paraId="49474BF5">
            <w:pPr>
              <w:widowControl/>
              <w:jc w:val="center"/>
              <w:rPr>
                <w:color w:val="auto"/>
                <w:kern w:val="0"/>
                <w:sz w:val="18"/>
                <w:szCs w:val="18"/>
              </w:rPr>
            </w:pPr>
            <w:r>
              <w:rPr>
                <w:rFonts w:hint="eastAsia"/>
                <w:color w:val="auto"/>
                <w:kern w:val="0"/>
                <w:sz w:val="18"/>
                <w:szCs w:val="18"/>
              </w:rPr>
              <w:t>/</w:t>
            </w:r>
          </w:p>
        </w:tc>
        <w:tc>
          <w:tcPr>
            <w:tcW w:w="240" w:type="pct"/>
            <w:noWrap w:val="0"/>
            <w:vAlign w:val="center"/>
          </w:tcPr>
          <w:p w14:paraId="4FB8A949">
            <w:pPr>
              <w:widowControl/>
              <w:jc w:val="center"/>
              <w:rPr>
                <w:rFonts w:hint="default" w:eastAsia="宋体"/>
                <w:color w:val="auto"/>
                <w:sz w:val="18"/>
                <w:szCs w:val="18"/>
                <w:lang w:val="en-US" w:eastAsia="zh-CN"/>
              </w:rPr>
            </w:pPr>
            <w:r>
              <w:rPr>
                <w:color w:val="auto"/>
                <w:sz w:val="18"/>
              </w:rPr>
              <w:t>0.</w:t>
            </w:r>
            <w:r>
              <w:rPr>
                <w:rFonts w:hint="eastAsia"/>
                <w:color w:val="auto"/>
                <w:sz w:val="18"/>
                <w:lang w:val="en-US" w:eastAsia="zh-CN"/>
              </w:rPr>
              <w:t>054</w:t>
            </w:r>
          </w:p>
        </w:tc>
        <w:tc>
          <w:tcPr>
            <w:tcW w:w="0" w:type="auto"/>
            <w:noWrap w:val="0"/>
            <w:vAlign w:val="center"/>
          </w:tcPr>
          <w:p w14:paraId="058B3652">
            <w:pPr>
              <w:widowControl/>
              <w:jc w:val="center"/>
              <w:rPr>
                <w:rFonts w:hint="default" w:eastAsia="宋体"/>
                <w:color w:val="auto"/>
                <w:sz w:val="18"/>
                <w:szCs w:val="18"/>
                <w:lang w:val="en-US" w:eastAsia="zh-CN"/>
              </w:rPr>
            </w:pPr>
            <w:r>
              <w:rPr>
                <w:rFonts w:hint="eastAsia" w:eastAsia="等线"/>
                <w:color w:val="auto"/>
                <w:sz w:val="18"/>
                <w:szCs w:val="18"/>
                <w:lang w:val="en-US" w:eastAsia="zh-CN"/>
              </w:rPr>
              <w:t>0.007</w:t>
            </w:r>
          </w:p>
        </w:tc>
        <w:tc>
          <w:tcPr>
            <w:tcW w:w="0" w:type="auto"/>
            <w:noWrap w:val="0"/>
            <w:vAlign w:val="center"/>
          </w:tcPr>
          <w:p w14:paraId="59B99E40">
            <w:pPr>
              <w:widowControl/>
              <w:jc w:val="center"/>
              <w:rPr>
                <w:rFonts w:hint="default" w:eastAsia="宋体"/>
                <w:color w:val="auto"/>
                <w:sz w:val="18"/>
                <w:szCs w:val="18"/>
                <w:lang w:val="en-US" w:eastAsia="zh-CN"/>
              </w:rPr>
            </w:pPr>
            <w:r>
              <w:rPr>
                <w:rFonts w:hint="eastAsia" w:eastAsia="等线"/>
                <w:color w:val="auto"/>
                <w:sz w:val="18"/>
                <w:szCs w:val="18"/>
                <w:lang w:val="en-US" w:eastAsia="zh-CN"/>
              </w:rPr>
              <w:t>0.4</w:t>
            </w:r>
          </w:p>
        </w:tc>
        <w:tc>
          <w:tcPr>
            <w:tcW w:w="314" w:type="pct"/>
            <w:noWrap w:val="0"/>
            <w:vAlign w:val="center"/>
          </w:tcPr>
          <w:p w14:paraId="328A4713">
            <w:pPr>
              <w:widowControl/>
              <w:jc w:val="center"/>
              <w:rPr>
                <w:color w:val="auto"/>
                <w:sz w:val="18"/>
                <w:szCs w:val="18"/>
              </w:rPr>
            </w:pPr>
            <w:r>
              <w:rPr>
                <w:rFonts w:eastAsia="等线"/>
                <w:color w:val="auto"/>
                <w:sz w:val="18"/>
                <w:szCs w:val="18"/>
              </w:rPr>
              <w:t>/</w:t>
            </w:r>
          </w:p>
        </w:tc>
        <w:tc>
          <w:tcPr>
            <w:tcW w:w="325" w:type="pct"/>
            <w:noWrap w:val="0"/>
            <w:vAlign w:val="center"/>
          </w:tcPr>
          <w:p w14:paraId="18108BBF">
            <w:pPr>
              <w:widowControl/>
              <w:jc w:val="center"/>
              <w:rPr>
                <w:color w:val="auto"/>
                <w:sz w:val="18"/>
                <w:szCs w:val="18"/>
              </w:rPr>
            </w:pPr>
            <w:r>
              <w:rPr>
                <w:rFonts w:eastAsia="等线"/>
                <w:color w:val="auto"/>
                <w:sz w:val="18"/>
                <w:szCs w:val="18"/>
              </w:rPr>
              <w:t>/</w:t>
            </w:r>
          </w:p>
        </w:tc>
        <w:tc>
          <w:tcPr>
            <w:tcW w:w="0" w:type="auto"/>
            <w:noWrap w:val="0"/>
            <w:vAlign w:val="center"/>
          </w:tcPr>
          <w:p w14:paraId="4D1AB980">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7920</w:t>
            </w:r>
          </w:p>
        </w:tc>
      </w:tr>
      <w:tr w14:paraId="095F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60EB5C0A">
            <w:pPr>
              <w:widowControl/>
              <w:jc w:val="center"/>
              <w:rPr>
                <w:color w:val="auto"/>
                <w:kern w:val="0"/>
                <w:sz w:val="18"/>
                <w:szCs w:val="18"/>
              </w:rPr>
            </w:pPr>
          </w:p>
        </w:tc>
        <w:tc>
          <w:tcPr>
            <w:tcW w:w="312" w:type="pct"/>
            <w:noWrap w:val="0"/>
            <w:vAlign w:val="center"/>
          </w:tcPr>
          <w:p w14:paraId="0BAE9808">
            <w:pPr>
              <w:widowControl/>
              <w:jc w:val="center"/>
              <w:rPr>
                <w:color w:val="auto"/>
                <w:sz w:val="18"/>
              </w:rPr>
            </w:pPr>
            <w:r>
              <w:rPr>
                <w:rFonts w:hint="eastAsia"/>
                <w:color w:val="auto"/>
                <w:sz w:val="18"/>
                <w:lang w:val="en-US" w:eastAsia="zh-CN"/>
              </w:rPr>
              <w:t>氨</w:t>
            </w:r>
          </w:p>
        </w:tc>
        <w:tc>
          <w:tcPr>
            <w:tcW w:w="207" w:type="pct"/>
            <w:vMerge w:val="continue"/>
            <w:noWrap w:val="0"/>
            <w:vAlign w:val="center"/>
          </w:tcPr>
          <w:p w14:paraId="0DC53666">
            <w:pPr>
              <w:widowControl/>
              <w:jc w:val="center"/>
              <w:rPr>
                <w:color w:val="auto"/>
                <w:kern w:val="0"/>
                <w:sz w:val="18"/>
                <w:szCs w:val="18"/>
              </w:rPr>
            </w:pPr>
          </w:p>
        </w:tc>
        <w:tc>
          <w:tcPr>
            <w:tcW w:w="281" w:type="pct"/>
            <w:vMerge w:val="continue"/>
            <w:noWrap w:val="0"/>
            <w:vAlign w:val="center"/>
          </w:tcPr>
          <w:p w14:paraId="2098472E">
            <w:pPr>
              <w:jc w:val="center"/>
              <w:rPr>
                <w:rFonts w:eastAsia="等线"/>
                <w:color w:val="auto"/>
                <w:kern w:val="0"/>
                <w:sz w:val="18"/>
                <w:szCs w:val="18"/>
              </w:rPr>
            </w:pPr>
          </w:p>
        </w:tc>
        <w:tc>
          <w:tcPr>
            <w:tcW w:w="292" w:type="pct"/>
            <w:noWrap w:val="0"/>
            <w:vAlign w:val="center"/>
          </w:tcPr>
          <w:p w14:paraId="658FD82F">
            <w:pPr>
              <w:widowControl/>
              <w:jc w:val="center"/>
              <w:rPr>
                <w:rFonts w:hint="eastAsia"/>
                <w:color w:val="auto"/>
                <w:sz w:val="18"/>
                <w:lang w:val="en-US" w:eastAsia="zh-CN"/>
              </w:rPr>
            </w:pPr>
            <w:r>
              <w:rPr>
                <w:rFonts w:hint="eastAsia" w:eastAsia="等线"/>
                <w:color w:val="auto"/>
                <w:sz w:val="18"/>
                <w:szCs w:val="18"/>
                <w:lang w:val="en-US" w:eastAsia="zh-CN"/>
              </w:rPr>
              <w:t>0.395</w:t>
            </w:r>
          </w:p>
        </w:tc>
        <w:tc>
          <w:tcPr>
            <w:tcW w:w="297" w:type="pct"/>
            <w:noWrap w:val="0"/>
            <w:vAlign w:val="center"/>
          </w:tcPr>
          <w:p w14:paraId="42E37A4B">
            <w:pPr>
              <w:widowControl/>
              <w:jc w:val="center"/>
              <w:rPr>
                <w:rFonts w:eastAsia="等线"/>
                <w:color w:val="auto"/>
                <w:sz w:val="18"/>
                <w:szCs w:val="18"/>
              </w:rPr>
            </w:pPr>
            <w:r>
              <w:rPr>
                <w:rFonts w:hint="eastAsia" w:eastAsia="等线"/>
                <w:color w:val="auto"/>
                <w:sz w:val="18"/>
                <w:szCs w:val="18"/>
                <w:lang w:val="en-US" w:eastAsia="zh-CN"/>
              </w:rPr>
              <w:t>0.05</w:t>
            </w:r>
          </w:p>
        </w:tc>
        <w:tc>
          <w:tcPr>
            <w:tcW w:w="323" w:type="pct"/>
            <w:noWrap w:val="0"/>
            <w:vAlign w:val="center"/>
          </w:tcPr>
          <w:p w14:paraId="14B7C540">
            <w:pPr>
              <w:widowControl/>
              <w:jc w:val="center"/>
              <w:rPr>
                <w:rFonts w:hint="eastAsia" w:eastAsia="等线"/>
                <w:color w:val="auto"/>
                <w:sz w:val="18"/>
                <w:szCs w:val="18"/>
                <w:lang w:val="en-US" w:eastAsia="zh-CN"/>
              </w:rPr>
            </w:pPr>
            <w:r>
              <w:rPr>
                <w:rFonts w:hint="eastAsia" w:eastAsia="等线"/>
                <w:color w:val="auto"/>
                <w:sz w:val="18"/>
                <w:szCs w:val="18"/>
                <w:lang w:val="en-US" w:eastAsia="zh-CN"/>
              </w:rPr>
              <w:t>2.82</w:t>
            </w:r>
          </w:p>
        </w:tc>
        <w:tc>
          <w:tcPr>
            <w:tcW w:w="300" w:type="pct"/>
            <w:noWrap w:val="0"/>
            <w:vAlign w:val="center"/>
          </w:tcPr>
          <w:p w14:paraId="013B88CB">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100</w:t>
            </w:r>
          </w:p>
        </w:tc>
        <w:tc>
          <w:tcPr>
            <w:tcW w:w="427" w:type="pct"/>
            <w:vMerge w:val="continue"/>
            <w:noWrap w:val="0"/>
            <w:vAlign w:val="center"/>
          </w:tcPr>
          <w:p w14:paraId="3A6A4453">
            <w:pPr>
              <w:widowControl/>
              <w:jc w:val="center"/>
              <w:rPr>
                <w:bCs/>
                <w:color w:val="auto"/>
                <w:kern w:val="0"/>
                <w:sz w:val="18"/>
                <w:szCs w:val="18"/>
              </w:rPr>
            </w:pPr>
          </w:p>
        </w:tc>
        <w:tc>
          <w:tcPr>
            <w:tcW w:w="242" w:type="pct"/>
            <w:noWrap w:val="0"/>
            <w:vAlign w:val="center"/>
          </w:tcPr>
          <w:p w14:paraId="0E627D50">
            <w:pPr>
              <w:widowControl/>
              <w:jc w:val="center"/>
              <w:rPr>
                <w:rFonts w:hint="eastAsia" w:eastAsia="等线"/>
                <w:color w:val="auto"/>
                <w:sz w:val="18"/>
                <w:szCs w:val="18"/>
                <w:lang w:val="en-US" w:eastAsia="zh-CN"/>
              </w:rPr>
            </w:pPr>
          </w:p>
        </w:tc>
        <w:tc>
          <w:tcPr>
            <w:tcW w:w="343" w:type="pct"/>
            <w:noWrap w:val="0"/>
            <w:vAlign w:val="center"/>
          </w:tcPr>
          <w:p w14:paraId="31E144BF">
            <w:pPr>
              <w:widowControl/>
              <w:jc w:val="center"/>
              <w:rPr>
                <w:rFonts w:hint="eastAsia"/>
                <w:color w:val="auto"/>
                <w:kern w:val="0"/>
                <w:sz w:val="18"/>
                <w:szCs w:val="18"/>
              </w:rPr>
            </w:pPr>
          </w:p>
        </w:tc>
        <w:tc>
          <w:tcPr>
            <w:tcW w:w="240" w:type="pct"/>
            <w:noWrap w:val="0"/>
            <w:vAlign w:val="center"/>
          </w:tcPr>
          <w:p w14:paraId="616D3D0F">
            <w:pPr>
              <w:widowControl/>
              <w:jc w:val="center"/>
              <w:rPr>
                <w:color w:val="auto"/>
                <w:sz w:val="18"/>
              </w:rPr>
            </w:pPr>
            <w:r>
              <w:rPr>
                <w:rFonts w:hint="eastAsia" w:eastAsia="等线"/>
                <w:color w:val="auto"/>
                <w:sz w:val="18"/>
                <w:szCs w:val="18"/>
                <w:lang w:val="en-US" w:eastAsia="zh-CN"/>
              </w:rPr>
              <w:t>0.395</w:t>
            </w:r>
          </w:p>
        </w:tc>
        <w:tc>
          <w:tcPr>
            <w:tcW w:w="252" w:type="pct"/>
            <w:noWrap w:val="0"/>
            <w:vAlign w:val="center"/>
          </w:tcPr>
          <w:p w14:paraId="47490F9C">
            <w:pPr>
              <w:widowControl/>
              <w:jc w:val="center"/>
              <w:rPr>
                <w:rFonts w:hint="eastAsia" w:eastAsia="等线"/>
                <w:color w:val="auto"/>
                <w:sz w:val="18"/>
                <w:szCs w:val="18"/>
                <w:lang w:val="en-US" w:eastAsia="zh-CN"/>
              </w:rPr>
            </w:pPr>
            <w:r>
              <w:rPr>
                <w:rFonts w:hint="eastAsia" w:eastAsia="等线"/>
                <w:color w:val="auto"/>
                <w:sz w:val="18"/>
                <w:szCs w:val="18"/>
                <w:lang w:val="en-US" w:eastAsia="zh-CN"/>
              </w:rPr>
              <w:t>0.05</w:t>
            </w:r>
          </w:p>
        </w:tc>
        <w:tc>
          <w:tcPr>
            <w:tcW w:w="265" w:type="pct"/>
            <w:noWrap w:val="0"/>
            <w:vAlign w:val="center"/>
          </w:tcPr>
          <w:p w14:paraId="54801DBD">
            <w:pPr>
              <w:widowControl/>
              <w:jc w:val="center"/>
              <w:rPr>
                <w:rFonts w:hint="eastAsia" w:eastAsia="等线"/>
                <w:color w:val="auto"/>
                <w:sz w:val="18"/>
                <w:szCs w:val="18"/>
                <w:lang w:val="en-US" w:eastAsia="zh-CN"/>
              </w:rPr>
            </w:pPr>
            <w:r>
              <w:rPr>
                <w:rFonts w:hint="eastAsia" w:eastAsia="等线"/>
                <w:color w:val="auto"/>
                <w:sz w:val="18"/>
                <w:szCs w:val="18"/>
                <w:lang w:val="en-US" w:eastAsia="zh-CN"/>
              </w:rPr>
              <w:t>2.82</w:t>
            </w:r>
          </w:p>
        </w:tc>
        <w:tc>
          <w:tcPr>
            <w:tcW w:w="314" w:type="pct"/>
            <w:noWrap w:val="0"/>
            <w:vAlign w:val="center"/>
          </w:tcPr>
          <w:p w14:paraId="2C69DEDB">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25" w:type="pct"/>
            <w:noWrap w:val="0"/>
            <w:vAlign w:val="center"/>
          </w:tcPr>
          <w:p w14:paraId="0F4A6E57">
            <w:pPr>
              <w:widowControl/>
              <w:jc w:val="center"/>
              <w:rPr>
                <w:rFonts w:hint="eastAsia" w:eastAsia="等线"/>
                <w:color w:val="auto"/>
                <w:sz w:val="18"/>
                <w:szCs w:val="18"/>
                <w:lang w:val="en-US" w:eastAsia="zh-CN"/>
              </w:rPr>
            </w:pPr>
            <w:r>
              <w:rPr>
                <w:rFonts w:hint="eastAsia" w:eastAsia="等线"/>
                <w:color w:val="auto"/>
                <w:sz w:val="18"/>
                <w:szCs w:val="18"/>
                <w:lang w:val="en-US" w:eastAsia="zh-CN"/>
              </w:rPr>
              <w:t>/</w:t>
            </w:r>
          </w:p>
        </w:tc>
        <w:tc>
          <w:tcPr>
            <w:tcW w:w="0" w:type="auto"/>
            <w:noWrap w:val="0"/>
            <w:vAlign w:val="center"/>
          </w:tcPr>
          <w:p w14:paraId="68A33C9A">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7920</w:t>
            </w:r>
          </w:p>
        </w:tc>
      </w:tr>
      <w:tr w14:paraId="5CD7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restart"/>
            <w:noWrap w:val="0"/>
            <w:vAlign w:val="center"/>
          </w:tcPr>
          <w:p w14:paraId="5848E343">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成型、烘口、抛光、退火</w:t>
            </w:r>
          </w:p>
        </w:tc>
        <w:tc>
          <w:tcPr>
            <w:tcW w:w="312" w:type="pct"/>
            <w:noWrap w:val="0"/>
            <w:vAlign w:val="center"/>
          </w:tcPr>
          <w:p w14:paraId="01351BB5">
            <w:pPr>
              <w:widowControl/>
              <w:jc w:val="center"/>
              <w:rPr>
                <w:color w:val="auto"/>
                <w:sz w:val="18"/>
              </w:rPr>
            </w:pPr>
            <w:r>
              <w:rPr>
                <w:color w:val="auto"/>
                <w:sz w:val="18"/>
              </w:rPr>
              <w:t>SO</w:t>
            </w:r>
            <w:r>
              <w:rPr>
                <w:color w:val="auto"/>
                <w:sz w:val="18"/>
                <w:vertAlign w:val="subscript"/>
              </w:rPr>
              <w:t>2</w:t>
            </w:r>
          </w:p>
        </w:tc>
        <w:tc>
          <w:tcPr>
            <w:tcW w:w="207" w:type="pct"/>
            <w:vMerge w:val="continue"/>
            <w:noWrap w:val="0"/>
            <w:vAlign w:val="center"/>
          </w:tcPr>
          <w:p w14:paraId="7021E8D0">
            <w:pPr>
              <w:widowControl/>
              <w:jc w:val="center"/>
              <w:rPr>
                <w:color w:val="auto"/>
                <w:kern w:val="0"/>
                <w:sz w:val="18"/>
                <w:szCs w:val="18"/>
              </w:rPr>
            </w:pPr>
          </w:p>
        </w:tc>
        <w:tc>
          <w:tcPr>
            <w:tcW w:w="281" w:type="pct"/>
            <w:vMerge w:val="restart"/>
            <w:noWrap w:val="0"/>
            <w:vAlign w:val="center"/>
          </w:tcPr>
          <w:p w14:paraId="4A1CBBD0">
            <w:pPr>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292" w:type="pct"/>
            <w:noWrap w:val="0"/>
            <w:vAlign w:val="center"/>
          </w:tcPr>
          <w:p w14:paraId="4BD8CAB6">
            <w:pPr>
              <w:widowControl/>
              <w:jc w:val="center"/>
              <w:rPr>
                <w:rFonts w:hint="default"/>
                <w:color w:val="auto"/>
                <w:sz w:val="18"/>
                <w:lang w:val="en-US" w:eastAsia="zh-CN"/>
              </w:rPr>
            </w:pPr>
            <w:r>
              <w:rPr>
                <w:rFonts w:hint="eastAsia" w:ascii="Times New Roman"/>
                <w:color w:val="auto"/>
                <w:sz w:val="18"/>
                <w:szCs w:val="18"/>
                <w:lang w:val="en-US" w:eastAsia="zh-CN"/>
              </w:rPr>
              <w:t>0.735</w:t>
            </w:r>
          </w:p>
        </w:tc>
        <w:tc>
          <w:tcPr>
            <w:tcW w:w="297" w:type="pct"/>
            <w:noWrap w:val="0"/>
            <w:vAlign w:val="center"/>
          </w:tcPr>
          <w:p w14:paraId="4D542FA1">
            <w:pPr>
              <w:widowControl/>
              <w:jc w:val="center"/>
              <w:rPr>
                <w:rFonts w:hint="default" w:eastAsia="等线"/>
                <w:color w:val="auto"/>
                <w:sz w:val="18"/>
                <w:szCs w:val="18"/>
                <w:lang w:val="en-US" w:eastAsia="zh-CN"/>
              </w:rPr>
            </w:pPr>
            <w:r>
              <w:rPr>
                <w:rFonts w:hint="eastAsia" w:eastAsia="等线"/>
                <w:color w:val="auto"/>
                <w:sz w:val="18"/>
                <w:szCs w:val="18"/>
                <w:lang w:val="en-US" w:eastAsia="zh-CN"/>
              </w:rPr>
              <w:t>0.093</w:t>
            </w:r>
          </w:p>
        </w:tc>
        <w:tc>
          <w:tcPr>
            <w:tcW w:w="323" w:type="pct"/>
            <w:noWrap w:val="0"/>
            <w:vAlign w:val="center"/>
          </w:tcPr>
          <w:p w14:paraId="0251649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00" w:type="pct"/>
            <w:noWrap w:val="0"/>
            <w:vAlign w:val="center"/>
          </w:tcPr>
          <w:p w14:paraId="4297ED4E">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7DDF0E8B">
            <w:pPr>
              <w:widowControl/>
              <w:jc w:val="center"/>
              <w:rPr>
                <w:rFonts w:hint="eastAsia" w:eastAsia="宋体"/>
                <w:bCs/>
                <w:color w:val="auto"/>
                <w:kern w:val="0"/>
                <w:sz w:val="18"/>
                <w:szCs w:val="18"/>
                <w:lang w:val="en-US" w:eastAsia="zh-CN"/>
              </w:rPr>
            </w:pPr>
            <w:r>
              <w:rPr>
                <w:rFonts w:hint="eastAsia"/>
                <w:bCs/>
                <w:color w:val="auto"/>
                <w:kern w:val="0"/>
                <w:sz w:val="18"/>
                <w:szCs w:val="18"/>
                <w:lang w:val="en-US" w:eastAsia="zh-CN"/>
              </w:rPr>
              <w:t>/</w:t>
            </w:r>
          </w:p>
        </w:tc>
        <w:tc>
          <w:tcPr>
            <w:tcW w:w="242" w:type="pct"/>
            <w:noWrap w:val="0"/>
            <w:vAlign w:val="center"/>
          </w:tcPr>
          <w:p w14:paraId="182498E2">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43" w:type="pct"/>
            <w:noWrap w:val="0"/>
            <w:vAlign w:val="center"/>
          </w:tcPr>
          <w:p w14:paraId="3F5EC5F7">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240" w:type="pct"/>
            <w:noWrap w:val="0"/>
            <w:vAlign w:val="center"/>
          </w:tcPr>
          <w:p w14:paraId="564A2FA2">
            <w:pPr>
              <w:widowControl/>
              <w:jc w:val="center"/>
              <w:rPr>
                <w:rFonts w:hint="eastAsia" w:eastAsia="宋体"/>
                <w:color w:val="auto"/>
                <w:sz w:val="18"/>
                <w:lang w:val="en-US" w:eastAsia="zh-CN"/>
              </w:rPr>
            </w:pPr>
            <w:r>
              <w:rPr>
                <w:rFonts w:hint="eastAsia"/>
                <w:color w:val="auto"/>
                <w:sz w:val="18"/>
                <w:lang w:val="en-US" w:eastAsia="zh-CN"/>
              </w:rPr>
              <w:t>/</w:t>
            </w:r>
          </w:p>
        </w:tc>
        <w:tc>
          <w:tcPr>
            <w:tcW w:w="0" w:type="auto"/>
            <w:noWrap w:val="0"/>
            <w:vAlign w:val="center"/>
          </w:tcPr>
          <w:p w14:paraId="0095496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0" w:type="auto"/>
            <w:noWrap w:val="0"/>
            <w:vAlign w:val="center"/>
          </w:tcPr>
          <w:p w14:paraId="6F999439">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928" w:type="dxa"/>
            <w:noWrap w:val="0"/>
            <w:vAlign w:val="center"/>
          </w:tcPr>
          <w:p w14:paraId="455BD8FD">
            <w:pPr>
              <w:widowControl/>
              <w:jc w:val="center"/>
              <w:rPr>
                <w:rFonts w:eastAsia="等线"/>
                <w:color w:val="auto"/>
                <w:sz w:val="18"/>
                <w:szCs w:val="18"/>
              </w:rPr>
            </w:pPr>
            <w:r>
              <w:rPr>
                <w:rFonts w:hint="eastAsia" w:ascii="Times New Roman"/>
                <w:color w:val="auto"/>
                <w:sz w:val="18"/>
                <w:szCs w:val="18"/>
                <w:lang w:val="en-US" w:eastAsia="zh-CN"/>
              </w:rPr>
              <w:t>0.735</w:t>
            </w:r>
          </w:p>
        </w:tc>
        <w:tc>
          <w:tcPr>
            <w:tcW w:w="961" w:type="dxa"/>
            <w:noWrap w:val="0"/>
            <w:vAlign w:val="center"/>
          </w:tcPr>
          <w:p w14:paraId="2AB8F95F">
            <w:pPr>
              <w:widowControl/>
              <w:jc w:val="center"/>
              <w:rPr>
                <w:rFonts w:eastAsia="等线"/>
                <w:color w:val="auto"/>
                <w:sz w:val="18"/>
                <w:szCs w:val="18"/>
              </w:rPr>
            </w:pPr>
            <w:r>
              <w:rPr>
                <w:rFonts w:hint="eastAsia" w:eastAsia="等线"/>
                <w:color w:val="auto"/>
                <w:sz w:val="18"/>
                <w:szCs w:val="18"/>
                <w:lang w:val="en-US" w:eastAsia="zh-CN"/>
              </w:rPr>
              <w:t>0.093</w:t>
            </w:r>
          </w:p>
        </w:tc>
        <w:tc>
          <w:tcPr>
            <w:tcW w:w="309" w:type="pct"/>
            <w:noWrap w:val="0"/>
            <w:vAlign w:val="center"/>
          </w:tcPr>
          <w:p w14:paraId="2587C3EE">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7920</w:t>
            </w:r>
          </w:p>
        </w:tc>
      </w:tr>
      <w:tr w14:paraId="3588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448EBA27">
            <w:pPr>
              <w:widowControl/>
              <w:jc w:val="center"/>
              <w:rPr>
                <w:rFonts w:hint="eastAsia"/>
                <w:color w:val="auto"/>
                <w:kern w:val="0"/>
                <w:sz w:val="18"/>
                <w:szCs w:val="18"/>
                <w:lang w:val="en-US" w:eastAsia="zh-CN"/>
              </w:rPr>
            </w:pPr>
          </w:p>
        </w:tc>
        <w:tc>
          <w:tcPr>
            <w:tcW w:w="312" w:type="pct"/>
            <w:noWrap w:val="0"/>
            <w:vAlign w:val="center"/>
          </w:tcPr>
          <w:p w14:paraId="7568126E">
            <w:pPr>
              <w:widowControl/>
              <w:jc w:val="center"/>
              <w:rPr>
                <w:color w:val="auto"/>
                <w:sz w:val="18"/>
              </w:rPr>
            </w:pPr>
            <w:r>
              <w:rPr>
                <w:color w:val="auto"/>
                <w:sz w:val="18"/>
              </w:rPr>
              <w:t>NOx</w:t>
            </w:r>
          </w:p>
        </w:tc>
        <w:tc>
          <w:tcPr>
            <w:tcW w:w="207" w:type="pct"/>
            <w:vMerge w:val="continue"/>
            <w:noWrap w:val="0"/>
            <w:vAlign w:val="center"/>
          </w:tcPr>
          <w:p w14:paraId="2705E662">
            <w:pPr>
              <w:widowControl/>
              <w:jc w:val="center"/>
              <w:rPr>
                <w:color w:val="auto"/>
                <w:kern w:val="0"/>
                <w:sz w:val="18"/>
                <w:szCs w:val="18"/>
              </w:rPr>
            </w:pPr>
          </w:p>
        </w:tc>
        <w:tc>
          <w:tcPr>
            <w:tcW w:w="281" w:type="pct"/>
            <w:vMerge w:val="continue"/>
            <w:noWrap w:val="0"/>
            <w:vAlign w:val="center"/>
          </w:tcPr>
          <w:p w14:paraId="006ECBE5">
            <w:pPr>
              <w:jc w:val="center"/>
              <w:rPr>
                <w:rFonts w:eastAsia="等线"/>
                <w:color w:val="auto"/>
                <w:kern w:val="0"/>
                <w:sz w:val="18"/>
                <w:szCs w:val="18"/>
              </w:rPr>
            </w:pPr>
          </w:p>
        </w:tc>
        <w:tc>
          <w:tcPr>
            <w:tcW w:w="292" w:type="pct"/>
            <w:noWrap w:val="0"/>
            <w:vAlign w:val="center"/>
          </w:tcPr>
          <w:p w14:paraId="1B7589A7">
            <w:pPr>
              <w:widowControl/>
              <w:jc w:val="center"/>
              <w:rPr>
                <w:rFonts w:hint="default"/>
                <w:color w:val="auto"/>
                <w:sz w:val="18"/>
                <w:lang w:val="en-US" w:eastAsia="zh-CN"/>
              </w:rPr>
            </w:pPr>
            <w:r>
              <w:rPr>
                <w:rFonts w:hint="eastAsia"/>
                <w:color w:val="auto"/>
                <w:sz w:val="18"/>
                <w:lang w:val="en-US" w:eastAsia="zh-CN"/>
              </w:rPr>
              <w:t>6.978</w:t>
            </w:r>
          </w:p>
        </w:tc>
        <w:tc>
          <w:tcPr>
            <w:tcW w:w="297" w:type="pct"/>
            <w:noWrap w:val="0"/>
            <w:vAlign w:val="center"/>
          </w:tcPr>
          <w:p w14:paraId="20176623">
            <w:pPr>
              <w:widowControl/>
              <w:jc w:val="center"/>
              <w:rPr>
                <w:rFonts w:hint="default" w:eastAsia="等线"/>
                <w:color w:val="auto"/>
                <w:sz w:val="18"/>
                <w:szCs w:val="18"/>
                <w:lang w:val="en-US" w:eastAsia="zh-CN"/>
              </w:rPr>
            </w:pPr>
            <w:r>
              <w:rPr>
                <w:rFonts w:hint="eastAsia" w:eastAsia="等线"/>
                <w:color w:val="auto"/>
                <w:sz w:val="18"/>
                <w:szCs w:val="18"/>
                <w:lang w:val="en-US" w:eastAsia="zh-CN"/>
              </w:rPr>
              <w:t>0.881</w:t>
            </w:r>
          </w:p>
        </w:tc>
        <w:tc>
          <w:tcPr>
            <w:tcW w:w="323" w:type="pct"/>
            <w:noWrap w:val="0"/>
            <w:vAlign w:val="center"/>
          </w:tcPr>
          <w:p w14:paraId="72723A6E">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00" w:type="pct"/>
            <w:noWrap w:val="0"/>
            <w:vAlign w:val="center"/>
          </w:tcPr>
          <w:p w14:paraId="3BAD01C8">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7DC606B1">
            <w:pPr>
              <w:widowControl/>
              <w:jc w:val="center"/>
              <w:rPr>
                <w:rFonts w:hint="eastAsia" w:eastAsia="宋体"/>
                <w:bCs/>
                <w:color w:val="auto"/>
                <w:kern w:val="0"/>
                <w:sz w:val="18"/>
                <w:szCs w:val="18"/>
                <w:lang w:val="en-US" w:eastAsia="zh-CN"/>
              </w:rPr>
            </w:pPr>
            <w:r>
              <w:rPr>
                <w:rFonts w:hint="eastAsia"/>
                <w:bCs/>
                <w:color w:val="auto"/>
                <w:kern w:val="0"/>
                <w:sz w:val="18"/>
                <w:szCs w:val="18"/>
                <w:lang w:val="en-US" w:eastAsia="zh-CN"/>
              </w:rPr>
              <w:t>/</w:t>
            </w:r>
          </w:p>
        </w:tc>
        <w:tc>
          <w:tcPr>
            <w:tcW w:w="242" w:type="pct"/>
            <w:noWrap w:val="0"/>
            <w:vAlign w:val="center"/>
          </w:tcPr>
          <w:p w14:paraId="5A4432EF">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43" w:type="pct"/>
            <w:noWrap w:val="0"/>
            <w:vAlign w:val="center"/>
          </w:tcPr>
          <w:p w14:paraId="3CE90EB6">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240" w:type="pct"/>
            <w:noWrap w:val="0"/>
            <w:vAlign w:val="center"/>
          </w:tcPr>
          <w:p w14:paraId="37FC10D3">
            <w:pPr>
              <w:widowControl/>
              <w:jc w:val="center"/>
              <w:rPr>
                <w:rFonts w:hint="eastAsia" w:eastAsia="宋体"/>
                <w:color w:val="auto"/>
                <w:sz w:val="18"/>
                <w:lang w:val="en-US" w:eastAsia="zh-CN"/>
              </w:rPr>
            </w:pPr>
            <w:r>
              <w:rPr>
                <w:rFonts w:hint="eastAsia"/>
                <w:color w:val="auto"/>
                <w:sz w:val="18"/>
                <w:lang w:val="en-US" w:eastAsia="zh-CN"/>
              </w:rPr>
              <w:t>/</w:t>
            </w:r>
          </w:p>
        </w:tc>
        <w:tc>
          <w:tcPr>
            <w:tcW w:w="0" w:type="auto"/>
            <w:noWrap w:val="0"/>
            <w:vAlign w:val="center"/>
          </w:tcPr>
          <w:p w14:paraId="55014429">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0" w:type="auto"/>
            <w:noWrap w:val="0"/>
            <w:vAlign w:val="center"/>
          </w:tcPr>
          <w:p w14:paraId="4FE95DE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928" w:type="dxa"/>
            <w:noWrap w:val="0"/>
            <w:vAlign w:val="center"/>
          </w:tcPr>
          <w:p w14:paraId="3B335574">
            <w:pPr>
              <w:widowControl/>
              <w:jc w:val="center"/>
              <w:rPr>
                <w:rFonts w:eastAsia="等线"/>
                <w:color w:val="auto"/>
                <w:sz w:val="18"/>
                <w:szCs w:val="18"/>
              </w:rPr>
            </w:pPr>
            <w:r>
              <w:rPr>
                <w:rFonts w:hint="eastAsia"/>
                <w:color w:val="auto"/>
                <w:sz w:val="18"/>
                <w:lang w:val="en-US" w:eastAsia="zh-CN"/>
              </w:rPr>
              <w:t>6.978</w:t>
            </w:r>
          </w:p>
        </w:tc>
        <w:tc>
          <w:tcPr>
            <w:tcW w:w="961" w:type="dxa"/>
            <w:noWrap w:val="0"/>
            <w:vAlign w:val="center"/>
          </w:tcPr>
          <w:p w14:paraId="35D8F31D">
            <w:pPr>
              <w:widowControl/>
              <w:jc w:val="center"/>
              <w:rPr>
                <w:rFonts w:eastAsia="等线"/>
                <w:color w:val="auto"/>
                <w:sz w:val="18"/>
                <w:szCs w:val="18"/>
              </w:rPr>
            </w:pPr>
            <w:r>
              <w:rPr>
                <w:rFonts w:hint="eastAsia" w:eastAsia="等线"/>
                <w:color w:val="auto"/>
                <w:sz w:val="18"/>
                <w:szCs w:val="18"/>
                <w:lang w:val="en-US" w:eastAsia="zh-CN"/>
              </w:rPr>
              <w:t>0.881</w:t>
            </w:r>
          </w:p>
        </w:tc>
        <w:tc>
          <w:tcPr>
            <w:tcW w:w="309" w:type="pct"/>
            <w:noWrap w:val="0"/>
            <w:vAlign w:val="center"/>
          </w:tcPr>
          <w:p w14:paraId="3A133BA3">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7920</w:t>
            </w:r>
          </w:p>
        </w:tc>
      </w:tr>
      <w:tr w14:paraId="6872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vMerge w:val="continue"/>
            <w:noWrap w:val="0"/>
            <w:vAlign w:val="center"/>
          </w:tcPr>
          <w:p w14:paraId="71703501">
            <w:pPr>
              <w:widowControl/>
              <w:jc w:val="center"/>
              <w:rPr>
                <w:rFonts w:hint="eastAsia"/>
                <w:color w:val="auto"/>
                <w:kern w:val="0"/>
                <w:sz w:val="18"/>
                <w:szCs w:val="18"/>
                <w:lang w:val="en-US" w:eastAsia="zh-CN"/>
              </w:rPr>
            </w:pPr>
          </w:p>
        </w:tc>
        <w:tc>
          <w:tcPr>
            <w:tcW w:w="312" w:type="pct"/>
            <w:noWrap w:val="0"/>
            <w:vAlign w:val="center"/>
          </w:tcPr>
          <w:p w14:paraId="76786901">
            <w:pPr>
              <w:widowControl/>
              <w:jc w:val="center"/>
              <w:rPr>
                <w:color w:val="auto"/>
                <w:sz w:val="18"/>
              </w:rPr>
            </w:pPr>
            <w:r>
              <w:rPr>
                <w:color w:val="auto"/>
                <w:sz w:val="18"/>
              </w:rPr>
              <w:t>烟尘</w:t>
            </w:r>
          </w:p>
        </w:tc>
        <w:tc>
          <w:tcPr>
            <w:tcW w:w="207" w:type="pct"/>
            <w:vMerge w:val="continue"/>
            <w:noWrap w:val="0"/>
            <w:vAlign w:val="center"/>
          </w:tcPr>
          <w:p w14:paraId="0BE15933">
            <w:pPr>
              <w:widowControl/>
              <w:jc w:val="center"/>
              <w:rPr>
                <w:color w:val="auto"/>
                <w:kern w:val="0"/>
                <w:sz w:val="18"/>
                <w:szCs w:val="18"/>
              </w:rPr>
            </w:pPr>
          </w:p>
        </w:tc>
        <w:tc>
          <w:tcPr>
            <w:tcW w:w="281" w:type="pct"/>
            <w:vMerge w:val="continue"/>
            <w:noWrap w:val="0"/>
            <w:vAlign w:val="center"/>
          </w:tcPr>
          <w:p w14:paraId="32AEC0B3">
            <w:pPr>
              <w:jc w:val="center"/>
              <w:rPr>
                <w:rFonts w:eastAsia="等线"/>
                <w:color w:val="auto"/>
                <w:kern w:val="0"/>
                <w:sz w:val="18"/>
                <w:szCs w:val="18"/>
              </w:rPr>
            </w:pPr>
          </w:p>
        </w:tc>
        <w:tc>
          <w:tcPr>
            <w:tcW w:w="292" w:type="pct"/>
            <w:noWrap w:val="0"/>
            <w:vAlign w:val="center"/>
          </w:tcPr>
          <w:p w14:paraId="1778D3F4">
            <w:pPr>
              <w:widowControl/>
              <w:jc w:val="center"/>
              <w:rPr>
                <w:rFonts w:hint="default"/>
                <w:color w:val="auto"/>
                <w:sz w:val="18"/>
                <w:lang w:val="en-US" w:eastAsia="zh-CN"/>
              </w:rPr>
            </w:pPr>
            <w:r>
              <w:rPr>
                <w:rFonts w:hint="eastAsia"/>
                <w:color w:val="auto"/>
                <w:sz w:val="18"/>
                <w:lang w:val="en-US" w:eastAsia="zh-CN"/>
              </w:rPr>
              <w:t>1.0495</w:t>
            </w:r>
          </w:p>
        </w:tc>
        <w:tc>
          <w:tcPr>
            <w:tcW w:w="297" w:type="pct"/>
            <w:noWrap w:val="0"/>
            <w:vAlign w:val="center"/>
          </w:tcPr>
          <w:p w14:paraId="3DD7721B">
            <w:pPr>
              <w:widowControl/>
              <w:jc w:val="center"/>
              <w:rPr>
                <w:rFonts w:hint="default" w:eastAsia="等线"/>
                <w:color w:val="auto"/>
                <w:sz w:val="18"/>
                <w:szCs w:val="18"/>
                <w:lang w:val="en-US" w:eastAsia="zh-CN"/>
              </w:rPr>
            </w:pPr>
            <w:r>
              <w:rPr>
                <w:rFonts w:hint="eastAsia" w:eastAsia="等线"/>
                <w:color w:val="auto"/>
                <w:sz w:val="18"/>
                <w:szCs w:val="18"/>
                <w:lang w:val="en-US" w:eastAsia="zh-CN"/>
              </w:rPr>
              <w:t>0.133</w:t>
            </w:r>
          </w:p>
        </w:tc>
        <w:tc>
          <w:tcPr>
            <w:tcW w:w="323" w:type="pct"/>
            <w:noWrap w:val="0"/>
            <w:vAlign w:val="center"/>
          </w:tcPr>
          <w:p w14:paraId="1AB304E7">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00" w:type="pct"/>
            <w:noWrap w:val="0"/>
            <w:vAlign w:val="center"/>
          </w:tcPr>
          <w:p w14:paraId="4E9D0BF0">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5B43B35F">
            <w:pPr>
              <w:widowControl/>
              <w:jc w:val="center"/>
              <w:rPr>
                <w:rFonts w:hint="eastAsia" w:eastAsia="宋体"/>
                <w:bCs/>
                <w:color w:val="auto"/>
                <w:kern w:val="0"/>
                <w:sz w:val="18"/>
                <w:szCs w:val="18"/>
                <w:lang w:val="en-US" w:eastAsia="zh-CN"/>
              </w:rPr>
            </w:pPr>
            <w:r>
              <w:rPr>
                <w:rFonts w:hint="eastAsia"/>
                <w:bCs/>
                <w:color w:val="auto"/>
                <w:kern w:val="0"/>
                <w:sz w:val="18"/>
                <w:szCs w:val="18"/>
                <w:lang w:val="en-US" w:eastAsia="zh-CN"/>
              </w:rPr>
              <w:t>/</w:t>
            </w:r>
          </w:p>
        </w:tc>
        <w:tc>
          <w:tcPr>
            <w:tcW w:w="242" w:type="pct"/>
            <w:noWrap w:val="0"/>
            <w:vAlign w:val="center"/>
          </w:tcPr>
          <w:p w14:paraId="4515D0B0">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43" w:type="pct"/>
            <w:noWrap w:val="0"/>
            <w:vAlign w:val="center"/>
          </w:tcPr>
          <w:p w14:paraId="5067E743">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240" w:type="pct"/>
            <w:noWrap w:val="0"/>
            <w:vAlign w:val="center"/>
          </w:tcPr>
          <w:p w14:paraId="7DC3F728">
            <w:pPr>
              <w:widowControl/>
              <w:jc w:val="center"/>
              <w:rPr>
                <w:rFonts w:hint="eastAsia" w:eastAsia="宋体"/>
                <w:color w:val="auto"/>
                <w:sz w:val="18"/>
                <w:lang w:val="en-US" w:eastAsia="zh-CN"/>
              </w:rPr>
            </w:pPr>
            <w:r>
              <w:rPr>
                <w:rFonts w:hint="eastAsia"/>
                <w:color w:val="auto"/>
                <w:sz w:val="18"/>
                <w:lang w:val="en-US" w:eastAsia="zh-CN"/>
              </w:rPr>
              <w:t>/</w:t>
            </w:r>
          </w:p>
        </w:tc>
        <w:tc>
          <w:tcPr>
            <w:tcW w:w="0" w:type="auto"/>
            <w:noWrap w:val="0"/>
            <w:vAlign w:val="center"/>
          </w:tcPr>
          <w:p w14:paraId="1321C80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0" w:type="auto"/>
            <w:noWrap w:val="0"/>
            <w:vAlign w:val="center"/>
          </w:tcPr>
          <w:p w14:paraId="09DB40F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928" w:type="dxa"/>
            <w:noWrap w:val="0"/>
            <w:vAlign w:val="center"/>
          </w:tcPr>
          <w:p w14:paraId="14ECCC39">
            <w:pPr>
              <w:widowControl/>
              <w:jc w:val="center"/>
              <w:rPr>
                <w:rFonts w:eastAsia="等线"/>
                <w:color w:val="auto"/>
                <w:sz w:val="18"/>
                <w:szCs w:val="18"/>
              </w:rPr>
            </w:pPr>
            <w:r>
              <w:rPr>
                <w:rFonts w:hint="eastAsia"/>
                <w:color w:val="auto"/>
                <w:sz w:val="18"/>
                <w:lang w:val="en-US" w:eastAsia="zh-CN"/>
              </w:rPr>
              <w:t>1.0495</w:t>
            </w:r>
          </w:p>
        </w:tc>
        <w:tc>
          <w:tcPr>
            <w:tcW w:w="961" w:type="dxa"/>
            <w:noWrap w:val="0"/>
            <w:vAlign w:val="center"/>
          </w:tcPr>
          <w:p w14:paraId="3F019E3F">
            <w:pPr>
              <w:widowControl/>
              <w:jc w:val="center"/>
              <w:rPr>
                <w:rFonts w:eastAsia="等线"/>
                <w:color w:val="auto"/>
                <w:sz w:val="18"/>
                <w:szCs w:val="18"/>
              </w:rPr>
            </w:pPr>
            <w:r>
              <w:rPr>
                <w:rFonts w:hint="eastAsia" w:eastAsia="等线"/>
                <w:color w:val="auto"/>
                <w:sz w:val="18"/>
                <w:szCs w:val="18"/>
                <w:lang w:val="en-US" w:eastAsia="zh-CN"/>
              </w:rPr>
              <w:t>0.133</w:t>
            </w:r>
          </w:p>
        </w:tc>
        <w:tc>
          <w:tcPr>
            <w:tcW w:w="309" w:type="pct"/>
            <w:noWrap w:val="0"/>
            <w:vAlign w:val="center"/>
          </w:tcPr>
          <w:p w14:paraId="14DD589A">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7920</w:t>
            </w:r>
          </w:p>
        </w:tc>
      </w:tr>
      <w:tr w14:paraId="69A9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7FEBEFA3">
            <w:pPr>
              <w:widowControl/>
              <w:jc w:val="center"/>
              <w:rPr>
                <w:rFonts w:hint="default"/>
                <w:color w:val="auto"/>
                <w:kern w:val="0"/>
                <w:sz w:val="18"/>
                <w:szCs w:val="18"/>
                <w:lang w:val="en-US" w:eastAsia="zh-CN"/>
              </w:rPr>
            </w:pPr>
            <w:r>
              <w:rPr>
                <w:rFonts w:hint="eastAsia"/>
                <w:color w:val="auto"/>
                <w:kern w:val="0"/>
                <w:sz w:val="18"/>
                <w:szCs w:val="18"/>
                <w:lang w:val="en-US" w:eastAsia="zh-CN"/>
              </w:rPr>
              <w:t>破碎</w:t>
            </w:r>
          </w:p>
        </w:tc>
        <w:tc>
          <w:tcPr>
            <w:tcW w:w="312" w:type="pct"/>
            <w:noWrap w:val="0"/>
            <w:vAlign w:val="center"/>
          </w:tcPr>
          <w:p w14:paraId="7EA12B2E">
            <w:pPr>
              <w:widowControl/>
              <w:jc w:val="center"/>
              <w:rPr>
                <w:rFonts w:hint="eastAsia" w:eastAsia="宋体"/>
                <w:color w:val="auto"/>
                <w:sz w:val="18"/>
                <w:lang w:val="en-US" w:eastAsia="zh-CN"/>
              </w:rPr>
            </w:pPr>
            <w:r>
              <w:rPr>
                <w:rFonts w:hint="eastAsia"/>
                <w:color w:val="auto"/>
                <w:sz w:val="18"/>
                <w:lang w:val="en-US" w:eastAsia="zh-CN"/>
              </w:rPr>
              <w:t>颗粒物</w:t>
            </w:r>
          </w:p>
        </w:tc>
        <w:tc>
          <w:tcPr>
            <w:tcW w:w="207" w:type="pct"/>
            <w:vMerge w:val="continue"/>
            <w:noWrap w:val="0"/>
            <w:vAlign w:val="center"/>
          </w:tcPr>
          <w:p w14:paraId="6089E351">
            <w:pPr>
              <w:widowControl/>
              <w:jc w:val="center"/>
              <w:rPr>
                <w:color w:val="auto"/>
                <w:kern w:val="0"/>
                <w:sz w:val="18"/>
                <w:szCs w:val="18"/>
              </w:rPr>
            </w:pPr>
          </w:p>
        </w:tc>
        <w:tc>
          <w:tcPr>
            <w:tcW w:w="281" w:type="pct"/>
            <w:noWrap w:val="0"/>
            <w:vAlign w:val="center"/>
          </w:tcPr>
          <w:p w14:paraId="62AABD30">
            <w:pPr>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292" w:type="pct"/>
            <w:noWrap w:val="0"/>
            <w:vAlign w:val="center"/>
          </w:tcPr>
          <w:p w14:paraId="28728CDA">
            <w:pPr>
              <w:widowControl/>
              <w:jc w:val="center"/>
              <w:rPr>
                <w:rFonts w:hint="default"/>
                <w:color w:val="auto"/>
                <w:sz w:val="18"/>
                <w:lang w:val="en-US" w:eastAsia="zh-CN"/>
              </w:rPr>
            </w:pPr>
            <w:r>
              <w:rPr>
                <w:rFonts w:hint="eastAsia"/>
                <w:color w:val="auto"/>
                <w:sz w:val="18"/>
                <w:lang w:val="en-US" w:eastAsia="zh-CN"/>
              </w:rPr>
              <w:t>0.7875</w:t>
            </w:r>
          </w:p>
        </w:tc>
        <w:tc>
          <w:tcPr>
            <w:tcW w:w="297" w:type="pct"/>
            <w:noWrap w:val="0"/>
            <w:vAlign w:val="center"/>
          </w:tcPr>
          <w:p w14:paraId="34AD4CCA">
            <w:pPr>
              <w:widowControl/>
              <w:jc w:val="center"/>
              <w:rPr>
                <w:rFonts w:hint="default" w:eastAsia="等线"/>
                <w:color w:val="auto"/>
                <w:sz w:val="18"/>
                <w:szCs w:val="18"/>
                <w:lang w:val="en-US" w:eastAsia="zh-CN"/>
              </w:rPr>
            </w:pPr>
            <w:r>
              <w:rPr>
                <w:rFonts w:hint="eastAsia" w:eastAsia="等线"/>
                <w:color w:val="auto"/>
                <w:sz w:val="18"/>
                <w:szCs w:val="18"/>
                <w:lang w:val="en-US" w:eastAsia="zh-CN"/>
              </w:rPr>
              <w:t>1.19</w:t>
            </w:r>
          </w:p>
        </w:tc>
        <w:tc>
          <w:tcPr>
            <w:tcW w:w="323" w:type="pct"/>
            <w:noWrap w:val="0"/>
            <w:vAlign w:val="center"/>
          </w:tcPr>
          <w:p w14:paraId="6099CFA0">
            <w:pPr>
              <w:widowControl/>
              <w:jc w:val="center"/>
              <w:rPr>
                <w:rFonts w:hint="eastAsia" w:eastAsia="等线"/>
                <w:color w:val="auto"/>
                <w:sz w:val="18"/>
                <w:szCs w:val="18"/>
                <w:lang w:val="en-US" w:eastAsia="zh-CN"/>
              </w:rPr>
            </w:pPr>
            <w:r>
              <w:rPr>
                <w:rFonts w:hint="eastAsia" w:eastAsia="等线"/>
                <w:color w:val="auto"/>
                <w:sz w:val="18"/>
                <w:szCs w:val="18"/>
                <w:lang w:val="en-US" w:eastAsia="zh-CN"/>
              </w:rPr>
              <w:t>/</w:t>
            </w:r>
          </w:p>
        </w:tc>
        <w:tc>
          <w:tcPr>
            <w:tcW w:w="300" w:type="pct"/>
            <w:noWrap w:val="0"/>
            <w:vAlign w:val="center"/>
          </w:tcPr>
          <w:p w14:paraId="461E2051">
            <w:pPr>
              <w:widowControl/>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427" w:type="pct"/>
            <w:noWrap w:val="0"/>
            <w:vAlign w:val="center"/>
          </w:tcPr>
          <w:p w14:paraId="43D3CEF1">
            <w:pPr>
              <w:widowControl/>
              <w:jc w:val="center"/>
              <w:rPr>
                <w:rFonts w:hint="default"/>
                <w:bCs/>
                <w:color w:val="auto"/>
                <w:kern w:val="0"/>
                <w:sz w:val="18"/>
                <w:szCs w:val="18"/>
                <w:lang w:val="en-US" w:eastAsia="zh-CN"/>
              </w:rPr>
            </w:pPr>
            <w:r>
              <w:rPr>
                <w:rFonts w:hint="eastAsia"/>
                <w:bCs/>
                <w:color w:val="auto"/>
                <w:kern w:val="0"/>
                <w:sz w:val="18"/>
                <w:szCs w:val="18"/>
                <w:lang w:val="en-US" w:eastAsia="zh-CN"/>
              </w:rPr>
              <w:t>独立密闭破碎间</w:t>
            </w:r>
          </w:p>
        </w:tc>
        <w:tc>
          <w:tcPr>
            <w:tcW w:w="242" w:type="pct"/>
            <w:noWrap w:val="0"/>
            <w:vAlign w:val="center"/>
          </w:tcPr>
          <w:p w14:paraId="3B42B92C">
            <w:pPr>
              <w:widowControl/>
              <w:jc w:val="center"/>
              <w:rPr>
                <w:rFonts w:hint="eastAsia" w:eastAsia="等线"/>
                <w:color w:val="auto"/>
                <w:sz w:val="18"/>
                <w:szCs w:val="18"/>
                <w:lang w:val="en-US" w:eastAsia="zh-CN"/>
              </w:rPr>
            </w:pPr>
            <w:r>
              <w:rPr>
                <w:rFonts w:hint="eastAsia" w:eastAsia="等线"/>
                <w:color w:val="auto"/>
                <w:sz w:val="18"/>
                <w:szCs w:val="18"/>
                <w:lang w:val="en-US" w:eastAsia="zh-CN"/>
              </w:rPr>
              <w:t>/</w:t>
            </w:r>
          </w:p>
        </w:tc>
        <w:tc>
          <w:tcPr>
            <w:tcW w:w="343" w:type="pct"/>
            <w:noWrap w:val="0"/>
            <w:vAlign w:val="center"/>
          </w:tcPr>
          <w:p w14:paraId="29CDB388">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c>
          <w:tcPr>
            <w:tcW w:w="240" w:type="pct"/>
            <w:noWrap w:val="0"/>
            <w:vAlign w:val="center"/>
          </w:tcPr>
          <w:p w14:paraId="047E4834">
            <w:pPr>
              <w:widowControl/>
              <w:jc w:val="center"/>
              <w:rPr>
                <w:rFonts w:hint="eastAsia"/>
                <w:color w:val="auto"/>
                <w:sz w:val="18"/>
                <w:lang w:val="en-US" w:eastAsia="zh-CN"/>
              </w:rPr>
            </w:pPr>
            <w:r>
              <w:rPr>
                <w:rFonts w:hint="eastAsia"/>
                <w:color w:val="auto"/>
                <w:sz w:val="18"/>
                <w:lang w:val="en-US" w:eastAsia="zh-CN"/>
              </w:rPr>
              <w:t>/</w:t>
            </w:r>
          </w:p>
        </w:tc>
        <w:tc>
          <w:tcPr>
            <w:tcW w:w="252" w:type="pct"/>
            <w:noWrap w:val="0"/>
            <w:vAlign w:val="center"/>
          </w:tcPr>
          <w:p w14:paraId="67B1C501">
            <w:pPr>
              <w:widowControl/>
              <w:jc w:val="center"/>
              <w:rPr>
                <w:rFonts w:hint="eastAsia" w:eastAsia="等线"/>
                <w:color w:val="auto"/>
                <w:sz w:val="18"/>
                <w:szCs w:val="18"/>
                <w:lang w:val="en-US" w:eastAsia="zh-CN"/>
              </w:rPr>
            </w:pPr>
            <w:r>
              <w:rPr>
                <w:rFonts w:hint="eastAsia" w:eastAsia="等线"/>
                <w:color w:val="auto"/>
                <w:sz w:val="18"/>
                <w:szCs w:val="18"/>
                <w:lang w:val="en-US" w:eastAsia="zh-CN"/>
              </w:rPr>
              <w:t>/</w:t>
            </w:r>
          </w:p>
        </w:tc>
        <w:tc>
          <w:tcPr>
            <w:tcW w:w="265" w:type="pct"/>
            <w:noWrap w:val="0"/>
            <w:vAlign w:val="center"/>
          </w:tcPr>
          <w:p w14:paraId="5F60A685">
            <w:pPr>
              <w:widowControl/>
              <w:jc w:val="center"/>
              <w:rPr>
                <w:rFonts w:hint="eastAsia" w:eastAsia="等线"/>
                <w:color w:val="auto"/>
                <w:sz w:val="18"/>
                <w:szCs w:val="18"/>
                <w:lang w:val="en-US" w:eastAsia="zh-CN"/>
              </w:rPr>
            </w:pPr>
            <w:r>
              <w:rPr>
                <w:rFonts w:hint="eastAsia" w:eastAsia="等线"/>
                <w:color w:val="auto"/>
                <w:sz w:val="18"/>
                <w:szCs w:val="18"/>
                <w:lang w:val="en-US" w:eastAsia="zh-CN"/>
              </w:rPr>
              <w:t>/</w:t>
            </w:r>
          </w:p>
        </w:tc>
        <w:tc>
          <w:tcPr>
            <w:tcW w:w="314" w:type="pct"/>
            <w:noWrap w:val="0"/>
            <w:vAlign w:val="center"/>
          </w:tcPr>
          <w:p w14:paraId="1B5B12E5">
            <w:pPr>
              <w:widowControl/>
              <w:jc w:val="center"/>
              <w:rPr>
                <w:rFonts w:hint="eastAsia"/>
                <w:color w:val="auto"/>
                <w:sz w:val="18"/>
                <w:lang w:val="en-US" w:eastAsia="zh-CN"/>
              </w:rPr>
            </w:pPr>
            <w:r>
              <w:rPr>
                <w:rFonts w:hint="eastAsia"/>
                <w:color w:val="auto"/>
                <w:sz w:val="18"/>
                <w:lang w:val="en-US" w:eastAsia="zh-CN"/>
              </w:rPr>
              <w:t>0.7875</w:t>
            </w:r>
          </w:p>
        </w:tc>
        <w:tc>
          <w:tcPr>
            <w:tcW w:w="325" w:type="pct"/>
            <w:noWrap w:val="0"/>
            <w:vAlign w:val="center"/>
          </w:tcPr>
          <w:p w14:paraId="435E4BE2">
            <w:pPr>
              <w:widowControl/>
              <w:jc w:val="center"/>
              <w:rPr>
                <w:rFonts w:hint="eastAsia" w:eastAsia="等线"/>
                <w:color w:val="auto"/>
                <w:sz w:val="18"/>
                <w:szCs w:val="18"/>
                <w:lang w:val="en-US" w:eastAsia="zh-CN"/>
              </w:rPr>
            </w:pPr>
            <w:r>
              <w:rPr>
                <w:rFonts w:hint="eastAsia" w:eastAsia="等线"/>
                <w:color w:val="auto"/>
                <w:sz w:val="18"/>
                <w:szCs w:val="18"/>
                <w:lang w:val="en-US" w:eastAsia="zh-CN"/>
              </w:rPr>
              <w:t>1.19</w:t>
            </w:r>
          </w:p>
        </w:tc>
        <w:tc>
          <w:tcPr>
            <w:tcW w:w="309" w:type="pct"/>
            <w:noWrap w:val="0"/>
            <w:vAlign w:val="center"/>
          </w:tcPr>
          <w:p w14:paraId="71239261">
            <w:pPr>
              <w:widowControl/>
              <w:jc w:val="center"/>
              <w:rPr>
                <w:rFonts w:hint="default" w:eastAsia="等线"/>
                <w:color w:val="auto"/>
                <w:kern w:val="0"/>
                <w:sz w:val="18"/>
                <w:szCs w:val="18"/>
                <w:lang w:val="en-US" w:eastAsia="zh-CN"/>
              </w:rPr>
            </w:pPr>
            <w:r>
              <w:rPr>
                <w:rFonts w:hint="eastAsia" w:eastAsia="等线"/>
                <w:color w:val="auto"/>
                <w:kern w:val="0"/>
                <w:sz w:val="18"/>
                <w:szCs w:val="18"/>
                <w:lang w:val="en-US" w:eastAsia="zh-CN"/>
              </w:rPr>
              <w:t>660</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 w:type="pct"/>
            <w:noWrap w:val="0"/>
            <w:vAlign w:val="center"/>
          </w:tcPr>
          <w:p w14:paraId="56CEF963">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储罐逸散</w:t>
            </w:r>
          </w:p>
        </w:tc>
        <w:tc>
          <w:tcPr>
            <w:tcW w:w="312" w:type="pct"/>
            <w:noWrap w:val="0"/>
            <w:vAlign w:val="center"/>
          </w:tcPr>
          <w:p w14:paraId="3B2D938C">
            <w:pPr>
              <w:widowControl/>
              <w:jc w:val="center"/>
              <w:rPr>
                <w:rFonts w:hint="eastAsia" w:eastAsia="宋体"/>
                <w:color w:val="auto"/>
                <w:sz w:val="18"/>
                <w:lang w:eastAsia="zh-CN"/>
              </w:rPr>
            </w:pPr>
            <w:r>
              <w:rPr>
                <w:rFonts w:hint="eastAsia"/>
                <w:color w:val="auto"/>
                <w:sz w:val="18"/>
                <w:lang w:val="en-US" w:eastAsia="zh-CN"/>
              </w:rPr>
              <w:t>氨</w:t>
            </w:r>
          </w:p>
        </w:tc>
        <w:tc>
          <w:tcPr>
            <w:tcW w:w="207" w:type="pct"/>
            <w:noWrap w:val="0"/>
            <w:vAlign w:val="center"/>
          </w:tcPr>
          <w:p w14:paraId="29C52E66">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w:t>
            </w:r>
          </w:p>
        </w:tc>
        <w:tc>
          <w:tcPr>
            <w:tcW w:w="281" w:type="pct"/>
            <w:noWrap w:val="0"/>
            <w:vAlign w:val="center"/>
          </w:tcPr>
          <w:p w14:paraId="4BB2BB46">
            <w:pPr>
              <w:jc w:val="center"/>
              <w:rPr>
                <w:rFonts w:hint="eastAsia" w:eastAsia="等线"/>
                <w:color w:val="auto"/>
                <w:kern w:val="0"/>
                <w:sz w:val="18"/>
                <w:szCs w:val="18"/>
                <w:lang w:val="en-US" w:eastAsia="zh-CN"/>
              </w:rPr>
            </w:pPr>
            <w:r>
              <w:rPr>
                <w:rFonts w:hint="eastAsia" w:eastAsia="等线"/>
                <w:color w:val="auto"/>
                <w:kern w:val="0"/>
                <w:sz w:val="18"/>
                <w:szCs w:val="18"/>
                <w:lang w:val="en-US" w:eastAsia="zh-CN"/>
              </w:rPr>
              <w:t>/</w:t>
            </w:r>
          </w:p>
        </w:tc>
        <w:tc>
          <w:tcPr>
            <w:tcW w:w="292" w:type="pct"/>
            <w:noWrap w:val="0"/>
            <w:vAlign w:val="center"/>
          </w:tcPr>
          <w:p w14:paraId="3113D47B">
            <w:pPr>
              <w:widowControl/>
              <w:jc w:val="center"/>
              <w:rPr>
                <w:rFonts w:hint="default" w:eastAsia="宋体"/>
                <w:color w:val="auto"/>
                <w:sz w:val="18"/>
                <w:lang w:val="en-US" w:eastAsia="zh-CN"/>
              </w:rPr>
            </w:pPr>
            <w:r>
              <w:rPr>
                <w:rFonts w:hint="eastAsia" w:eastAsia="等线"/>
                <w:color w:val="auto"/>
                <w:sz w:val="18"/>
                <w:szCs w:val="18"/>
                <w:lang w:val="en-US" w:eastAsia="zh-CN"/>
              </w:rPr>
              <w:t>/</w:t>
            </w:r>
          </w:p>
        </w:tc>
        <w:tc>
          <w:tcPr>
            <w:tcW w:w="297" w:type="pct"/>
            <w:noWrap w:val="0"/>
            <w:vAlign w:val="center"/>
          </w:tcPr>
          <w:p w14:paraId="0A536D6F">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23" w:type="pct"/>
            <w:noWrap w:val="0"/>
            <w:vAlign w:val="center"/>
          </w:tcPr>
          <w:p w14:paraId="1DAF933D">
            <w:pPr>
              <w:widowControl/>
              <w:jc w:val="center"/>
              <w:rPr>
                <w:rFonts w:hint="default" w:eastAsia="等线"/>
                <w:color w:val="auto"/>
                <w:sz w:val="18"/>
                <w:szCs w:val="18"/>
                <w:lang w:val="en-US" w:eastAsia="zh-CN"/>
              </w:rPr>
            </w:pPr>
            <w:r>
              <w:rPr>
                <w:rFonts w:hint="eastAsia" w:eastAsia="等线"/>
                <w:color w:val="auto"/>
                <w:sz w:val="18"/>
                <w:szCs w:val="18"/>
                <w:lang w:val="en-US" w:eastAsia="zh-CN"/>
              </w:rPr>
              <w:t>/</w:t>
            </w:r>
          </w:p>
        </w:tc>
        <w:tc>
          <w:tcPr>
            <w:tcW w:w="300" w:type="pct"/>
            <w:noWrap w:val="0"/>
            <w:vAlign w:val="center"/>
          </w:tcPr>
          <w:p w14:paraId="008EAE22">
            <w:pPr>
              <w:widowControl/>
              <w:jc w:val="center"/>
              <w:rPr>
                <w:rFonts w:hint="default" w:eastAsia="宋体"/>
                <w:color w:val="auto"/>
                <w:sz w:val="18"/>
                <w:szCs w:val="18"/>
                <w:lang w:val="en-US" w:eastAsia="zh-CN"/>
              </w:rPr>
            </w:pPr>
            <w:r>
              <w:rPr>
                <w:rFonts w:hint="eastAsia" w:eastAsia="等线"/>
                <w:color w:val="auto"/>
                <w:sz w:val="18"/>
                <w:szCs w:val="18"/>
                <w:lang w:val="en-US" w:eastAsia="zh-CN"/>
              </w:rPr>
              <w:t>/</w:t>
            </w:r>
          </w:p>
        </w:tc>
        <w:tc>
          <w:tcPr>
            <w:tcW w:w="427" w:type="pct"/>
            <w:noWrap w:val="0"/>
            <w:vAlign w:val="center"/>
          </w:tcPr>
          <w:p w14:paraId="2C248258">
            <w:pPr>
              <w:widowControl/>
              <w:jc w:val="center"/>
              <w:rPr>
                <w:rFonts w:hint="default" w:eastAsia="宋体"/>
                <w:bCs/>
                <w:color w:val="auto"/>
                <w:kern w:val="0"/>
                <w:sz w:val="18"/>
                <w:szCs w:val="18"/>
                <w:lang w:val="en-US" w:eastAsia="zh-CN"/>
              </w:rPr>
            </w:pPr>
            <w:r>
              <w:rPr>
                <w:rFonts w:hint="eastAsia"/>
                <w:bCs/>
                <w:color w:val="auto"/>
                <w:kern w:val="0"/>
                <w:sz w:val="18"/>
                <w:szCs w:val="18"/>
                <w:lang w:val="en-US" w:eastAsia="zh-CN"/>
              </w:rPr>
              <w:t>水吸收槽</w:t>
            </w:r>
          </w:p>
        </w:tc>
        <w:tc>
          <w:tcPr>
            <w:tcW w:w="242" w:type="pct"/>
            <w:noWrap w:val="0"/>
            <w:vAlign w:val="center"/>
          </w:tcPr>
          <w:p w14:paraId="1E9A0242">
            <w:pPr>
              <w:widowControl/>
              <w:jc w:val="center"/>
              <w:rPr>
                <w:rFonts w:hint="eastAsia" w:eastAsia="等线"/>
                <w:color w:val="auto"/>
                <w:kern w:val="0"/>
                <w:sz w:val="18"/>
                <w:szCs w:val="18"/>
                <w:lang w:eastAsia="zh-CN"/>
              </w:rPr>
            </w:pPr>
            <w:r>
              <w:rPr>
                <w:rFonts w:hint="eastAsia" w:eastAsia="等线"/>
                <w:color w:val="auto"/>
                <w:sz w:val="18"/>
                <w:szCs w:val="18"/>
                <w:lang w:val="en-US" w:eastAsia="zh-CN"/>
              </w:rPr>
              <w:t>/</w:t>
            </w:r>
          </w:p>
        </w:tc>
        <w:tc>
          <w:tcPr>
            <w:tcW w:w="343" w:type="pct"/>
            <w:noWrap w:val="0"/>
            <w:vAlign w:val="center"/>
          </w:tcPr>
          <w:p w14:paraId="089657EA">
            <w:pPr>
              <w:widowControl/>
              <w:jc w:val="center"/>
              <w:rPr>
                <w:rFonts w:hint="eastAsia" w:eastAsia="宋体"/>
                <w:color w:val="auto"/>
                <w:kern w:val="0"/>
                <w:sz w:val="18"/>
                <w:szCs w:val="18"/>
                <w:lang w:eastAsia="zh-CN"/>
              </w:rPr>
            </w:pPr>
            <w:r>
              <w:rPr>
                <w:rFonts w:hint="eastAsia"/>
                <w:color w:val="auto"/>
                <w:sz w:val="18"/>
                <w:szCs w:val="18"/>
                <w:lang w:val="en-US" w:eastAsia="zh-CN"/>
              </w:rPr>
              <w:t>/</w:t>
            </w:r>
          </w:p>
        </w:tc>
        <w:tc>
          <w:tcPr>
            <w:tcW w:w="240" w:type="pct"/>
            <w:noWrap w:val="0"/>
            <w:vAlign w:val="center"/>
          </w:tcPr>
          <w:p w14:paraId="1826EEB1">
            <w:pPr>
              <w:widowControl/>
              <w:jc w:val="center"/>
              <w:rPr>
                <w:rFonts w:hint="default" w:eastAsia="宋体"/>
                <w:color w:val="auto"/>
                <w:sz w:val="18"/>
                <w:lang w:val="en-US" w:eastAsia="zh-CN"/>
              </w:rPr>
            </w:pPr>
            <w:r>
              <w:rPr>
                <w:rFonts w:hint="eastAsia" w:eastAsia="等线"/>
                <w:color w:val="auto"/>
                <w:sz w:val="18"/>
                <w:szCs w:val="18"/>
                <w:lang w:val="en-US" w:eastAsia="zh-CN"/>
              </w:rPr>
              <w:t>/</w:t>
            </w:r>
          </w:p>
        </w:tc>
        <w:tc>
          <w:tcPr>
            <w:tcW w:w="252" w:type="pct"/>
            <w:noWrap w:val="0"/>
            <w:vAlign w:val="center"/>
          </w:tcPr>
          <w:p w14:paraId="5A97FA9F">
            <w:pPr>
              <w:widowControl/>
              <w:jc w:val="center"/>
              <w:rPr>
                <w:rFonts w:eastAsia="等线"/>
                <w:color w:val="auto"/>
                <w:sz w:val="18"/>
                <w:szCs w:val="18"/>
              </w:rPr>
            </w:pPr>
            <w:r>
              <w:rPr>
                <w:rFonts w:hint="eastAsia" w:eastAsia="等线"/>
                <w:color w:val="auto"/>
                <w:sz w:val="18"/>
                <w:szCs w:val="18"/>
                <w:lang w:val="en-US" w:eastAsia="zh-CN"/>
              </w:rPr>
              <w:t>/</w:t>
            </w:r>
          </w:p>
        </w:tc>
        <w:tc>
          <w:tcPr>
            <w:tcW w:w="265" w:type="pct"/>
            <w:noWrap w:val="0"/>
            <w:vAlign w:val="center"/>
          </w:tcPr>
          <w:p w14:paraId="45FBDB30">
            <w:pPr>
              <w:widowControl/>
              <w:jc w:val="center"/>
              <w:rPr>
                <w:rFonts w:eastAsia="等线"/>
                <w:color w:val="auto"/>
                <w:sz w:val="18"/>
                <w:szCs w:val="18"/>
              </w:rPr>
            </w:pPr>
            <w:r>
              <w:rPr>
                <w:rFonts w:hint="eastAsia" w:eastAsia="等线"/>
                <w:color w:val="auto"/>
                <w:sz w:val="18"/>
                <w:szCs w:val="18"/>
                <w:lang w:val="en-US" w:eastAsia="zh-CN"/>
              </w:rPr>
              <w:t>/</w:t>
            </w:r>
          </w:p>
        </w:tc>
        <w:tc>
          <w:tcPr>
            <w:tcW w:w="314" w:type="pct"/>
            <w:noWrap w:val="0"/>
            <w:vAlign w:val="center"/>
          </w:tcPr>
          <w:p w14:paraId="470B2695">
            <w:pPr>
              <w:widowControl/>
              <w:jc w:val="center"/>
              <w:rPr>
                <w:rFonts w:hint="eastAsia" w:eastAsia="等线"/>
                <w:color w:val="auto"/>
                <w:sz w:val="18"/>
                <w:szCs w:val="18"/>
                <w:lang w:eastAsia="zh-CN"/>
              </w:rPr>
            </w:pPr>
            <w:r>
              <w:rPr>
                <w:rFonts w:hint="eastAsia" w:eastAsia="等线"/>
                <w:color w:val="auto"/>
                <w:sz w:val="18"/>
                <w:szCs w:val="18"/>
                <w:lang w:val="en-US" w:eastAsia="zh-CN"/>
              </w:rPr>
              <w:t>/</w:t>
            </w:r>
          </w:p>
        </w:tc>
        <w:tc>
          <w:tcPr>
            <w:tcW w:w="325" w:type="pct"/>
            <w:noWrap w:val="0"/>
            <w:vAlign w:val="center"/>
          </w:tcPr>
          <w:p w14:paraId="6F77510F">
            <w:pPr>
              <w:widowControl/>
              <w:jc w:val="center"/>
              <w:rPr>
                <w:rFonts w:hint="eastAsia" w:eastAsia="等线"/>
                <w:color w:val="auto"/>
                <w:sz w:val="18"/>
                <w:szCs w:val="18"/>
                <w:lang w:eastAsia="zh-CN"/>
              </w:rPr>
            </w:pPr>
            <w:r>
              <w:rPr>
                <w:rFonts w:hint="eastAsia" w:eastAsia="等线"/>
                <w:color w:val="auto"/>
                <w:sz w:val="18"/>
                <w:szCs w:val="18"/>
                <w:lang w:val="en-US" w:eastAsia="zh-CN"/>
              </w:rPr>
              <w:t>/</w:t>
            </w:r>
          </w:p>
        </w:tc>
        <w:tc>
          <w:tcPr>
            <w:tcW w:w="0" w:type="auto"/>
            <w:noWrap w:val="0"/>
            <w:vAlign w:val="center"/>
          </w:tcPr>
          <w:p w14:paraId="2F50CDD9">
            <w:pPr>
              <w:widowControl/>
              <w:jc w:val="center"/>
              <w:rPr>
                <w:rFonts w:hint="default" w:eastAsia="等线"/>
                <w:color w:val="auto"/>
                <w:kern w:val="0"/>
                <w:sz w:val="18"/>
                <w:szCs w:val="18"/>
                <w:lang w:val="en-US" w:eastAsia="zh-CN"/>
              </w:rPr>
            </w:pPr>
            <w:r>
              <w:rPr>
                <w:rFonts w:hint="eastAsia" w:eastAsia="等线"/>
                <w:color w:val="auto"/>
                <w:sz w:val="18"/>
                <w:szCs w:val="18"/>
                <w:lang w:val="en-US" w:eastAsia="zh-CN"/>
              </w:rPr>
              <w:t>/</w:t>
            </w:r>
          </w:p>
        </w:tc>
      </w:tr>
      <w:bookmarkEnd w:id="14"/>
    </w:tbl>
    <w:p w14:paraId="4A04C95B">
      <w:pPr>
        <w:pStyle w:val="86"/>
        <w:rPr>
          <w:color w:val="auto"/>
        </w:rPr>
      </w:pPr>
      <w:r>
        <w:rPr>
          <w:rFonts w:hint="eastAsia"/>
          <w:color w:val="auto"/>
        </w:rPr>
        <w:t>表4-</w:t>
      </w:r>
      <w:r>
        <w:rPr>
          <w:color w:val="auto"/>
        </w:rPr>
        <w:t xml:space="preserve">2 </w:t>
      </w:r>
      <w:r>
        <w:rPr>
          <w:rFonts w:hint="eastAsia"/>
          <w:color w:val="auto"/>
        </w:rPr>
        <w:t>本项目各大气污染物排口信息及排放标准汇总表</w:t>
      </w:r>
    </w:p>
    <w:tbl>
      <w:tblPr>
        <w:tblStyle w:val="35"/>
        <w:tblW w:w="5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2"/>
        <w:gridCol w:w="1128"/>
        <w:gridCol w:w="1434"/>
        <w:gridCol w:w="1281"/>
        <w:gridCol w:w="1537"/>
        <w:gridCol w:w="1448"/>
        <w:gridCol w:w="1098"/>
        <w:gridCol w:w="1230"/>
        <w:gridCol w:w="916"/>
        <w:gridCol w:w="852"/>
        <w:gridCol w:w="1562"/>
        <w:gridCol w:w="1703"/>
      </w:tblGrid>
      <w:tr w14:paraId="317E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vMerge w:val="restart"/>
            <w:noWrap w:val="0"/>
            <w:vAlign w:val="center"/>
          </w:tcPr>
          <w:p w14:paraId="113BE70F">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序号</w:t>
            </w:r>
          </w:p>
        </w:tc>
        <w:tc>
          <w:tcPr>
            <w:tcW w:w="1127" w:type="dxa"/>
            <w:vMerge w:val="restart"/>
            <w:noWrap w:val="0"/>
            <w:vAlign w:val="center"/>
          </w:tcPr>
          <w:p w14:paraId="775493D8">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排放口编号</w:t>
            </w:r>
          </w:p>
        </w:tc>
        <w:tc>
          <w:tcPr>
            <w:tcW w:w="1433" w:type="dxa"/>
            <w:vMerge w:val="restart"/>
            <w:noWrap w:val="0"/>
            <w:vAlign w:val="center"/>
          </w:tcPr>
          <w:p w14:paraId="71488305">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排放口名称</w:t>
            </w:r>
          </w:p>
        </w:tc>
        <w:tc>
          <w:tcPr>
            <w:tcW w:w="1280" w:type="dxa"/>
            <w:vMerge w:val="restart"/>
            <w:noWrap w:val="0"/>
            <w:vAlign w:val="center"/>
          </w:tcPr>
          <w:p w14:paraId="6C0A327E">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污染物种类</w:t>
            </w:r>
          </w:p>
        </w:tc>
        <w:tc>
          <w:tcPr>
            <w:tcW w:w="2983" w:type="dxa"/>
            <w:gridSpan w:val="2"/>
            <w:noWrap w:val="0"/>
            <w:vAlign w:val="center"/>
          </w:tcPr>
          <w:p w14:paraId="6F27CB8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排放口地理坐标</w:t>
            </w:r>
          </w:p>
        </w:tc>
        <w:tc>
          <w:tcPr>
            <w:tcW w:w="1097" w:type="dxa"/>
            <w:vMerge w:val="restart"/>
            <w:noWrap w:val="0"/>
            <w:vAlign w:val="center"/>
          </w:tcPr>
          <w:p w14:paraId="03E6596A">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排气筒高度（m）</w:t>
            </w:r>
          </w:p>
        </w:tc>
        <w:tc>
          <w:tcPr>
            <w:tcW w:w="1229" w:type="dxa"/>
            <w:vMerge w:val="restart"/>
            <w:noWrap w:val="0"/>
            <w:vAlign w:val="center"/>
          </w:tcPr>
          <w:p w14:paraId="6E008893">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排气筒出口内径（m）</w:t>
            </w:r>
          </w:p>
        </w:tc>
        <w:tc>
          <w:tcPr>
            <w:tcW w:w="915" w:type="dxa"/>
            <w:vMerge w:val="restart"/>
            <w:noWrap w:val="0"/>
            <w:vAlign w:val="center"/>
          </w:tcPr>
          <w:p w14:paraId="7274A5CE">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排气温度（℃）</w:t>
            </w:r>
          </w:p>
        </w:tc>
        <w:tc>
          <w:tcPr>
            <w:tcW w:w="851" w:type="dxa"/>
            <w:vMerge w:val="restart"/>
            <w:noWrap w:val="0"/>
            <w:vAlign w:val="center"/>
          </w:tcPr>
          <w:p w14:paraId="40A66C23">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排放口类型</w:t>
            </w:r>
          </w:p>
        </w:tc>
        <w:tc>
          <w:tcPr>
            <w:tcW w:w="1561" w:type="dxa"/>
            <w:vMerge w:val="restart"/>
            <w:noWrap w:val="0"/>
            <w:vAlign w:val="center"/>
          </w:tcPr>
          <w:p w14:paraId="3BD3FC3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执行标准</w:t>
            </w:r>
          </w:p>
        </w:tc>
        <w:tc>
          <w:tcPr>
            <w:tcW w:w="1702" w:type="dxa"/>
            <w:vMerge w:val="restart"/>
            <w:noWrap w:val="0"/>
            <w:vAlign w:val="center"/>
          </w:tcPr>
          <w:p w14:paraId="65BB3BA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限值</w:t>
            </w:r>
          </w:p>
        </w:tc>
      </w:tr>
      <w:tr w14:paraId="7B15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vMerge w:val="continue"/>
            <w:noWrap w:val="0"/>
            <w:vAlign w:val="center"/>
          </w:tcPr>
          <w:p w14:paraId="4F3E7861">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127" w:type="dxa"/>
            <w:vMerge w:val="continue"/>
            <w:noWrap w:val="0"/>
            <w:vAlign w:val="center"/>
          </w:tcPr>
          <w:p w14:paraId="2C16D87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433" w:type="dxa"/>
            <w:vMerge w:val="continue"/>
            <w:noWrap w:val="0"/>
            <w:vAlign w:val="center"/>
          </w:tcPr>
          <w:p w14:paraId="40910B1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80" w:type="dxa"/>
            <w:vMerge w:val="continue"/>
            <w:noWrap w:val="0"/>
            <w:vAlign w:val="center"/>
          </w:tcPr>
          <w:p w14:paraId="5A6CD73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536" w:type="dxa"/>
            <w:noWrap w:val="0"/>
            <w:vAlign w:val="center"/>
          </w:tcPr>
          <w:p w14:paraId="6A0E0D0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经度</w:t>
            </w:r>
          </w:p>
        </w:tc>
        <w:tc>
          <w:tcPr>
            <w:tcW w:w="1447" w:type="dxa"/>
            <w:noWrap w:val="0"/>
            <w:vAlign w:val="center"/>
          </w:tcPr>
          <w:p w14:paraId="4E0F74A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纬度</w:t>
            </w:r>
          </w:p>
        </w:tc>
        <w:tc>
          <w:tcPr>
            <w:tcW w:w="1097" w:type="dxa"/>
            <w:vMerge w:val="continue"/>
            <w:noWrap w:val="0"/>
            <w:vAlign w:val="center"/>
          </w:tcPr>
          <w:p w14:paraId="07375D3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29" w:type="dxa"/>
            <w:vMerge w:val="continue"/>
            <w:noWrap w:val="0"/>
            <w:vAlign w:val="center"/>
          </w:tcPr>
          <w:p w14:paraId="3B672554">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915" w:type="dxa"/>
            <w:vMerge w:val="continue"/>
            <w:noWrap w:val="0"/>
            <w:vAlign w:val="center"/>
          </w:tcPr>
          <w:p w14:paraId="2FD4B3A3">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851" w:type="dxa"/>
            <w:vMerge w:val="continue"/>
            <w:noWrap w:val="0"/>
            <w:vAlign w:val="center"/>
          </w:tcPr>
          <w:p w14:paraId="7F6747F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561" w:type="dxa"/>
            <w:vMerge w:val="continue"/>
            <w:noWrap w:val="0"/>
            <w:vAlign w:val="center"/>
          </w:tcPr>
          <w:p w14:paraId="19A0351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702" w:type="dxa"/>
            <w:vMerge w:val="continue"/>
            <w:noWrap w:val="0"/>
            <w:vAlign w:val="center"/>
          </w:tcPr>
          <w:p w14:paraId="6277813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r>
      <w:tr w14:paraId="229B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vMerge w:val="restart"/>
            <w:noWrap w:val="0"/>
            <w:vAlign w:val="center"/>
          </w:tcPr>
          <w:p w14:paraId="64231A2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1</w:t>
            </w:r>
          </w:p>
        </w:tc>
        <w:tc>
          <w:tcPr>
            <w:tcW w:w="1127" w:type="dxa"/>
            <w:vMerge w:val="restart"/>
            <w:noWrap w:val="0"/>
            <w:vAlign w:val="center"/>
          </w:tcPr>
          <w:p w14:paraId="36BCEBA8">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DA001</w:t>
            </w:r>
          </w:p>
        </w:tc>
        <w:tc>
          <w:tcPr>
            <w:tcW w:w="1433" w:type="dxa"/>
            <w:vMerge w:val="restart"/>
            <w:noWrap w:val="0"/>
            <w:vAlign w:val="center"/>
          </w:tcPr>
          <w:p w14:paraId="580BD5C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kern w:val="0"/>
                <w:sz w:val="18"/>
                <w:szCs w:val="18"/>
                <w:lang w:val="en-US" w:eastAsia="zh-CN"/>
              </w:rPr>
              <w:t>熔窑废气</w:t>
            </w:r>
            <w:r>
              <w:rPr>
                <w:rFonts w:hint="eastAsia" w:ascii="Times New Roman" w:hAnsi="Times New Roman" w:eastAsia="宋体" w:cs="Times New Roman"/>
                <w:color w:val="auto"/>
                <w:kern w:val="0"/>
                <w:sz w:val="18"/>
                <w:szCs w:val="18"/>
                <w:lang w:val="en-US" w:eastAsia="zh-CN"/>
              </w:rPr>
              <w:t>排放口</w:t>
            </w:r>
          </w:p>
        </w:tc>
        <w:tc>
          <w:tcPr>
            <w:tcW w:w="1280" w:type="dxa"/>
            <w:noWrap w:val="0"/>
            <w:vAlign w:val="center"/>
          </w:tcPr>
          <w:p w14:paraId="2222C60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SO</w:t>
            </w:r>
            <w:r>
              <w:rPr>
                <w:color w:val="auto"/>
                <w:sz w:val="18"/>
                <w:szCs w:val="18"/>
                <w:vertAlign w:val="subscript"/>
                <w:lang w:val="en-US" w:eastAsia="zh-CN"/>
              </w:rPr>
              <w:t>2</w:t>
            </w:r>
          </w:p>
        </w:tc>
        <w:tc>
          <w:tcPr>
            <w:tcW w:w="1536" w:type="dxa"/>
            <w:vMerge w:val="restart"/>
            <w:noWrap w:val="0"/>
            <w:vAlign w:val="center"/>
          </w:tcPr>
          <w:p w14:paraId="6D068428">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116.890938</w:t>
            </w:r>
          </w:p>
        </w:tc>
        <w:tc>
          <w:tcPr>
            <w:tcW w:w="1447" w:type="dxa"/>
            <w:vMerge w:val="restart"/>
            <w:noWrap w:val="0"/>
            <w:vAlign w:val="center"/>
          </w:tcPr>
          <w:p w14:paraId="0128AFC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32.568611</w:t>
            </w:r>
          </w:p>
        </w:tc>
        <w:tc>
          <w:tcPr>
            <w:tcW w:w="1097" w:type="dxa"/>
            <w:vMerge w:val="restart"/>
            <w:noWrap w:val="0"/>
            <w:vAlign w:val="center"/>
          </w:tcPr>
          <w:p w14:paraId="75263B94">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55</w:t>
            </w:r>
          </w:p>
        </w:tc>
        <w:tc>
          <w:tcPr>
            <w:tcW w:w="1229" w:type="dxa"/>
            <w:vMerge w:val="restart"/>
            <w:noWrap w:val="0"/>
            <w:vAlign w:val="center"/>
          </w:tcPr>
          <w:p w14:paraId="0745AFCF">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2.5</w:t>
            </w:r>
          </w:p>
        </w:tc>
        <w:tc>
          <w:tcPr>
            <w:tcW w:w="915" w:type="dxa"/>
            <w:vMerge w:val="restart"/>
            <w:noWrap w:val="0"/>
            <w:vAlign w:val="center"/>
          </w:tcPr>
          <w:p w14:paraId="74BDBFC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150</w:t>
            </w:r>
          </w:p>
        </w:tc>
        <w:tc>
          <w:tcPr>
            <w:tcW w:w="851" w:type="dxa"/>
            <w:vMerge w:val="restart"/>
            <w:noWrap w:val="0"/>
            <w:vAlign w:val="center"/>
          </w:tcPr>
          <w:p w14:paraId="68187E3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一般</w:t>
            </w:r>
          </w:p>
        </w:tc>
        <w:tc>
          <w:tcPr>
            <w:tcW w:w="1561" w:type="dxa"/>
            <w:vMerge w:val="restart"/>
            <w:noWrap w:val="0"/>
            <w:vAlign w:val="center"/>
          </w:tcPr>
          <w:p w14:paraId="11AE4372">
            <w:pPr>
              <w:keepNext w:val="0"/>
              <w:keepLines w:val="0"/>
              <w:pageBreakBefore w:val="0"/>
              <w:widowControl/>
              <w:kinsoku/>
              <w:wordWrap/>
              <w:overflowPunct/>
              <w:topLinePunct w:val="0"/>
              <w:autoSpaceDE/>
              <w:autoSpaceDN/>
              <w:bidi w:val="0"/>
              <w:spacing w:line="240" w:lineRule="atLeast"/>
              <w:ind w:firstLine="0" w:firstLineChars="0"/>
              <w:jc w:val="center"/>
              <w:textAlignment w:val="auto"/>
              <w:rPr>
                <w:color w:val="auto"/>
                <w:sz w:val="18"/>
                <w:szCs w:val="18"/>
              </w:rPr>
            </w:pPr>
            <w:r>
              <w:rPr>
                <w:rFonts w:hint="eastAsia"/>
                <w:color w:val="auto"/>
                <w:sz w:val="18"/>
                <w:szCs w:val="18"/>
                <w:lang w:val="en-US" w:eastAsia="zh-CN"/>
              </w:rPr>
              <w:t xml:space="preserve">DB34/4295-2022 </w:t>
            </w:r>
          </w:p>
        </w:tc>
        <w:tc>
          <w:tcPr>
            <w:tcW w:w="1702" w:type="dxa"/>
            <w:noWrap w:val="0"/>
            <w:vAlign w:val="center"/>
          </w:tcPr>
          <w:p w14:paraId="5CABFED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eastAsia"/>
                <w:color w:val="auto"/>
                <w:sz w:val="18"/>
                <w:szCs w:val="18"/>
                <w:lang w:val="en-US" w:eastAsia="zh-CN"/>
              </w:rPr>
            </w:pPr>
            <w:r>
              <w:rPr>
                <w:color w:val="auto"/>
                <w:sz w:val="18"/>
                <w:szCs w:val="18"/>
                <w:lang w:val="en-US" w:eastAsia="zh-CN"/>
              </w:rPr>
              <w:t>1</w:t>
            </w:r>
            <w:r>
              <w:rPr>
                <w:rFonts w:hint="eastAsia"/>
                <w:color w:val="auto"/>
                <w:sz w:val="18"/>
                <w:szCs w:val="18"/>
                <w:lang w:val="en-US" w:eastAsia="zh-CN"/>
              </w:rPr>
              <w:t>0</w:t>
            </w:r>
            <w:r>
              <w:rPr>
                <w:color w:val="auto"/>
                <w:sz w:val="18"/>
                <w:szCs w:val="18"/>
                <w:lang w:val="en-US" w:eastAsia="zh-CN"/>
              </w:rPr>
              <w:t>0mg/m</w:t>
            </w:r>
            <w:r>
              <w:rPr>
                <w:color w:val="auto"/>
                <w:sz w:val="18"/>
                <w:szCs w:val="18"/>
                <w:vertAlign w:val="superscript"/>
                <w:lang w:val="en-US" w:eastAsia="zh-CN"/>
              </w:rPr>
              <w:t>3</w:t>
            </w:r>
          </w:p>
        </w:tc>
      </w:tr>
      <w:tr w14:paraId="3F92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vMerge w:val="continue"/>
            <w:noWrap w:val="0"/>
            <w:vAlign w:val="center"/>
          </w:tcPr>
          <w:p w14:paraId="06BA344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127" w:type="dxa"/>
            <w:vMerge w:val="continue"/>
            <w:noWrap w:val="0"/>
            <w:vAlign w:val="center"/>
          </w:tcPr>
          <w:p w14:paraId="47D8A8C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433" w:type="dxa"/>
            <w:vMerge w:val="continue"/>
            <w:noWrap w:val="0"/>
            <w:vAlign w:val="center"/>
          </w:tcPr>
          <w:p w14:paraId="33FEC13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80" w:type="dxa"/>
            <w:noWrap w:val="0"/>
            <w:vAlign w:val="center"/>
          </w:tcPr>
          <w:p w14:paraId="6B54573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NOx</w:t>
            </w:r>
          </w:p>
        </w:tc>
        <w:tc>
          <w:tcPr>
            <w:tcW w:w="1536" w:type="dxa"/>
            <w:vMerge w:val="continue"/>
            <w:noWrap w:val="0"/>
            <w:vAlign w:val="center"/>
          </w:tcPr>
          <w:p w14:paraId="2BCA512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447" w:type="dxa"/>
            <w:vMerge w:val="continue"/>
            <w:noWrap w:val="0"/>
            <w:vAlign w:val="center"/>
          </w:tcPr>
          <w:p w14:paraId="0CD7F76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097" w:type="dxa"/>
            <w:vMerge w:val="continue"/>
            <w:noWrap w:val="0"/>
            <w:vAlign w:val="center"/>
          </w:tcPr>
          <w:p w14:paraId="2BC4D84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29" w:type="dxa"/>
            <w:vMerge w:val="continue"/>
            <w:noWrap w:val="0"/>
            <w:vAlign w:val="center"/>
          </w:tcPr>
          <w:p w14:paraId="30B1B28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915" w:type="dxa"/>
            <w:vMerge w:val="continue"/>
            <w:noWrap w:val="0"/>
            <w:vAlign w:val="center"/>
          </w:tcPr>
          <w:p w14:paraId="0413489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851" w:type="dxa"/>
            <w:vMerge w:val="continue"/>
            <w:noWrap w:val="0"/>
            <w:vAlign w:val="center"/>
          </w:tcPr>
          <w:p w14:paraId="513E260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561" w:type="dxa"/>
            <w:vMerge w:val="continue"/>
            <w:noWrap w:val="0"/>
            <w:vAlign w:val="center"/>
          </w:tcPr>
          <w:p w14:paraId="656148C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702" w:type="dxa"/>
            <w:noWrap w:val="0"/>
            <w:vAlign w:val="center"/>
          </w:tcPr>
          <w:p w14:paraId="6271F80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2</w:t>
            </w:r>
            <w:r>
              <w:rPr>
                <w:color w:val="auto"/>
                <w:sz w:val="18"/>
                <w:szCs w:val="18"/>
                <w:lang w:val="en-US" w:eastAsia="zh-CN"/>
              </w:rPr>
              <w:t>00mg/m</w:t>
            </w:r>
            <w:r>
              <w:rPr>
                <w:color w:val="auto"/>
                <w:sz w:val="18"/>
                <w:szCs w:val="18"/>
                <w:vertAlign w:val="superscript"/>
                <w:lang w:val="en-US" w:eastAsia="zh-CN"/>
              </w:rPr>
              <w:t>3</w:t>
            </w:r>
          </w:p>
        </w:tc>
      </w:tr>
      <w:tr w14:paraId="2CD0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vMerge w:val="continue"/>
            <w:noWrap w:val="0"/>
            <w:vAlign w:val="center"/>
          </w:tcPr>
          <w:p w14:paraId="3141BA4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127" w:type="dxa"/>
            <w:vMerge w:val="continue"/>
            <w:noWrap w:val="0"/>
            <w:vAlign w:val="center"/>
          </w:tcPr>
          <w:p w14:paraId="3FE00A0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433" w:type="dxa"/>
            <w:vMerge w:val="continue"/>
            <w:noWrap w:val="0"/>
            <w:vAlign w:val="center"/>
          </w:tcPr>
          <w:p w14:paraId="7F231D2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80" w:type="dxa"/>
            <w:noWrap w:val="0"/>
            <w:vAlign w:val="center"/>
          </w:tcPr>
          <w:p w14:paraId="4FCA6CF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烟尘</w:t>
            </w:r>
          </w:p>
        </w:tc>
        <w:tc>
          <w:tcPr>
            <w:tcW w:w="1536" w:type="dxa"/>
            <w:vMerge w:val="continue"/>
            <w:noWrap w:val="0"/>
            <w:vAlign w:val="center"/>
          </w:tcPr>
          <w:p w14:paraId="2852EB4F">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447" w:type="dxa"/>
            <w:vMerge w:val="continue"/>
            <w:noWrap w:val="0"/>
            <w:vAlign w:val="center"/>
          </w:tcPr>
          <w:p w14:paraId="7B2DE7C5">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097" w:type="dxa"/>
            <w:vMerge w:val="continue"/>
            <w:noWrap w:val="0"/>
            <w:vAlign w:val="center"/>
          </w:tcPr>
          <w:p w14:paraId="771794D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229" w:type="dxa"/>
            <w:vMerge w:val="continue"/>
            <w:noWrap w:val="0"/>
            <w:vAlign w:val="center"/>
          </w:tcPr>
          <w:p w14:paraId="18F43C3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915" w:type="dxa"/>
            <w:vMerge w:val="continue"/>
            <w:noWrap w:val="0"/>
            <w:vAlign w:val="center"/>
          </w:tcPr>
          <w:p w14:paraId="6A17C35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851" w:type="dxa"/>
            <w:vMerge w:val="continue"/>
            <w:noWrap w:val="0"/>
            <w:vAlign w:val="center"/>
          </w:tcPr>
          <w:p w14:paraId="15657565">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561" w:type="dxa"/>
            <w:vMerge w:val="continue"/>
            <w:noWrap w:val="0"/>
            <w:vAlign w:val="center"/>
          </w:tcPr>
          <w:p w14:paraId="61FBA2D4">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702" w:type="dxa"/>
            <w:noWrap w:val="0"/>
            <w:vAlign w:val="center"/>
          </w:tcPr>
          <w:p w14:paraId="3EFD6ED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20</w:t>
            </w:r>
            <w:r>
              <w:rPr>
                <w:color w:val="auto"/>
                <w:sz w:val="18"/>
                <w:szCs w:val="18"/>
                <w:lang w:val="en-US" w:eastAsia="zh-CN"/>
              </w:rPr>
              <w:t>mg/m</w:t>
            </w:r>
            <w:r>
              <w:rPr>
                <w:color w:val="auto"/>
                <w:sz w:val="18"/>
                <w:szCs w:val="18"/>
                <w:vertAlign w:val="superscript"/>
                <w:lang w:val="en-US" w:eastAsia="zh-CN"/>
              </w:rPr>
              <w:t>3</w:t>
            </w:r>
          </w:p>
        </w:tc>
      </w:tr>
      <w:tr w14:paraId="5136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noWrap w:val="0"/>
            <w:vAlign w:val="center"/>
          </w:tcPr>
          <w:p w14:paraId="45CCC51B">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2</w:t>
            </w:r>
          </w:p>
        </w:tc>
        <w:tc>
          <w:tcPr>
            <w:tcW w:w="1127" w:type="dxa"/>
            <w:noWrap w:val="0"/>
            <w:vAlign w:val="center"/>
          </w:tcPr>
          <w:p w14:paraId="20C1D97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DA002</w:t>
            </w:r>
          </w:p>
        </w:tc>
        <w:tc>
          <w:tcPr>
            <w:tcW w:w="1433" w:type="dxa"/>
            <w:noWrap w:val="0"/>
            <w:vAlign w:val="center"/>
          </w:tcPr>
          <w:p w14:paraId="2354CDD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混料废气排放口</w:t>
            </w:r>
          </w:p>
        </w:tc>
        <w:tc>
          <w:tcPr>
            <w:tcW w:w="1280" w:type="dxa"/>
            <w:noWrap w:val="0"/>
            <w:vAlign w:val="center"/>
          </w:tcPr>
          <w:p w14:paraId="1B944013">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颗粒物</w:t>
            </w:r>
          </w:p>
        </w:tc>
        <w:tc>
          <w:tcPr>
            <w:tcW w:w="1536" w:type="dxa"/>
            <w:noWrap w:val="0"/>
            <w:vAlign w:val="top"/>
          </w:tcPr>
          <w:p w14:paraId="1C13577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116.890615</w:t>
            </w:r>
          </w:p>
        </w:tc>
        <w:tc>
          <w:tcPr>
            <w:tcW w:w="1447" w:type="dxa"/>
            <w:noWrap w:val="0"/>
            <w:vAlign w:val="top"/>
          </w:tcPr>
          <w:p w14:paraId="6410FCA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32.569101</w:t>
            </w:r>
          </w:p>
        </w:tc>
        <w:tc>
          <w:tcPr>
            <w:tcW w:w="1097" w:type="dxa"/>
            <w:noWrap w:val="0"/>
            <w:vAlign w:val="center"/>
          </w:tcPr>
          <w:p w14:paraId="0164C244">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15</w:t>
            </w:r>
          </w:p>
        </w:tc>
        <w:tc>
          <w:tcPr>
            <w:tcW w:w="1229" w:type="dxa"/>
            <w:noWrap w:val="0"/>
            <w:vAlign w:val="center"/>
          </w:tcPr>
          <w:p w14:paraId="0755789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0.5</w:t>
            </w:r>
          </w:p>
        </w:tc>
        <w:tc>
          <w:tcPr>
            <w:tcW w:w="915" w:type="dxa"/>
            <w:noWrap w:val="0"/>
            <w:vAlign w:val="center"/>
          </w:tcPr>
          <w:p w14:paraId="05453C6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25</w:t>
            </w:r>
          </w:p>
        </w:tc>
        <w:tc>
          <w:tcPr>
            <w:tcW w:w="851" w:type="dxa"/>
            <w:noWrap w:val="0"/>
            <w:vAlign w:val="center"/>
          </w:tcPr>
          <w:p w14:paraId="75B0DD51">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一般</w:t>
            </w:r>
          </w:p>
        </w:tc>
        <w:tc>
          <w:tcPr>
            <w:tcW w:w="1561" w:type="dxa"/>
            <w:noWrap w:val="0"/>
            <w:vAlign w:val="center"/>
          </w:tcPr>
          <w:p w14:paraId="1966D48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DB34/4295-2022</w:t>
            </w:r>
          </w:p>
        </w:tc>
        <w:tc>
          <w:tcPr>
            <w:tcW w:w="1702" w:type="dxa"/>
            <w:noWrap w:val="0"/>
            <w:vAlign w:val="center"/>
          </w:tcPr>
          <w:p w14:paraId="416E245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20</w:t>
            </w:r>
            <w:r>
              <w:rPr>
                <w:color w:val="auto"/>
                <w:sz w:val="18"/>
                <w:szCs w:val="18"/>
                <w:lang w:val="en-US" w:eastAsia="zh-CN"/>
              </w:rPr>
              <w:t>mg/m</w:t>
            </w:r>
            <w:r>
              <w:rPr>
                <w:color w:val="auto"/>
                <w:sz w:val="18"/>
                <w:szCs w:val="18"/>
                <w:vertAlign w:val="superscript"/>
                <w:lang w:val="en-US" w:eastAsia="zh-CN"/>
              </w:rPr>
              <w:t>3</w:t>
            </w:r>
          </w:p>
        </w:tc>
      </w:tr>
      <w:tr w14:paraId="0A14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622" w:type="dxa"/>
            <w:noWrap w:val="0"/>
            <w:vAlign w:val="center"/>
          </w:tcPr>
          <w:p w14:paraId="6C84F997">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3</w:t>
            </w:r>
          </w:p>
        </w:tc>
        <w:tc>
          <w:tcPr>
            <w:tcW w:w="1127" w:type="dxa"/>
            <w:noWrap w:val="0"/>
            <w:vAlign w:val="center"/>
          </w:tcPr>
          <w:p w14:paraId="7FABDA6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DA00</w:t>
            </w:r>
            <w:r>
              <w:rPr>
                <w:rFonts w:hint="eastAsia"/>
                <w:color w:val="auto"/>
                <w:sz w:val="18"/>
                <w:szCs w:val="18"/>
                <w:lang w:val="en-US" w:eastAsia="zh-CN"/>
              </w:rPr>
              <w:t>3</w:t>
            </w:r>
          </w:p>
        </w:tc>
        <w:tc>
          <w:tcPr>
            <w:tcW w:w="1433" w:type="dxa"/>
            <w:noWrap w:val="0"/>
            <w:vAlign w:val="center"/>
          </w:tcPr>
          <w:p w14:paraId="5E93E01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投料废气排放口</w:t>
            </w:r>
          </w:p>
        </w:tc>
        <w:tc>
          <w:tcPr>
            <w:tcW w:w="1280" w:type="dxa"/>
            <w:noWrap w:val="0"/>
            <w:vAlign w:val="center"/>
          </w:tcPr>
          <w:p w14:paraId="4CC215A3">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颗粒物</w:t>
            </w:r>
          </w:p>
        </w:tc>
        <w:tc>
          <w:tcPr>
            <w:tcW w:w="1536" w:type="dxa"/>
            <w:noWrap w:val="0"/>
            <w:vAlign w:val="center"/>
          </w:tcPr>
          <w:p w14:paraId="473CE604">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116.890816</w:t>
            </w:r>
          </w:p>
        </w:tc>
        <w:tc>
          <w:tcPr>
            <w:tcW w:w="1447" w:type="dxa"/>
            <w:noWrap w:val="0"/>
            <w:vAlign w:val="center"/>
          </w:tcPr>
          <w:p w14:paraId="7EAF0FB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32.568974</w:t>
            </w:r>
          </w:p>
        </w:tc>
        <w:tc>
          <w:tcPr>
            <w:tcW w:w="1097" w:type="dxa"/>
            <w:noWrap w:val="0"/>
            <w:vAlign w:val="center"/>
          </w:tcPr>
          <w:p w14:paraId="410980F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15</w:t>
            </w:r>
          </w:p>
        </w:tc>
        <w:tc>
          <w:tcPr>
            <w:tcW w:w="1229" w:type="dxa"/>
            <w:noWrap w:val="0"/>
            <w:vAlign w:val="center"/>
          </w:tcPr>
          <w:p w14:paraId="3F990145">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0.5</w:t>
            </w:r>
          </w:p>
        </w:tc>
        <w:tc>
          <w:tcPr>
            <w:tcW w:w="915" w:type="dxa"/>
            <w:noWrap w:val="0"/>
            <w:vAlign w:val="center"/>
          </w:tcPr>
          <w:p w14:paraId="2A3349F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25</w:t>
            </w:r>
          </w:p>
        </w:tc>
        <w:tc>
          <w:tcPr>
            <w:tcW w:w="851" w:type="dxa"/>
            <w:noWrap w:val="0"/>
            <w:vAlign w:val="center"/>
          </w:tcPr>
          <w:p w14:paraId="3038C55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一般</w:t>
            </w:r>
          </w:p>
        </w:tc>
        <w:tc>
          <w:tcPr>
            <w:tcW w:w="1561" w:type="dxa"/>
            <w:noWrap w:val="0"/>
            <w:vAlign w:val="center"/>
          </w:tcPr>
          <w:p w14:paraId="7F21B85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DB34/4295-2022</w:t>
            </w:r>
          </w:p>
        </w:tc>
        <w:tc>
          <w:tcPr>
            <w:tcW w:w="1702" w:type="dxa"/>
            <w:noWrap w:val="0"/>
            <w:vAlign w:val="center"/>
          </w:tcPr>
          <w:p w14:paraId="5DC3C96D">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20</w:t>
            </w:r>
            <w:r>
              <w:rPr>
                <w:color w:val="auto"/>
                <w:sz w:val="18"/>
                <w:szCs w:val="18"/>
                <w:lang w:val="en-US" w:eastAsia="zh-CN"/>
              </w:rPr>
              <w:t>mg/m</w:t>
            </w:r>
            <w:r>
              <w:rPr>
                <w:color w:val="auto"/>
                <w:sz w:val="18"/>
                <w:szCs w:val="18"/>
                <w:vertAlign w:val="superscript"/>
                <w:lang w:val="en-US" w:eastAsia="zh-CN"/>
              </w:rPr>
              <w:t>3</w:t>
            </w:r>
          </w:p>
        </w:tc>
      </w:tr>
    </w:tbl>
    <w:p w14:paraId="7A5D6DEB">
      <w:pPr>
        <w:pStyle w:val="86"/>
        <w:rPr>
          <w:rFonts w:hint="eastAsia"/>
          <w:color w:val="auto"/>
        </w:rPr>
      </w:pPr>
      <w:r>
        <w:rPr>
          <w:rFonts w:hint="eastAsia"/>
          <w:color w:val="auto"/>
        </w:rPr>
        <w:t>表4-</w:t>
      </w:r>
      <w:r>
        <w:rPr>
          <w:color w:val="auto"/>
        </w:rPr>
        <w:t xml:space="preserve">3 </w:t>
      </w:r>
      <w:r>
        <w:rPr>
          <w:rFonts w:hint="eastAsia"/>
          <w:color w:val="auto"/>
        </w:rPr>
        <w:t>大气污染物无组织排放一览表</w:t>
      </w:r>
    </w:p>
    <w:tbl>
      <w:tblPr>
        <w:tblStyle w:val="35"/>
        <w:tblW w:w="5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1619"/>
        <w:gridCol w:w="2635"/>
        <w:gridCol w:w="1823"/>
        <w:gridCol w:w="2715"/>
        <w:gridCol w:w="2548"/>
        <w:gridCol w:w="2302"/>
      </w:tblGrid>
      <w:tr w14:paraId="1D97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28" w:type="dxa"/>
            <w:vMerge w:val="restart"/>
            <w:noWrap w:val="0"/>
            <w:vAlign w:val="center"/>
          </w:tcPr>
          <w:p w14:paraId="66CFF929">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bookmarkStart w:id="15" w:name="_Hlk76387107"/>
            <w:r>
              <w:rPr>
                <w:color w:val="auto"/>
                <w:sz w:val="18"/>
                <w:szCs w:val="18"/>
                <w:lang w:val="en-US" w:eastAsia="zh-CN"/>
              </w:rPr>
              <w:t>序号</w:t>
            </w:r>
          </w:p>
        </w:tc>
        <w:tc>
          <w:tcPr>
            <w:tcW w:w="1618" w:type="dxa"/>
            <w:vMerge w:val="restart"/>
            <w:noWrap w:val="0"/>
            <w:vAlign w:val="center"/>
          </w:tcPr>
          <w:p w14:paraId="05B02835">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生产设施编号/无组织排放编号</w:t>
            </w:r>
          </w:p>
        </w:tc>
        <w:tc>
          <w:tcPr>
            <w:tcW w:w="2633" w:type="dxa"/>
            <w:vMerge w:val="restart"/>
            <w:noWrap w:val="0"/>
            <w:vAlign w:val="center"/>
          </w:tcPr>
          <w:p w14:paraId="23264A2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产污环节</w:t>
            </w:r>
          </w:p>
        </w:tc>
        <w:tc>
          <w:tcPr>
            <w:tcW w:w="1822" w:type="dxa"/>
            <w:vMerge w:val="restart"/>
            <w:noWrap w:val="0"/>
            <w:vAlign w:val="center"/>
          </w:tcPr>
          <w:p w14:paraId="7488EE26">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污染物种类</w:t>
            </w:r>
          </w:p>
        </w:tc>
        <w:tc>
          <w:tcPr>
            <w:tcW w:w="2713" w:type="dxa"/>
            <w:vMerge w:val="restart"/>
            <w:noWrap w:val="0"/>
            <w:vAlign w:val="center"/>
          </w:tcPr>
          <w:p w14:paraId="229B445A">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主要污染防治措施</w:t>
            </w:r>
          </w:p>
        </w:tc>
        <w:tc>
          <w:tcPr>
            <w:tcW w:w="4847" w:type="dxa"/>
            <w:gridSpan w:val="2"/>
            <w:noWrap w:val="0"/>
            <w:vAlign w:val="center"/>
          </w:tcPr>
          <w:p w14:paraId="1D00F453">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color w:val="auto"/>
                <w:sz w:val="18"/>
                <w:szCs w:val="18"/>
                <w:lang w:val="en-US" w:eastAsia="zh-CN"/>
              </w:rPr>
            </w:pPr>
            <w:r>
              <w:rPr>
                <w:color w:val="auto"/>
                <w:sz w:val="18"/>
                <w:szCs w:val="18"/>
                <w:lang w:val="en-US" w:eastAsia="zh-CN"/>
              </w:rPr>
              <w:t>国家或地方污染物排放标准</w:t>
            </w:r>
          </w:p>
        </w:tc>
      </w:tr>
      <w:tr w14:paraId="709D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28" w:type="dxa"/>
            <w:vMerge w:val="continue"/>
            <w:noWrap w:val="0"/>
            <w:vAlign w:val="center"/>
          </w:tcPr>
          <w:p w14:paraId="0DAB574E">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618" w:type="dxa"/>
            <w:vMerge w:val="continue"/>
            <w:noWrap w:val="0"/>
            <w:vAlign w:val="center"/>
          </w:tcPr>
          <w:p w14:paraId="7D27473A">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2633" w:type="dxa"/>
            <w:vMerge w:val="continue"/>
            <w:noWrap w:val="0"/>
            <w:vAlign w:val="center"/>
          </w:tcPr>
          <w:p w14:paraId="60AB3A72">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822" w:type="dxa"/>
            <w:vMerge w:val="continue"/>
            <w:noWrap w:val="0"/>
            <w:vAlign w:val="center"/>
          </w:tcPr>
          <w:p w14:paraId="6FE7935F">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2713" w:type="dxa"/>
            <w:vMerge w:val="continue"/>
            <w:noWrap w:val="0"/>
            <w:vAlign w:val="center"/>
          </w:tcPr>
          <w:p w14:paraId="362584C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2546" w:type="dxa"/>
            <w:noWrap w:val="0"/>
            <w:vAlign w:val="center"/>
          </w:tcPr>
          <w:p w14:paraId="53CA65F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名称</w:t>
            </w:r>
          </w:p>
        </w:tc>
        <w:tc>
          <w:tcPr>
            <w:tcW w:w="2301" w:type="dxa"/>
            <w:noWrap w:val="0"/>
            <w:vAlign w:val="center"/>
          </w:tcPr>
          <w:p w14:paraId="15EA2ED5">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rFonts w:hint="eastAsia"/>
                <w:color w:val="auto"/>
                <w:sz w:val="18"/>
                <w:szCs w:val="18"/>
                <w:lang w:val="en-US" w:eastAsia="zh-CN"/>
              </w:rPr>
            </w:pPr>
            <w:r>
              <w:rPr>
                <w:color w:val="auto"/>
                <w:sz w:val="18"/>
                <w:szCs w:val="18"/>
                <w:lang w:val="en-US" w:eastAsia="zh-CN"/>
              </w:rPr>
              <w:t>浓度限值</w:t>
            </w:r>
            <w:r>
              <w:rPr>
                <w:rFonts w:hint="eastAsia"/>
                <w:color w:val="auto"/>
                <w:sz w:val="18"/>
                <w:szCs w:val="18"/>
                <w:lang w:val="en-US" w:eastAsia="zh-CN"/>
              </w:rPr>
              <w:t>（mg/Nm</w:t>
            </w:r>
            <w:r>
              <w:rPr>
                <w:rFonts w:hint="eastAsia"/>
                <w:color w:val="auto"/>
                <w:sz w:val="18"/>
                <w:szCs w:val="18"/>
                <w:vertAlign w:val="superscript"/>
                <w:lang w:val="en-US" w:eastAsia="zh-CN"/>
              </w:rPr>
              <w:t>3</w:t>
            </w:r>
            <w:r>
              <w:rPr>
                <w:rFonts w:hint="eastAsia"/>
                <w:color w:val="auto"/>
                <w:sz w:val="18"/>
                <w:szCs w:val="18"/>
                <w:lang w:val="en-US" w:eastAsia="zh-CN"/>
              </w:rPr>
              <w:t>）</w:t>
            </w:r>
          </w:p>
        </w:tc>
      </w:tr>
      <w:tr w14:paraId="46F1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28" w:type="dxa"/>
            <w:noWrap w:val="0"/>
            <w:vAlign w:val="center"/>
          </w:tcPr>
          <w:p w14:paraId="1291B1E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color w:val="auto"/>
                <w:sz w:val="18"/>
                <w:szCs w:val="18"/>
                <w:lang w:val="en-US" w:eastAsia="zh-CN"/>
              </w:rPr>
              <w:t>1</w:t>
            </w:r>
          </w:p>
        </w:tc>
        <w:tc>
          <w:tcPr>
            <w:tcW w:w="1618" w:type="dxa"/>
            <w:noWrap w:val="0"/>
            <w:vAlign w:val="center"/>
          </w:tcPr>
          <w:p w14:paraId="3931020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厂界</w:t>
            </w:r>
          </w:p>
        </w:tc>
        <w:tc>
          <w:tcPr>
            <w:tcW w:w="2633" w:type="dxa"/>
            <w:noWrap w:val="0"/>
            <w:vAlign w:val="center"/>
          </w:tcPr>
          <w:p w14:paraId="440BEAF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废气未被收集</w:t>
            </w:r>
          </w:p>
        </w:tc>
        <w:tc>
          <w:tcPr>
            <w:tcW w:w="1822" w:type="dxa"/>
            <w:noWrap w:val="0"/>
            <w:vAlign w:val="center"/>
          </w:tcPr>
          <w:p w14:paraId="61ED2EEC">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颗粒物</w:t>
            </w:r>
          </w:p>
        </w:tc>
        <w:tc>
          <w:tcPr>
            <w:tcW w:w="2713" w:type="dxa"/>
            <w:noWrap w:val="0"/>
            <w:vAlign w:val="center"/>
          </w:tcPr>
          <w:p w14:paraId="37CAB2A2">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加大有组织收集措施，原料密闭存放，厂区洒水抑尘</w:t>
            </w:r>
          </w:p>
        </w:tc>
        <w:tc>
          <w:tcPr>
            <w:tcW w:w="2546" w:type="dxa"/>
            <w:noWrap w:val="0"/>
            <w:vAlign w:val="center"/>
          </w:tcPr>
          <w:p w14:paraId="79CA1F50">
            <w:pPr>
              <w:keepNext w:val="0"/>
              <w:keepLines w:val="0"/>
              <w:pageBreakBefore w:val="0"/>
              <w:widowControl/>
              <w:kinsoku/>
              <w:wordWrap/>
              <w:overflowPunct/>
              <w:topLinePunct w:val="0"/>
              <w:autoSpaceDE/>
              <w:autoSpaceDN/>
              <w:bidi w:val="0"/>
              <w:spacing w:line="240" w:lineRule="atLeast"/>
              <w:ind w:firstLine="0" w:firstLineChars="0"/>
              <w:jc w:val="center"/>
              <w:textAlignment w:val="auto"/>
              <w:rPr>
                <w:color w:val="auto"/>
                <w:sz w:val="18"/>
                <w:szCs w:val="18"/>
              </w:rPr>
            </w:pPr>
            <w:r>
              <w:rPr>
                <w:rFonts w:hint="eastAsia"/>
                <w:color w:val="auto"/>
                <w:sz w:val="18"/>
                <w:szCs w:val="18"/>
                <w:lang w:val="en-US" w:eastAsia="zh-CN"/>
              </w:rPr>
              <w:t>DB34/4295-2022</w:t>
            </w:r>
          </w:p>
        </w:tc>
        <w:tc>
          <w:tcPr>
            <w:tcW w:w="2301" w:type="dxa"/>
            <w:noWrap w:val="0"/>
            <w:vAlign w:val="center"/>
          </w:tcPr>
          <w:p w14:paraId="5A78DB6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1.0</w:t>
            </w:r>
          </w:p>
        </w:tc>
      </w:tr>
      <w:tr w14:paraId="65C2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28" w:type="dxa"/>
            <w:noWrap w:val="0"/>
            <w:vAlign w:val="center"/>
          </w:tcPr>
          <w:p w14:paraId="1F5FE788">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color w:val="auto"/>
                <w:sz w:val="18"/>
                <w:szCs w:val="18"/>
                <w:lang w:val="en-US" w:eastAsia="zh-CN"/>
              </w:rPr>
            </w:pPr>
          </w:p>
        </w:tc>
        <w:tc>
          <w:tcPr>
            <w:tcW w:w="1618" w:type="dxa"/>
            <w:noWrap w:val="0"/>
            <w:vAlign w:val="center"/>
          </w:tcPr>
          <w:p w14:paraId="02503FB8">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厂界</w:t>
            </w:r>
          </w:p>
        </w:tc>
        <w:tc>
          <w:tcPr>
            <w:tcW w:w="2633" w:type="dxa"/>
            <w:noWrap w:val="0"/>
            <w:vAlign w:val="center"/>
          </w:tcPr>
          <w:p w14:paraId="253304F9">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氨储罐废气逸散</w:t>
            </w:r>
          </w:p>
        </w:tc>
        <w:tc>
          <w:tcPr>
            <w:tcW w:w="1822" w:type="dxa"/>
            <w:noWrap w:val="0"/>
            <w:vAlign w:val="center"/>
          </w:tcPr>
          <w:p w14:paraId="4DAEA2D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氨</w:t>
            </w:r>
          </w:p>
        </w:tc>
        <w:tc>
          <w:tcPr>
            <w:tcW w:w="2713" w:type="dxa"/>
            <w:noWrap w:val="0"/>
            <w:vAlign w:val="center"/>
          </w:tcPr>
          <w:p w14:paraId="7489325D">
            <w:pPr>
              <w:pStyle w:val="73"/>
              <w:keepNext w:val="0"/>
              <w:keepLines w:val="0"/>
              <w:pageBreakBefore w:val="0"/>
              <w:kinsoku/>
              <w:wordWrap/>
              <w:overflowPunct/>
              <w:topLinePunct w:val="0"/>
              <w:autoSpaceDE/>
              <w:autoSpaceDN/>
              <w:bidi w:val="0"/>
              <w:spacing w:before="0" w:beforeLines="0" w:after="0" w:afterLines="0" w:line="240" w:lineRule="atLeast"/>
              <w:ind w:left="0" w:leftChars="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设置氨水吸收罐</w:t>
            </w:r>
          </w:p>
        </w:tc>
        <w:tc>
          <w:tcPr>
            <w:tcW w:w="2546" w:type="dxa"/>
            <w:noWrap w:val="0"/>
            <w:vAlign w:val="center"/>
          </w:tcPr>
          <w:p w14:paraId="0F10844A">
            <w:pPr>
              <w:keepNext w:val="0"/>
              <w:keepLines w:val="0"/>
              <w:pageBreakBefore w:val="0"/>
              <w:widowControl/>
              <w:kinsoku/>
              <w:wordWrap/>
              <w:overflowPunct/>
              <w:topLinePunct w:val="0"/>
              <w:autoSpaceDE/>
              <w:autoSpaceDN/>
              <w:bidi w:val="0"/>
              <w:spacing w:line="240" w:lineRule="atLeast"/>
              <w:ind w:firstLine="0" w:firstLineChars="0"/>
              <w:jc w:val="center"/>
              <w:textAlignment w:val="auto"/>
              <w:rPr>
                <w:rFonts w:hint="eastAsia"/>
                <w:color w:val="auto"/>
                <w:sz w:val="18"/>
                <w:szCs w:val="18"/>
              </w:rPr>
            </w:pPr>
            <w:r>
              <w:rPr>
                <w:rFonts w:hint="eastAsia"/>
                <w:color w:val="auto"/>
                <w:sz w:val="18"/>
                <w:szCs w:val="18"/>
                <w:lang w:val="en-US" w:eastAsia="zh-CN"/>
              </w:rPr>
              <w:t>DB34/4295-2022</w:t>
            </w:r>
          </w:p>
        </w:tc>
        <w:tc>
          <w:tcPr>
            <w:tcW w:w="2301" w:type="dxa"/>
            <w:noWrap w:val="0"/>
            <w:vAlign w:val="center"/>
          </w:tcPr>
          <w:p w14:paraId="659530B0">
            <w:pPr>
              <w:pStyle w:val="73"/>
              <w:keepNext w:val="0"/>
              <w:keepLines w:val="0"/>
              <w:pageBreakBefore w:val="0"/>
              <w:kinsoku/>
              <w:wordWrap/>
              <w:overflowPunct/>
              <w:topLinePunct w:val="0"/>
              <w:autoSpaceDE/>
              <w:autoSpaceDN/>
              <w:bidi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1.0</w:t>
            </w:r>
          </w:p>
        </w:tc>
      </w:tr>
      <w:bookmarkEnd w:id="15"/>
    </w:tbl>
    <w:p w14:paraId="33283DAD">
      <w:pPr>
        <w:pStyle w:val="86"/>
        <w:rPr>
          <w:color w:val="auto"/>
        </w:rPr>
      </w:pPr>
      <w:r>
        <w:rPr>
          <w:rFonts w:hint="eastAsia"/>
          <w:color w:val="auto"/>
        </w:rPr>
        <w:t>表4-</w:t>
      </w:r>
      <w:r>
        <w:rPr>
          <w:color w:val="auto"/>
        </w:rPr>
        <w:t xml:space="preserve">4 </w:t>
      </w:r>
      <w:r>
        <w:rPr>
          <w:rFonts w:hint="eastAsia"/>
          <w:color w:val="auto"/>
        </w:rPr>
        <w:t>本项目废气例行监测要求汇总表</w:t>
      </w:r>
    </w:p>
    <w:tbl>
      <w:tblPr>
        <w:tblStyle w:val="35"/>
        <w:tblW w:w="56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
        <w:gridCol w:w="1558"/>
        <w:gridCol w:w="2186"/>
        <w:gridCol w:w="1640"/>
        <w:gridCol w:w="1832"/>
        <w:gridCol w:w="1519"/>
        <w:gridCol w:w="4945"/>
      </w:tblGrid>
      <w:tr w14:paraId="4CEE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noWrap w:val="0"/>
            <w:vAlign w:val="center"/>
          </w:tcPr>
          <w:p w14:paraId="71464A8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
                <w:bCs/>
                <w:color w:val="auto"/>
                <w:sz w:val="18"/>
                <w:szCs w:val="18"/>
                <w:lang w:val="en-US" w:eastAsia="zh-CN"/>
              </w:rPr>
            </w:pPr>
            <w:r>
              <w:rPr>
                <w:b/>
                <w:bCs/>
                <w:color w:val="auto"/>
                <w:sz w:val="18"/>
                <w:szCs w:val="18"/>
                <w:lang w:val="en-US" w:eastAsia="zh-CN"/>
              </w:rPr>
              <w:t>序号</w:t>
            </w:r>
          </w:p>
        </w:tc>
        <w:tc>
          <w:tcPr>
            <w:tcW w:w="1557" w:type="dxa"/>
            <w:noWrap w:val="0"/>
            <w:vAlign w:val="center"/>
          </w:tcPr>
          <w:p w14:paraId="3E171AB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b/>
                <w:bCs/>
                <w:color w:val="auto"/>
                <w:sz w:val="18"/>
                <w:szCs w:val="18"/>
                <w:lang w:val="en-US" w:eastAsia="zh-CN"/>
              </w:rPr>
            </w:pPr>
            <w:r>
              <w:rPr>
                <w:b/>
                <w:bCs/>
                <w:color w:val="auto"/>
                <w:sz w:val="18"/>
                <w:szCs w:val="18"/>
                <w:lang w:val="en-US" w:eastAsia="zh-CN"/>
              </w:rPr>
              <w:t>排放口编号</w:t>
            </w:r>
            <w:r>
              <w:rPr>
                <w:rFonts w:hint="eastAsia"/>
                <w:b/>
                <w:bCs/>
                <w:color w:val="auto"/>
                <w:sz w:val="18"/>
                <w:szCs w:val="18"/>
                <w:lang w:val="en-US" w:eastAsia="zh-CN"/>
              </w:rPr>
              <w:t>/监测点位</w:t>
            </w:r>
          </w:p>
        </w:tc>
        <w:tc>
          <w:tcPr>
            <w:tcW w:w="2185" w:type="dxa"/>
            <w:noWrap w:val="0"/>
            <w:vAlign w:val="center"/>
          </w:tcPr>
          <w:p w14:paraId="491F4BC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
                <w:bCs/>
                <w:color w:val="auto"/>
                <w:sz w:val="18"/>
                <w:szCs w:val="18"/>
                <w:lang w:val="en-US" w:eastAsia="zh-CN"/>
              </w:rPr>
            </w:pPr>
            <w:r>
              <w:rPr>
                <w:rFonts w:hint="eastAsia"/>
                <w:b/>
                <w:bCs/>
                <w:color w:val="auto"/>
                <w:sz w:val="18"/>
                <w:szCs w:val="18"/>
                <w:lang w:val="en-US" w:eastAsia="zh-CN"/>
              </w:rPr>
              <w:t>排放口名称/监测点位名称</w:t>
            </w:r>
          </w:p>
        </w:tc>
        <w:tc>
          <w:tcPr>
            <w:tcW w:w="1639" w:type="dxa"/>
            <w:noWrap w:val="0"/>
            <w:vAlign w:val="center"/>
          </w:tcPr>
          <w:p w14:paraId="34E5BBB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
                <w:bCs/>
                <w:color w:val="auto"/>
                <w:sz w:val="18"/>
                <w:szCs w:val="18"/>
                <w:lang w:val="en-US" w:eastAsia="zh-CN"/>
              </w:rPr>
            </w:pPr>
            <w:r>
              <w:rPr>
                <w:rFonts w:hint="eastAsia"/>
                <w:b/>
                <w:bCs/>
                <w:color w:val="auto"/>
                <w:sz w:val="18"/>
                <w:szCs w:val="18"/>
                <w:lang w:val="en-US" w:eastAsia="zh-CN"/>
              </w:rPr>
              <w:t>监测内容</w:t>
            </w:r>
          </w:p>
        </w:tc>
        <w:tc>
          <w:tcPr>
            <w:tcW w:w="1831" w:type="dxa"/>
            <w:noWrap w:val="0"/>
            <w:vAlign w:val="center"/>
          </w:tcPr>
          <w:p w14:paraId="0C65491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
                <w:bCs/>
                <w:color w:val="auto"/>
                <w:sz w:val="18"/>
                <w:szCs w:val="18"/>
                <w:lang w:val="en-US" w:eastAsia="zh-CN"/>
              </w:rPr>
            </w:pPr>
            <w:r>
              <w:rPr>
                <w:b/>
                <w:bCs/>
                <w:color w:val="auto"/>
                <w:sz w:val="18"/>
                <w:szCs w:val="18"/>
                <w:lang w:val="en-US" w:eastAsia="zh-CN"/>
              </w:rPr>
              <w:t>污染物名称</w:t>
            </w:r>
          </w:p>
        </w:tc>
        <w:tc>
          <w:tcPr>
            <w:tcW w:w="1518" w:type="dxa"/>
            <w:noWrap w:val="0"/>
            <w:vAlign w:val="center"/>
          </w:tcPr>
          <w:p w14:paraId="056446D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b/>
                <w:bCs/>
                <w:color w:val="auto"/>
                <w:sz w:val="18"/>
                <w:szCs w:val="18"/>
                <w:lang w:val="en-US" w:eastAsia="zh-CN"/>
              </w:rPr>
            </w:pPr>
            <w:r>
              <w:rPr>
                <w:b/>
                <w:bCs/>
                <w:color w:val="auto"/>
                <w:sz w:val="18"/>
                <w:szCs w:val="18"/>
                <w:lang w:val="en-US" w:eastAsia="zh-CN"/>
              </w:rPr>
              <w:t>监测频次</w:t>
            </w:r>
          </w:p>
        </w:tc>
        <w:tc>
          <w:tcPr>
            <w:tcW w:w="4942" w:type="dxa"/>
            <w:noWrap w:val="0"/>
            <w:vAlign w:val="center"/>
          </w:tcPr>
          <w:p w14:paraId="012E2EB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b/>
                <w:bCs/>
                <w:color w:val="auto"/>
                <w:sz w:val="18"/>
                <w:szCs w:val="18"/>
                <w:lang w:val="en-US" w:eastAsia="zh-CN"/>
              </w:rPr>
            </w:pPr>
            <w:r>
              <w:rPr>
                <w:rFonts w:hint="eastAsia"/>
                <w:b/>
                <w:bCs/>
                <w:color w:val="auto"/>
                <w:sz w:val="18"/>
                <w:szCs w:val="18"/>
                <w:lang w:val="en-US" w:eastAsia="zh-CN"/>
              </w:rPr>
              <w:t>执行标准</w:t>
            </w:r>
          </w:p>
        </w:tc>
      </w:tr>
      <w:tr w14:paraId="7B8C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vMerge w:val="restart"/>
            <w:noWrap w:val="0"/>
            <w:vAlign w:val="center"/>
          </w:tcPr>
          <w:p w14:paraId="093B00C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1</w:t>
            </w:r>
          </w:p>
        </w:tc>
        <w:tc>
          <w:tcPr>
            <w:tcW w:w="1557" w:type="dxa"/>
            <w:vMerge w:val="restart"/>
            <w:noWrap w:val="0"/>
            <w:vAlign w:val="center"/>
          </w:tcPr>
          <w:p w14:paraId="1F985F0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DA001</w:t>
            </w:r>
          </w:p>
        </w:tc>
        <w:tc>
          <w:tcPr>
            <w:tcW w:w="2185" w:type="dxa"/>
            <w:vMerge w:val="restart"/>
            <w:noWrap w:val="0"/>
            <w:vAlign w:val="center"/>
          </w:tcPr>
          <w:p w14:paraId="43E1B4C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kern w:val="0"/>
                <w:sz w:val="18"/>
                <w:szCs w:val="18"/>
                <w:lang w:val="en-US" w:eastAsia="zh-CN"/>
              </w:rPr>
              <w:t>熔窑废气</w:t>
            </w:r>
            <w:r>
              <w:rPr>
                <w:rFonts w:hint="eastAsia" w:ascii="Times New Roman" w:hAnsi="Times New Roman" w:eastAsia="宋体" w:cs="Times New Roman"/>
                <w:color w:val="auto"/>
                <w:kern w:val="0"/>
                <w:sz w:val="18"/>
                <w:szCs w:val="18"/>
                <w:lang w:val="en-US" w:eastAsia="zh-CN"/>
              </w:rPr>
              <w:t>排放口</w:t>
            </w:r>
          </w:p>
        </w:tc>
        <w:tc>
          <w:tcPr>
            <w:tcW w:w="1639" w:type="dxa"/>
            <w:vMerge w:val="restart"/>
            <w:noWrap w:val="0"/>
            <w:vAlign w:val="center"/>
          </w:tcPr>
          <w:p w14:paraId="4EC1C3F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烟气流速,烟气温度,烟道截面积,烟气量,烟气含湿量</w:t>
            </w:r>
          </w:p>
        </w:tc>
        <w:tc>
          <w:tcPr>
            <w:tcW w:w="1831" w:type="dxa"/>
            <w:noWrap w:val="0"/>
            <w:vAlign w:val="center"/>
          </w:tcPr>
          <w:p w14:paraId="11145CF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SO</w:t>
            </w:r>
            <w:r>
              <w:rPr>
                <w:color w:val="auto"/>
                <w:sz w:val="18"/>
                <w:szCs w:val="18"/>
                <w:vertAlign w:val="subscript"/>
                <w:lang w:val="en-US" w:eastAsia="zh-CN"/>
              </w:rPr>
              <w:t>2</w:t>
            </w:r>
          </w:p>
        </w:tc>
        <w:tc>
          <w:tcPr>
            <w:tcW w:w="1518" w:type="dxa"/>
            <w:noWrap w:val="0"/>
            <w:vAlign w:val="center"/>
          </w:tcPr>
          <w:p w14:paraId="4FE4D33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自动监测</w:t>
            </w:r>
          </w:p>
        </w:tc>
        <w:tc>
          <w:tcPr>
            <w:tcW w:w="4942" w:type="dxa"/>
            <w:noWrap w:val="0"/>
            <w:vAlign w:val="center"/>
          </w:tcPr>
          <w:p w14:paraId="0DB5712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highlight w:val="yellow"/>
                <w:lang w:val="en-US" w:eastAsia="zh-CN"/>
              </w:rPr>
            </w:pPr>
            <w:r>
              <w:rPr>
                <w:rFonts w:hint="eastAsia"/>
                <w:color w:val="auto"/>
                <w:sz w:val="18"/>
                <w:szCs w:val="18"/>
                <w:lang w:val="en-US" w:eastAsia="zh-CN"/>
              </w:rPr>
              <w:t>《玻璃工业大气污染物排放标准》（DB34/4295-2022）</w:t>
            </w:r>
          </w:p>
        </w:tc>
      </w:tr>
      <w:tr w14:paraId="5623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vMerge w:val="continue"/>
            <w:noWrap w:val="0"/>
            <w:vAlign w:val="center"/>
          </w:tcPr>
          <w:p w14:paraId="09CEB81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1557" w:type="dxa"/>
            <w:vMerge w:val="continue"/>
            <w:noWrap w:val="0"/>
            <w:vAlign w:val="center"/>
          </w:tcPr>
          <w:p w14:paraId="52C32F2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2185" w:type="dxa"/>
            <w:vMerge w:val="continue"/>
            <w:noWrap w:val="0"/>
            <w:vAlign w:val="center"/>
          </w:tcPr>
          <w:p w14:paraId="5999B05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639" w:type="dxa"/>
            <w:vMerge w:val="continue"/>
            <w:noWrap w:val="0"/>
            <w:vAlign w:val="center"/>
          </w:tcPr>
          <w:p w14:paraId="7BC8214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2523F7D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NOx</w:t>
            </w:r>
          </w:p>
        </w:tc>
        <w:tc>
          <w:tcPr>
            <w:tcW w:w="1518" w:type="dxa"/>
            <w:noWrap w:val="0"/>
            <w:vAlign w:val="center"/>
          </w:tcPr>
          <w:p w14:paraId="1B6C679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自动监测</w:t>
            </w:r>
          </w:p>
        </w:tc>
        <w:tc>
          <w:tcPr>
            <w:tcW w:w="4942" w:type="dxa"/>
            <w:noWrap w:val="0"/>
            <w:vAlign w:val="center"/>
          </w:tcPr>
          <w:p w14:paraId="376E5A3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highlight w:val="yellow"/>
                <w:lang w:val="en-US" w:eastAsia="zh-CN"/>
              </w:rPr>
            </w:pPr>
            <w:r>
              <w:rPr>
                <w:rFonts w:hint="eastAsia"/>
                <w:color w:val="auto"/>
                <w:sz w:val="18"/>
                <w:szCs w:val="18"/>
                <w:lang w:val="en-US" w:eastAsia="zh-CN"/>
              </w:rPr>
              <w:t>《玻璃工业大气污染物排放标准》（DB34/4295-2022）</w:t>
            </w:r>
          </w:p>
        </w:tc>
      </w:tr>
      <w:tr w14:paraId="06B8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vMerge w:val="continue"/>
            <w:noWrap w:val="0"/>
            <w:vAlign w:val="center"/>
          </w:tcPr>
          <w:p w14:paraId="51C53AF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1557" w:type="dxa"/>
            <w:vMerge w:val="continue"/>
            <w:noWrap w:val="0"/>
            <w:vAlign w:val="center"/>
          </w:tcPr>
          <w:p w14:paraId="2980C14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2185" w:type="dxa"/>
            <w:vMerge w:val="continue"/>
            <w:noWrap w:val="0"/>
            <w:vAlign w:val="center"/>
          </w:tcPr>
          <w:p w14:paraId="08A65A7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639" w:type="dxa"/>
            <w:vMerge w:val="continue"/>
            <w:noWrap w:val="0"/>
            <w:vAlign w:val="center"/>
          </w:tcPr>
          <w:p w14:paraId="140C394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70378CE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颗粒物</w:t>
            </w:r>
          </w:p>
        </w:tc>
        <w:tc>
          <w:tcPr>
            <w:tcW w:w="1518" w:type="dxa"/>
            <w:noWrap w:val="0"/>
            <w:vAlign w:val="center"/>
          </w:tcPr>
          <w:p w14:paraId="28EE0C6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自动监测</w:t>
            </w:r>
          </w:p>
        </w:tc>
        <w:tc>
          <w:tcPr>
            <w:tcW w:w="4942" w:type="dxa"/>
            <w:noWrap w:val="0"/>
            <w:vAlign w:val="center"/>
          </w:tcPr>
          <w:p w14:paraId="4FF8979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《玻璃工业大气污染物排放标准》（DB34/4295-2022）</w:t>
            </w:r>
          </w:p>
        </w:tc>
      </w:tr>
      <w:tr w14:paraId="607E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vMerge w:val="continue"/>
            <w:noWrap w:val="0"/>
            <w:vAlign w:val="center"/>
          </w:tcPr>
          <w:p w14:paraId="7E5645D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1557" w:type="dxa"/>
            <w:vMerge w:val="continue"/>
            <w:noWrap w:val="0"/>
            <w:vAlign w:val="center"/>
          </w:tcPr>
          <w:p w14:paraId="697FFCB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p>
        </w:tc>
        <w:tc>
          <w:tcPr>
            <w:tcW w:w="2185" w:type="dxa"/>
            <w:vMerge w:val="continue"/>
            <w:noWrap w:val="0"/>
            <w:vAlign w:val="center"/>
          </w:tcPr>
          <w:p w14:paraId="2AC1049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639" w:type="dxa"/>
            <w:vMerge w:val="continue"/>
            <w:noWrap w:val="0"/>
            <w:vAlign w:val="center"/>
          </w:tcPr>
          <w:p w14:paraId="0893F2B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13DBFA4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default"/>
                <w:color w:val="auto"/>
                <w:sz w:val="18"/>
                <w:szCs w:val="18"/>
                <w:lang w:val="en-US" w:eastAsia="zh-CN"/>
              </w:rPr>
            </w:pPr>
            <w:r>
              <w:rPr>
                <w:rFonts w:hint="eastAsia"/>
                <w:color w:val="auto"/>
                <w:sz w:val="18"/>
                <w:szCs w:val="18"/>
                <w:lang w:val="en-US" w:eastAsia="zh-CN"/>
              </w:rPr>
              <w:t>氨</w:t>
            </w:r>
          </w:p>
        </w:tc>
        <w:tc>
          <w:tcPr>
            <w:tcW w:w="1518" w:type="dxa"/>
            <w:noWrap w:val="0"/>
            <w:vAlign w:val="center"/>
          </w:tcPr>
          <w:p w14:paraId="6AD159E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ascii="宋体" w:hAnsi="宋体"/>
                <w:color w:val="auto"/>
                <w:sz w:val="18"/>
                <w:szCs w:val="18"/>
                <w:lang w:val="en-US" w:eastAsia="zh-CN"/>
              </w:rPr>
              <w:t>1次/半年</w:t>
            </w:r>
          </w:p>
        </w:tc>
        <w:tc>
          <w:tcPr>
            <w:tcW w:w="4942" w:type="dxa"/>
            <w:noWrap w:val="0"/>
            <w:vAlign w:val="center"/>
          </w:tcPr>
          <w:p w14:paraId="138C534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《玻璃工业大气污染物排放标准》（DB34/4295-2022）</w:t>
            </w:r>
          </w:p>
        </w:tc>
      </w:tr>
      <w:tr w14:paraId="7E48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430" w:hRule="atLeast"/>
          <w:tblHeader/>
          <w:jc w:val="center"/>
        </w:trPr>
        <w:tc>
          <w:tcPr>
            <w:tcW w:w="945" w:type="dxa"/>
            <w:noWrap w:val="0"/>
            <w:vAlign w:val="center"/>
          </w:tcPr>
          <w:p w14:paraId="2A15037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2</w:t>
            </w:r>
          </w:p>
        </w:tc>
        <w:tc>
          <w:tcPr>
            <w:tcW w:w="1557" w:type="dxa"/>
            <w:noWrap w:val="0"/>
            <w:vAlign w:val="center"/>
          </w:tcPr>
          <w:p w14:paraId="5F97BCA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D</w:t>
            </w:r>
            <w:r>
              <w:rPr>
                <w:color w:val="auto"/>
                <w:sz w:val="18"/>
                <w:szCs w:val="18"/>
                <w:lang w:val="en-US" w:eastAsia="zh-CN"/>
              </w:rPr>
              <w:t>A002</w:t>
            </w:r>
          </w:p>
        </w:tc>
        <w:tc>
          <w:tcPr>
            <w:tcW w:w="2185" w:type="dxa"/>
            <w:noWrap w:val="0"/>
            <w:vAlign w:val="center"/>
          </w:tcPr>
          <w:p w14:paraId="3E98D9DE">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混料废气排放口</w:t>
            </w:r>
          </w:p>
        </w:tc>
        <w:tc>
          <w:tcPr>
            <w:tcW w:w="1639" w:type="dxa"/>
            <w:vMerge w:val="continue"/>
            <w:noWrap w:val="0"/>
            <w:vAlign w:val="center"/>
          </w:tcPr>
          <w:p w14:paraId="3D218F8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40DEAE4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颗粒物</w:t>
            </w:r>
          </w:p>
        </w:tc>
        <w:tc>
          <w:tcPr>
            <w:tcW w:w="1518" w:type="dxa"/>
            <w:noWrap w:val="0"/>
            <w:vAlign w:val="center"/>
          </w:tcPr>
          <w:p w14:paraId="5E39809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1次/年</w:t>
            </w:r>
          </w:p>
        </w:tc>
        <w:tc>
          <w:tcPr>
            <w:tcW w:w="4942" w:type="dxa"/>
            <w:noWrap w:val="0"/>
            <w:vAlign w:val="center"/>
          </w:tcPr>
          <w:p w14:paraId="11CBA9C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《玻璃工业大气污染物排放标准》（DB34/4295-2022）</w:t>
            </w:r>
          </w:p>
        </w:tc>
      </w:tr>
      <w:tr w14:paraId="481C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noWrap w:val="0"/>
            <w:vAlign w:val="center"/>
          </w:tcPr>
          <w:p w14:paraId="3B815A8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3</w:t>
            </w:r>
          </w:p>
        </w:tc>
        <w:tc>
          <w:tcPr>
            <w:tcW w:w="1557" w:type="dxa"/>
            <w:noWrap w:val="0"/>
            <w:vAlign w:val="center"/>
          </w:tcPr>
          <w:p w14:paraId="6EFE5AD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DA003</w:t>
            </w:r>
          </w:p>
        </w:tc>
        <w:tc>
          <w:tcPr>
            <w:tcW w:w="2185" w:type="dxa"/>
            <w:noWrap w:val="0"/>
            <w:vAlign w:val="center"/>
          </w:tcPr>
          <w:p w14:paraId="7CCD42E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投料废气排放口</w:t>
            </w:r>
          </w:p>
        </w:tc>
        <w:tc>
          <w:tcPr>
            <w:tcW w:w="1639" w:type="dxa"/>
            <w:vMerge w:val="continue"/>
            <w:noWrap w:val="0"/>
            <w:vAlign w:val="center"/>
          </w:tcPr>
          <w:p w14:paraId="3238E34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18184C2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颗粒物</w:t>
            </w:r>
          </w:p>
        </w:tc>
        <w:tc>
          <w:tcPr>
            <w:tcW w:w="1518" w:type="dxa"/>
            <w:noWrap w:val="0"/>
            <w:vAlign w:val="center"/>
          </w:tcPr>
          <w:p w14:paraId="1215286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1次/年</w:t>
            </w:r>
          </w:p>
        </w:tc>
        <w:tc>
          <w:tcPr>
            <w:tcW w:w="4942" w:type="dxa"/>
            <w:noWrap w:val="0"/>
            <w:vAlign w:val="center"/>
          </w:tcPr>
          <w:p w14:paraId="0056FDB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《玻璃工业大气污染物排放标准》（DB34/4295-2022）</w:t>
            </w:r>
          </w:p>
        </w:tc>
      </w:tr>
      <w:tr w14:paraId="008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noWrap w:val="0"/>
            <w:vAlign w:val="center"/>
          </w:tcPr>
          <w:p w14:paraId="73E0FB9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color w:val="auto"/>
                <w:sz w:val="18"/>
                <w:szCs w:val="18"/>
                <w:lang w:val="en-US" w:eastAsia="zh-CN"/>
              </w:rPr>
              <w:t>4</w:t>
            </w:r>
          </w:p>
        </w:tc>
        <w:tc>
          <w:tcPr>
            <w:tcW w:w="1557" w:type="dxa"/>
            <w:noWrap w:val="0"/>
            <w:vAlign w:val="center"/>
          </w:tcPr>
          <w:p w14:paraId="6E2780E4">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厂界</w:t>
            </w:r>
          </w:p>
        </w:tc>
        <w:tc>
          <w:tcPr>
            <w:tcW w:w="2185" w:type="dxa"/>
            <w:noWrap w:val="0"/>
            <w:vAlign w:val="center"/>
          </w:tcPr>
          <w:p w14:paraId="5A5222F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w:t>
            </w:r>
          </w:p>
        </w:tc>
        <w:tc>
          <w:tcPr>
            <w:tcW w:w="1639" w:type="dxa"/>
            <w:vMerge w:val="restart"/>
            <w:noWrap w:val="0"/>
            <w:vAlign w:val="center"/>
          </w:tcPr>
          <w:p w14:paraId="4923989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温度,湿度,气压,风速,风向</w:t>
            </w:r>
          </w:p>
        </w:tc>
        <w:tc>
          <w:tcPr>
            <w:tcW w:w="1831" w:type="dxa"/>
            <w:noWrap w:val="0"/>
            <w:vAlign w:val="center"/>
          </w:tcPr>
          <w:p w14:paraId="6A52CE3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color w:val="auto"/>
                <w:sz w:val="18"/>
                <w:szCs w:val="18"/>
                <w:lang w:val="en-US" w:eastAsia="zh-CN"/>
              </w:rPr>
            </w:pPr>
            <w:r>
              <w:rPr>
                <w:rFonts w:hint="eastAsia"/>
                <w:color w:val="auto"/>
                <w:sz w:val="18"/>
                <w:szCs w:val="18"/>
                <w:lang w:val="en-US" w:eastAsia="zh-CN"/>
              </w:rPr>
              <w:t>颗粒物</w:t>
            </w:r>
          </w:p>
        </w:tc>
        <w:tc>
          <w:tcPr>
            <w:tcW w:w="1518" w:type="dxa"/>
            <w:noWrap w:val="0"/>
            <w:vAlign w:val="center"/>
          </w:tcPr>
          <w:p w14:paraId="0D98813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ascii="宋体" w:hAnsi="宋体"/>
                <w:color w:val="auto"/>
                <w:sz w:val="18"/>
                <w:szCs w:val="18"/>
                <w:lang w:val="en-US" w:eastAsia="zh-CN"/>
              </w:rPr>
              <w:t>1次/半年</w:t>
            </w:r>
          </w:p>
        </w:tc>
        <w:tc>
          <w:tcPr>
            <w:tcW w:w="4942" w:type="dxa"/>
            <w:noWrap w:val="0"/>
            <w:vAlign w:val="center"/>
          </w:tcPr>
          <w:p w14:paraId="5C9F0F8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color w:val="auto"/>
                <w:sz w:val="18"/>
                <w:szCs w:val="18"/>
                <w:lang w:val="en-US" w:eastAsia="zh-CN"/>
              </w:rPr>
            </w:pPr>
            <w:r>
              <w:rPr>
                <w:rFonts w:hint="eastAsia"/>
                <w:color w:val="auto"/>
                <w:sz w:val="18"/>
                <w:szCs w:val="18"/>
                <w:lang w:val="en-US" w:eastAsia="zh-CN"/>
              </w:rPr>
              <w:t>《玻璃工业大气污染物排放标准》（DB34/4295-2022）</w:t>
            </w:r>
          </w:p>
        </w:tc>
      </w:tr>
      <w:tr w14:paraId="5748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wAfter w:w="0" w:type="auto"/>
          <w:trHeight w:val="369" w:hRule="atLeast"/>
          <w:tblHeader/>
          <w:jc w:val="center"/>
        </w:trPr>
        <w:tc>
          <w:tcPr>
            <w:tcW w:w="945" w:type="dxa"/>
            <w:noWrap w:val="0"/>
            <w:vAlign w:val="center"/>
          </w:tcPr>
          <w:p w14:paraId="3EA26D2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default"/>
                <w:color w:val="auto"/>
                <w:sz w:val="18"/>
                <w:szCs w:val="18"/>
                <w:lang w:val="en-US" w:eastAsia="zh-CN"/>
              </w:rPr>
            </w:pPr>
            <w:r>
              <w:rPr>
                <w:rFonts w:hint="eastAsia"/>
                <w:color w:val="auto"/>
                <w:sz w:val="18"/>
                <w:szCs w:val="18"/>
                <w:lang w:val="en-US" w:eastAsia="zh-CN"/>
              </w:rPr>
              <w:t>5</w:t>
            </w:r>
          </w:p>
        </w:tc>
        <w:tc>
          <w:tcPr>
            <w:tcW w:w="1557" w:type="dxa"/>
            <w:noWrap w:val="0"/>
            <w:vAlign w:val="center"/>
          </w:tcPr>
          <w:p w14:paraId="46A0497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r>
              <w:rPr>
                <w:rFonts w:hint="eastAsia"/>
                <w:color w:val="auto"/>
                <w:sz w:val="18"/>
                <w:szCs w:val="18"/>
                <w:lang w:val="en-US" w:eastAsia="zh-CN"/>
              </w:rPr>
              <w:t>厂界</w:t>
            </w:r>
          </w:p>
        </w:tc>
        <w:tc>
          <w:tcPr>
            <w:tcW w:w="2185" w:type="dxa"/>
            <w:noWrap w:val="0"/>
            <w:vAlign w:val="center"/>
          </w:tcPr>
          <w:p w14:paraId="4F57AE6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default"/>
                <w:color w:val="auto"/>
                <w:sz w:val="18"/>
                <w:szCs w:val="18"/>
                <w:lang w:val="en-US" w:eastAsia="zh-CN"/>
              </w:rPr>
            </w:pPr>
            <w:r>
              <w:rPr>
                <w:rFonts w:hint="eastAsia"/>
                <w:color w:val="auto"/>
                <w:sz w:val="18"/>
                <w:szCs w:val="18"/>
                <w:lang w:val="en-US" w:eastAsia="zh-CN"/>
              </w:rPr>
              <w:t>/</w:t>
            </w:r>
          </w:p>
        </w:tc>
        <w:tc>
          <w:tcPr>
            <w:tcW w:w="1639" w:type="dxa"/>
            <w:vMerge w:val="continue"/>
            <w:noWrap w:val="0"/>
            <w:vAlign w:val="center"/>
          </w:tcPr>
          <w:p w14:paraId="76594F4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eastAsia"/>
                <w:color w:val="auto"/>
                <w:sz w:val="18"/>
                <w:szCs w:val="18"/>
                <w:lang w:val="en-US" w:eastAsia="zh-CN"/>
              </w:rPr>
            </w:pPr>
          </w:p>
        </w:tc>
        <w:tc>
          <w:tcPr>
            <w:tcW w:w="1831" w:type="dxa"/>
            <w:noWrap w:val="0"/>
            <w:vAlign w:val="center"/>
          </w:tcPr>
          <w:p w14:paraId="032C1AC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textAlignment w:val="auto"/>
              <w:rPr>
                <w:rFonts w:hint="default"/>
                <w:color w:val="auto"/>
                <w:sz w:val="18"/>
                <w:szCs w:val="18"/>
                <w:lang w:val="en-US" w:eastAsia="zh-CN"/>
              </w:rPr>
            </w:pPr>
            <w:r>
              <w:rPr>
                <w:rFonts w:hint="eastAsia"/>
                <w:color w:val="auto"/>
                <w:sz w:val="18"/>
                <w:szCs w:val="18"/>
                <w:lang w:val="en-US" w:eastAsia="zh-CN"/>
              </w:rPr>
              <w:t>氨</w:t>
            </w:r>
          </w:p>
        </w:tc>
        <w:tc>
          <w:tcPr>
            <w:tcW w:w="1518" w:type="dxa"/>
            <w:noWrap w:val="0"/>
            <w:vAlign w:val="center"/>
          </w:tcPr>
          <w:p w14:paraId="7234D91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1次/半年</w:t>
            </w:r>
          </w:p>
        </w:tc>
        <w:tc>
          <w:tcPr>
            <w:tcW w:w="4942" w:type="dxa"/>
            <w:noWrap w:val="0"/>
            <w:vAlign w:val="center"/>
          </w:tcPr>
          <w:p w14:paraId="637983E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tLeas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《玻璃工业大气污染物排放标准》（DB34/4295-2022）</w:t>
            </w:r>
          </w:p>
        </w:tc>
      </w:tr>
    </w:tbl>
    <w:p w14:paraId="31DFC3CB">
      <w:pPr>
        <w:tabs>
          <w:tab w:val="left" w:pos="1785"/>
        </w:tabs>
        <w:rPr>
          <w:rFonts w:hint="default" w:ascii="Times New Roman" w:hAnsi="Times New Roman" w:eastAsia="宋体" w:cs="Times New Roman"/>
          <w:b/>
          <w:bCs/>
          <w:color w:val="auto"/>
          <w:sz w:val="21"/>
          <w:szCs w:val="21"/>
          <w:lang w:val="en-US" w:eastAsia="zh-CN"/>
        </w:rPr>
        <w:sectPr>
          <w:pgSz w:w="16840" w:h="11907" w:orient="landscape"/>
          <w:pgMar w:top="1276" w:right="1701" w:bottom="1531" w:left="2126"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b/>
          <w:bCs/>
          <w:color w:val="auto"/>
          <w:sz w:val="21"/>
          <w:szCs w:val="21"/>
          <w:lang w:val="en-US" w:eastAsia="zh-CN"/>
        </w:rPr>
        <w:t>注：参照《排污单位自行监测技术指南 平板玻璃工业》（HJ988-2018）制定监测计划</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216"/>
      </w:tblGrid>
      <w:tr w14:paraId="49075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0" w:hRule="atLeast"/>
          <w:jc w:val="center"/>
        </w:trPr>
        <w:tc>
          <w:tcPr>
            <w:tcW w:w="746" w:type="dxa"/>
            <w:noWrap w:val="0"/>
            <w:tcMar>
              <w:left w:w="28" w:type="dxa"/>
              <w:right w:w="28" w:type="dxa"/>
            </w:tcMar>
            <w:vAlign w:val="center"/>
          </w:tcPr>
          <w:p w14:paraId="17319B94">
            <w:pPr>
              <w:adjustRightInd w:val="0"/>
              <w:snapToGrid w:val="0"/>
              <w:jc w:val="center"/>
              <w:rPr>
                <w:rFonts w:hint="eastAsia" w:ascii="宋体" w:hAnsi="宋体" w:cs="宋体"/>
                <w:bCs/>
                <w:color w:val="auto"/>
                <w:szCs w:val="21"/>
              </w:rPr>
            </w:pPr>
            <w:bookmarkStart w:id="16" w:name="_Toc68109906"/>
            <w:r>
              <w:rPr>
                <w:rFonts w:hint="eastAsia" w:ascii="宋体" w:hAnsi="宋体" w:cs="宋体"/>
                <w:bCs/>
                <w:color w:val="auto"/>
                <w:szCs w:val="21"/>
              </w:rPr>
              <w:t>运营</w:t>
            </w:r>
          </w:p>
          <w:p w14:paraId="5BD8AA5C">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10E5F90D">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110B6FFB">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33C80821">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42E4D628">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5CEF5970">
            <w:pPr>
              <w:pStyle w:val="84"/>
              <w:ind w:firstLine="422"/>
              <w:rPr>
                <w:b/>
                <w:bCs w:val="0"/>
                <w:color w:val="auto"/>
                <w:lang w:val="en-US" w:eastAsia="zh-CN"/>
              </w:rPr>
            </w:pPr>
            <w:bookmarkStart w:id="17" w:name="_Hlk99362229"/>
            <w:r>
              <w:rPr>
                <w:rFonts w:hint="eastAsia"/>
                <w:b/>
                <w:bCs w:val="0"/>
                <w:color w:val="auto"/>
                <w:lang w:val="en-US" w:eastAsia="zh-CN"/>
              </w:rPr>
              <w:t>1、</w:t>
            </w:r>
            <w:r>
              <w:rPr>
                <w:rFonts w:hint="eastAsia"/>
                <w:b/>
                <w:bCs w:val="0"/>
                <w:color w:val="auto"/>
                <w:lang w:val="en-US" w:eastAsia="zh-CN"/>
              </w:rPr>
              <w:t>本项目废气污染源强核算过程如下：</w:t>
            </w:r>
          </w:p>
          <w:p w14:paraId="4929AEDE">
            <w:pPr>
              <w:pStyle w:val="84"/>
              <w:rPr>
                <w:rFonts w:hint="default"/>
                <w:color w:val="auto"/>
                <w:lang w:val="en-US" w:eastAsia="zh-CN"/>
              </w:rPr>
            </w:pPr>
            <w:r>
              <w:rPr>
                <w:rFonts w:hint="eastAsia"/>
                <w:color w:val="auto"/>
                <w:lang w:val="en-US" w:eastAsia="zh-CN"/>
              </w:rPr>
              <w:t>本项目废气污染源主要涉及G1原料入库、G2下料粉尘、G3混料粉尘、G4玻璃熔窑废气、G5成型燃烧废气、G6烘口废气、G7抛光废气、G8退火废气、G9玻璃破碎粉尘、氨水储罐逸散废气、柴油发电机发电过程产生废气、食堂油烟。</w:t>
            </w:r>
          </w:p>
          <w:p w14:paraId="562FB78C">
            <w:pPr>
              <w:pStyle w:val="84"/>
              <w:ind w:firstLine="422"/>
              <w:rPr>
                <w:b/>
                <w:bCs w:val="0"/>
                <w:color w:val="auto"/>
                <w:lang w:val="en-US" w:eastAsia="zh-CN"/>
              </w:rPr>
            </w:pPr>
            <w:r>
              <w:rPr>
                <w:rFonts w:hint="eastAsia"/>
                <w:b/>
                <w:color w:val="auto"/>
                <w:lang w:val="en-US" w:eastAsia="zh-CN"/>
              </w:rPr>
              <w:t>（1）</w:t>
            </w:r>
            <w:r>
              <w:rPr>
                <w:rFonts w:hint="eastAsia"/>
                <w:b/>
                <w:bCs w:val="0"/>
                <w:color w:val="auto"/>
                <w:lang w:val="en-US" w:eastAsia="zh-CN"/>
              </w:rPr>
              <w:t>原料入库（G</w:t>
            </w:r>
            <w:r>
              <w:rPr>
                <w:b/>
                <w:bCs w:val="0"/>
                <w:color w:val="auto"/>
                <w:lang w:val="en-US" w:eastAsia="zh-CN"/>
              </w:rPr>
              <w:t>1</w:t>
            </w:r>
            <w:r>
              <w:rPr>
                <w:rFonts w:hint="eastAsia"/>
                <w:b/>
                <w:bCs w:val="0"/>
                <w:color w:val="auto"/>
                <w:lang w:val="en-US" w:eastAsia="zh-CN"/>
              </w:rPr>
              <w:t>）</w:t>
            </w:r>
          </w:p>
          <w:p w14:paraId="3D838CAB">
            <w:pPr>
              <w:pStyle w:val="84"/>
              <w:rPr>
                <w:rFonts w:hint="eastAsia" w:ascii="宋体" w:hAnsi="宋体" w:eastAsia="宋体" w:cs="宋体"/>
                <w:b w:val="0"/>
                <w:bCs w:val="0"/>
                <w:color w:val="auto"/>
                <w:sz w:val="21"/>
                <w:szCs w:val="21"/>
                <w:lang w:val="en-US" w:eastAsia="zh-CN"/>
              </w:rPr>
            </w:pPr>
            <w:r>
              <w:rPr>
                <w:rFonts w:hint="eastAsia"/>
                <w:color w:val="auto"/>
                <w:lang w:val="en-US" w:eastAsia="zh-CN"/>
              </w:rPr>
              <w:t>本项目使用原料基本为粉状原料，玻璃配方所用的主要原料广泛、充足，选择性大，不需再加工即可投入使用，根据《逸散性工业粉尘控制技术》中玻璃制造厂原料仓储粉尘逸散性排放因子为0.5kg/t-玻璃，本项目玻璃生产量为3.65万吨，则原料入库粉尘产生量为18.25t/a，本项目原料库设置一个出入口，仅在车辆进入过程开启库门，原料库整体密闭，因此本次堆场仅考虑卸料粉尘，不考虑风蚀扬尘。根据《</w:t>
            </w:r>
            <w:r>
              <w:rPr>
                <w:rFonts w:hint="eastAsia" w:ascii="宋体" w:hAnsi="宋体" w:eastAsia="宋体" w:cs="宋体"/>
                <w:b w:val="0"/>
                <w:bCs w:val="0"/>
                <w:color w:val="auto"/>
                <w:sz w:val="21"/>
                <w:szCs w:val="21"/>
                <w:lang w:val="en-US" w:eastAsia="zh-CN"/>
              </w:rPr>
              <w:t>固体物料堆存颗粒物产排污核算系数手册》，工业企业固体物料堆场颗粒物排放量核算公式如下：</w:t>
            </w:r>
          </w:p>
          <w:p w14:paraId="69CF5B91">
            <w:pPr>
              <w:pStyle w:val="84"/>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Uc</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P</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Cm</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Tm</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=18.25</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22%</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1%=0.04t/a</w:t>
            </w:r>
          </w:p>
          <w:p w14:paraId="1087271A">
            <w:pPr>
              <w:pStyle w:val="84"/>
              <w:ind w:left="0" w:leftChars="0"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式中：P</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 xml:space="preserve"> 指颗粒物产生量（单位：吨）；</w:t>
            </w:r>
          </w:p>
          <w:p w14:paraId="6AC11077">
            <w:pPr>
              <w:pStyle w:val="84"/>
              <w:ind w:firstLine="630" w:firstLineChars="3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Uc</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指颗粒物排放量（单位：吨）；</w:t>
            </w:r>
          </w:p>
          <w:p w14:paraId="29796F41">
            <w:pPr>
              <w:pStyle w:val="84"/>
              <w:ind w:firstLine="630" w:firstLineChars="3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Cm</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指颗粒物控制措施控制效率（单位：%），</w:t>
            </w:r>
            <w:r>
              <w:rPr>
                <w:rFonts w:hint="eastAsia" w:ascii="Times New Roman" w:hAnsi="Times New Roman" w:eastAsia="宋体" w:cs="Times New Roman"/>
                <w:b w:val="0"/>
                <w:bCs w:val="0"/>
                <w:color w:val="auto"/>
                <w:sz w:val="21"/>
                <w:szCs w:val="21"/>
                <w:lang w:val="en-US" w:eastAsia="zh-CN"/>
              </w:rPr>
              <w:t>车辆出入冲洗，78%</w:t>
            </w:r>
            <w:r>
              <w:rPr>
                <w:rFonts w:hint="default" w:ascii="Times New Roman" w:hAnsi="Times New Roman" w:eastAsia="宋体" w:cs="Times New Roman"/>
                <w:b w:val="0"/>
                <w:bCs w:val="0"/>
                <w:color w:val="auto"/>
                <w:sz w:val="21"/>
                <w:szCs w:val="21"/>
                <w:lang w:val="en-US" w:eastAsia="zh-CN"/>
              </w:rPr>
              <w:t>；</w:t>
            </w:r>
          </w:p>
          <w:p w14:paraId="5762E904">
            <w:pPr>
              <w:pStyle w:val="84"/>
              <w:ind w:firstLine="630" w:firstLineChars="3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Tm</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指堆场类型控制效率（单位：%），</w:t>
            </w:r>
            <w:r>
              <w:rPr>
                <w:rFonts w:hint="eastAsia" w:ascii="Times New Roman" w:hAnsi="Times New Roman" w:eastAsia="宋体" w:cs="Times New Roman"/>
                <w:b w:val="0"/>
                <w:bCs w:val="0"/>
                <w:color w:val="auto"/>
                <w:sz w:val="21"/>
                <w:szCs w:val="21"/>
                <w:lang w:val="en-US" w:eastAsia="zh-CN"/>
              </w:rPr>
              <w:t>全密闭99%</w:t>
            </w:r>
            <w:r>
              <w:rPr>
                <w:rFonts w:hint="default" w:ascii="Times New Roman" w:hAnsi="Times New Roman" w:eastAsia="宋体" w:cs="Times New Roman"/>
                <w:b w:val="0"/>
                <w:bCs w:val="0"/>
                <w:color w:val="auto"/>
                <w:sz w:val="21"/>
                <w:szCs w:val="21"/>
                <w:lang w:val="en-US" w:eastAsia="zh-CN"/>
              </w:rPr>
              <w:t>。</w:t>
            </w:r>
          </w:p>
          <w:p w14:paraId="09E9998E">
            <w:pPr>
              <w:pStyle w:val="84"/>
              <w:ind w:firstLine="630" w:firstLineChars="3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根据上述计算得出原料库卸料粉尘排放量为0.04t/a，于原料库内无组织排放。</w:t>
            </w:r>
          </w:p>
          <w:p w14:paraId="373C75CE">
            <w:pPr>
              <w:pStyle w:val="84"/>
              <w:numPr>
                <w:ilvl w:val="0"/>
                <w:numId w:val="0"/>
              </w:numPr>
              <w:ind w:left="525" w:leftChars="0" w:firstLine="0" w:firstLineChars="0"/>
              <w:rPr>
                <w:rFonts w:hint="eastAsia"/>
                <w:b/>
                <w:bCs w:val="0"/>
                <w:color w:val="auto"/>
                <w:lang w:val="en-US" w:eastAsia="zh-CN"/>
              </w:rPr>
            </w:pPr>
            <w:bookmarkStart w:id="18" w:name="_Hlk105422878"/>
            <w:r>
              <w:rPr>
                <w:rFonts w:hint="eastAsia"/>
                <w:b/>
                <w:bCs w:val="0"/>
                <w:color w:val="auto"/>
                <w:kern w:val="2"/>
                <w:sz w:val="21"/>
                <w:szCs w:val="21"/>
                <w:lang w:val="en-US" w:eastAsia="zh-CN" w:bidi="ar-SA"/>
              </w:rPr>
              <w:t>（2）</w:t>
            </w:r>
            <w:r>
              <w:rPr>
                <w:rFonts w:hint="eastAsia"/>
                <w:b/>
                <w:bCs w:val="0"/>
                <w:color w:val="auto"/>
                <w:lang w:val="en-US" w:eastAsia="zh-CN"/>
              </w:rPr>
              <w:t>下料粉尘G2</w:t>
            </w:r>
          </w:p>
          <w:p w14:paraId="1B601A31">
            <w:pPr>
              <w:pStyle w:val="84"/>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color w:val="auto"/>
                <w:highlight w:val="yellow"/>
                <w:lang w:val="en-US" w:eastAsia="zh-CN"/>
              </w:rPr>
            </w:pPr>
            <w:r>
              <w:rPr>
                <w:rFonts w:hint="default" w:ascii="Times New Roman" w:hAnsi="Times New Roman" w:cs="Times New Roman"/>
                <w:color w:val="auto"/>
                <w:sz w:val="21"/>
                <w:szCs w:val="21"/>
                <w:lang w:val="en-US" w:eastAsia="zh-CN"/>
              </w:rPr>
              <w:t>根据《逸散性工业粉尘控制技术》中玻璃制造厂原料输送至原料仓产生的下料粉尘：逸散性排放因子为0.25kg/t-玻璃，本项目玻璃生产量为3.65万吨，则下料粉尘产生量为9.125t/a，本项目物料经计量好后采用铲车运至输送机下料斗内，输送机料斗位于密闭原料库内，输送廊道采用全密闭围挡</w:t>
            </w:r>
            <w:r>
              <w:rPr>
                <w:rFonts w:hint="default" w:ascii="Times New Roman" w:hAnsi="Times New Roman" w:cs="Times New Roman"/>
                <w:color w:val="auto"/>
                <w:sz w:val="21"/>
                <w:szCs w:val="21"/>
                <w:highlight w:val="none"/>
                <w:lang w:val="en-US" w:eastAsia="zh-CN"/>
              </w:rPr>
              <w:t>，物料经密闭围挡输送至混料机料仓内。物料上料期间石英砂采用湿喷淋，减少下料粉尘，同时其他物料采用吨袋叉车运输至下料口，下料口三面围挡，整个操作位于密闭原料库内进行，粉尘于</w:t>
            </w:r>
            <w:r>
              <w:rPr>
                <w:rFonts w:hint="eastAsia" w:ascii="Times New Roman" w:hAnsi="Times New Roman" w:cs="Times New Roman"/>
                <w:color w:val="auto"/>
                <w:sz w:val="21"/>
                <w:szCs w:val="21"/>
                <w:highlight w:val="none"/>
                <w:lang w:val="en-US" w:eastAsia="zh-CN"/>
              </w:rPr>
              <w:t>原料库</w:t>
            </w:r>
            <w:r>
              <w:rPr>
                <w:rFonts w:hint="default" w:ascii="Times New Roman" w:hAnsi="Times New Roman" w:cs="Times New Roman"/>
                <w:color w:val="auto"/>
                <w:sz w:val="21"/>
                <w:szCs w:val="21"/>
                <w:highlight w:val="none"/>
                <w:lang w:val="en-US" w:eastAsia="zh-CN"/>
              </w:rPr>
              <w:t>内沉降，</w:t>
            </w:r>
            <w:r>
              <w:rPr>
                <w:rFonts w:hint="default" w:ascii="Times New Roman" w:hAnsi="Times New Roman" w:cs="Times New Roman"/>
                <w:color w:val="auto"/>
                <w:sz w:val="21"/>
                <w:szCs w:val="21"/>
                <w:lang w:val="en-US" w:eastAsia="zh-CN"/>
              </w:rPr>
              <w:t>根据《</w:t>
            </w:r>
            <w:r>
              <w:rPr>
                <w:rFonts w:hint="default" w:ascii="Times New Roman" w:hAnsi="Times New Roman" w:eastAsia="宋体" w:cs="Times New Roman"/>
                <w:b w:val="0"/>
                <w:bCs w:val="0"/>
                <w:color w:val="auto"/>
                <w:sz w:val="21"/>
                <w:szCs w:val="21"/>
                <w:lang w:val="en-US" w:eastAsia="zh-CN"/>
              </w:rPr>
              <w:t>固体物料堆存颗粒物产排污核算系数手册》，洒水粉尘控制效率70%，围挡去除效率60%，</w:t>
            </w:r>
            <w:r>
              <w:rPr>
                <w:rFonts w:hint="eastAsia" w:ascii="Times New Roman" w:hAnsi="Times New Roman" w:eastAsia="宋体" w:cs="Times New Roman"/>
                <w:b w:val="0"/>
                <w:bCs w:val="0"/>
                <w:color w:val="auto"/>
                <w:sz w:val="21"/>
                <w:szCs w:val="21"/>
                <w:lang w:val="en-US" w:eastAsia="zh-CN"/>
              </w:rPr>
              <w:t>本项目属于全密闭+洒水，</w:t>
            </w:r>
            <w:r>
              <w:rPr>
                <w:rFonts w:hint="eastAsia"/>
                <w:color w:val="auto"/>
                <w:highlight w:val="none"/>
                <w:lang w:val="en-US" w:eastAsia="zh-CN"/>
              </w:rPr>
              <w:t>降尘效率按照80%计，则无组织粉尘排放量为1.825t/a。</w:t>
            </w:r>
          </w:p>
          <w:p w14:paraId="2441EBBB">
            <w:pPr>
              <w:pStyle w:val="84"/>
              <w:ind w:firstLine="422"/>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（3）混料、搅拌粉尘G3</w:t>
            </w:r>
          </w:p>
          <w:p w14:paraId="39FB64E0">
            <w:pPr>
              <w:pStyle w:val="84"/>
              <w:rPr>
                <w:rFonts w:hint="eastAsia" w:ascii="Times New Roman" w:hAnsi="Times New Roman" w:eastAsia="宋体" w:cs="Times New Roman"/>
                <w:b w:val="0"/>
                <w:bCs w:val="0"/>
                <w:color w:val="auto"/>
                <w:sz w:val="21"/>
                <w:szCs w:val="21"/>
                <w:lang w:val="en-US" w:eastAsia="zh-CN"/>
              </w:rPr>
            </w:pPr>
            <w:r>
              <w:rPr>
                <w:rFonts w:hint="eastAsia"/>
                <w:color w:val="auto"/>
                <w:lang w:val="en-US" w:eastAsia="zh-CN"/>
              </w:rPr>
              <w:t>根据《逸散性工业粉尘控制技术》中玻璃制造厂原料配料、混合产生的粉尘：逸散性排放因子为0.03kg/t-玻璃，物料输送至混料机料仓内进行搅拌混料，混料过程密闭</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物料需经过混料均化后输送密闭二级搅拌机搅拌至熔窑下料口，混料机料仓边、搅拌机顶层设吸风管，粉尘经过密闭收集后采用布袋除尘器处理，</w:t>
            </w:r>
            <w:r>
              <w:rPr>
                <w:rFonts w:hint="default" w:ascii="Times New Roman" w:hAnsi="Times New Roman" w:eastAsia="宋体" w:cs="Times New Roman"/>
                <w:b w:val="0"/>
                <w:bCs w:val="0"/>
                <w:color w:val="auto"/>
                <w:sz w:val="21"/>
                <w:szCs w:val="21"/>
              </w:rPr>
              <w:t>则本项目全厂</w:t>
            </w:r>
            <w:r>
              <w:rPr>
                <w:rFonts w:hint="eastAsia" w:ascii="Times New Roman" w:hAnsi="Times New Roman" w:eastAsia="宋体" w:cs="Times New Roman"/>
                <w:b w:val="0"/>
                <w:bCs w:val="0"/>
                <w:color w:val="auto"/>
                <w:sz w:val="21"/>
                <w:szCs w:val="21"/>
                <w:lang w:val="en-US" w:eastAsia="zh-CN"/>
              </w:rPr>
              <w:t>配料混料阶段、搅拌阶段产生的</w:t>
            </w:r>
            <w:r>
              <w:rPr>
                <w:rFonts w:hint="default" w:ascii="Times New Roman" w:hAnsi="Times New Roman" w:eastAsia="宋体" w:cs="Times New Roman"/>
                <w:b w:val="0"/>
                <w:bCs w:val="0"/>
                <w:color w:val="auto"/>
                <w:sz w:val="21"/>
                <w:szCs w:val="21"/>
              </w:rPr>
              <w:t>颗粒物总量约为</w:t>
            </w:r>
            <w:r>
              <w:rPr>
                <w:rFonts w:hint="eastAsia" w:ascii="Times New Roman" w:hAnsi="Times New Roman" w:eastAsia="宋体" w:cs="Times New Roman"/>
                <w:b w:val="0"/>
                <w:bCs w:val="0"/>
                <w:color w:val="auto"/>
                <w:sz w:val="21"/>
                <w:szCs w:val="21"/>
                <w:lang w:val="en-US" w:eastAsia="zh-CN"/>
              </w:rPr>
              <w:t>3.285</w:t>
            </w:r>
            <w:r>
              <w:rPr>
                <w:rFonts w:hint="default" w:ascii="Times New Roman" w:hAnsi="Times New Roman" w:eastAsia="宋体" w:cs="Times New Roman"/>
                <w:b w:val="0"/>
                <w:bCs w:val="0"/>
                <w:color w:val="auto"/>
                <w:sz w:val="21"/>
                <w:szCs w:val="21"/>
              </w:rPr>
              <w:t>t/a</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年加工时间3960h</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颗粒物管道密闭收集经布袋除尘器处理后经15m（DA002）排放，布袋除尘器除尘效率按照99%计，混料收集风机风量</w:t>
            </w:r>
            <w:r>
              <w:rPr>
                <w:rFonts w:hint="eastAsia" w:ascii="Times New Roman" w:hAnsi="Times New Roman" w:eastAsia="宋体" w:cs="Times New Roman"/>
                <w:b w:val="0"/>
                <w:bCs w:val="0"/>
                <w:color w:val="auto"/>
                <w:sz w:val="21"/>
                <w:szCs w:val="21"/>
                <w:highlight w:val="none"/>
                <w:lang w:val="en-US" w:eastAsia="zh-CN"/>
              </w:rPr>
              <w:t>6000</w:t>
            </w:r>
            <w:r>
              <w:rPr>
                <w:color w:val="auto"/>
                <w:highlight w:val="none"/>
                <w:lang w:val="en-US" w:eastAsia="zh-CN"/>
              </w:rPr>
              <w:t>m</w:t>
            </w:r>
            <w:r>
              <w:rPr>
                <w:color w:val="auto"/>
                <w:highlight w:val="none"/>
                <w:vertAlign w:val="superscript"/>
                <w:lang w:val="en-US" w:eastAsia="zh-CN"/>
              </w:rPr>
              <w:t>3</w:t>
            </w:r>
            <w:r>
              <w:rPr>
                <w:color w:val="auto"/>
                <w:highlight w:val="none"/>
                <w:lang w:val="en-US" w:eastAsia="zh-CN"/>
              </w:rPr>
              <w:t>/h</w:t>
            </w:r>
            <w:r>
              <w:rPr>
                <w:rFonts w:hint="eastAsia"/>
                <w:color w:val="auto"/>
                <w:highlight w:val="none"/>
                <w:lang w:val="en-US" w:eastAsia="zh-CN"/>
              </w:rPr>
              <w:t>，</w:t>
            </w:r>
            <w:r>
              <w:rPr>
                <w:rFonts w:hint="eastAsia" w:ascii="Times New Roman" w:hAnsi="Times New Roman" w:eastAsia="宋体" w:cs="Times New Roman"/>
                <w:b w:val="0"/>
                <w:bCs w:val="0"/>
                <w:color w:val="auto"/>
                <w:sz w:val="21"/>
                <w:szCs w:val="21"/>
                <w:lang w:val="en-US" w:eastAsia="zh-CN"/>
              </w:rPr>
              <w:t>则DA002粉尘有组织排放量为0.033</w:t>
            </w:r>
            <w:r>
              <w:rPr>
                <w:rFonts w:hint="default" w:ascii="Times New Roman" w:hAnsi="Times New Roman" w:eastAsia="宋体" w:cs="Times New Roman"/>
                <w:b w:val="0"/>
                <w:bCs w:val="0"/>
                <w:color w:val="auto"/>
                <w:sz w:val="21"/>
                <w:szCs w:val="21"/>
              </w:rPr>
              <w:t>/a</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0.009kg</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h</w:t>
            </w:r>
            <w:r>
              <w:rPr>
                <w:rFonts w:hint="eastAsia" w:ascii="Times New Roman" w:hAnsi="Times New Roman" w:eastAsia="宋体" w:cs="Times New Roman"/>
                <w:b w:val="0"/>
                <w:bCs w:val="0"/>
                <w:color w:val="auto"/>
                <w:sz w:val="21"/>
                <w:szCs w:val="21"/>
                <w:lang w:val="en-US" w:eastAsia="zh-CN"/>
              </w:rPr>
              <w:t>。</w:t>
            </w:r>
          </w:p>
          <w:p w14:paraId="7271A814">
            <w:pPr>
              <w:pStyle w:val="84"/>
              <w:numPr>
                <w:ilvl w:val="0"/>
                <w:numId w:val="0"/>
              </w:numPr>
              <w:ind w:left="525" w:leftChars="0" w:firstLine="0" w:firstLineChars="0"/>
              <w:rPr>
                <w:rFonts w:hint="default"/>
                <w:b/>
                <w:bCs w:val="0"/>
                <w:color w:val="auto"/>
                <w:lang w:val="en-US" w:eastAsia="zh-CN"/>
              </w:rPr>
            </w:pPr>
            <w:r>
              <w:rPr>
                <w:rFonts w:hint="eastAsia"/>
                <w:b/>
                <w:bCs w:val="0"/>
                <w:color w:val="auto"/>
                <w:kern w:val="2"/>
                <w:sz w:val="21"/>
                <w:szCs w:val="21"/>
                <w:lang w:val="en-US" w:eastAsia="zh-CN" w:bidi="ar-SA"/>
              </w:rPr>
              <w:t>（4）投料</w:t>
            </w:r>
            <w:r>
              <w:rPr>
                <w:rFonts w:hint="eastAsia"/>
                <w:b/>
                <w:bCs w:val="0"/>
                <w:color w:val="auto"/>
                <w:lang w:val="en-US" w:eastAsia="zh-CN"/>
              </w:rPr>
              <w:t>粉尘G10</w:t>
            </w:r>
          </w:p>
          <w:p w14:paraId="3E8A73C9">
            <w:pPr>
              <w:pStyle w:val="84"/>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color w:val="auto"/>
                <w:highlight w:val="yellow"/>
                <w:lang w:val="en-US" w:eastAsia="zh-CN"/>
              </w:rPr>
            </w:pPr>
            <w:r>
              <w:rPr>
                <w:rFonts w:hint="eastAsia" w:ascii="Times New Roman" w:hAnsi="Times New Roman" w:cs="Times New Roman"/>
                <w:color w:val="auto"/>
                <w:sz w:val="21"/>
                <w:szCs w:val="21"/>
                <w:lang w:val="en-US" w:eastAsia="zh-CN"/>
              </w:rPr>
              <w:t>本项目投料过程</w:t>
            </w:r>
            <w:r>
              <w:rPr>
                <w:rFonts w:hint="default" w:ascii="Times New Roman" w:hAnsi="Times New Roman" w:cs="Times New Roman"/>
                <w:color w:val="auto"/>
                <w:sz w:val="21"/>
                <w:szCs w:val="21"/>
                <w:lang w:val="en-US" w:eastAsia="zh-CN"/>
              </w:rPr>
              <w:t>根据《逸散性工业粉尘控制技术》中玻璃制造厂原料输送至原料仓产生的下料粉尘：逸散性排放因子为0.25kg/t-玻璃，本项目玻璃生产量为3.65万吨，则下料粉尘产生量为9.125t/a，</w:t>
            </w:r>
            <w:r>
              <w:rPr>
                <w:rFonts w:hint="eastAsia" w:ascii="Times New Roman" w:hAnsi="Times New Roman" w:cs="Times New Roman"/>
                <w:color w:val="auto"/>
                <w:sz w:val="21"/>
                <w:szCs w:val="21"/>
                <w:lang w:val="en-US" w:eastAsia="zh-CN"/>
              </w:rPr>
              <w:t>本项目物料输送环节输送带三面围挡密闭输送，下料口安装集气罩，料斗上料等环节密闭，集气罩覆盖整个料斗上方，集气罩效率按照90%计，则有组织收集粉尘量为8.2125t/a，无组织排放量为0.9125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。投料粉尘经收集后采用布袋除尘器处理（去除效率按照99%计），则有组织粉尘排放量为0.082t/a，粉尘经15m排气筒DA003排放。</w:t>
            </w:r>
          </w:p>
          <w:p w14:paraId="12E3A332">
            <w:pPr>
              <w:pStyle w:val="84"/>
              <w:ind w:firstLine="422"/>
              <w:rPr>
                <w:rFonts w:hint="default"/>
                <w:color w:val="auto"/>
                <w:lang w:val="en-US" w:eastAsia="zh-CN"/>
              </w:rPr>
            </w:pPr>
            <w:r>
              <w:rPr>
                <w:rFonts w:hint="eastAsia"/>
                <w:b/>
                <w:color w:val="auto"/>
                <w:lang w:val="en-US" w:eastAsia="zh-CN"/>
              </w:rPr>
              <w:t>（5）</w:t>
            </w:r>
            <w:r>
              <w:rPr>
                <w:rFonts w:hint="eastAsia"/>
                <w:b/>
                <w:color w:val="auto"/>
                <w:lang w:val="en-US" w:eastAsia="zh-CN"/>
              </w:rPr>
              <w:t>G4</w:t>
            </w:r>
            <w:r>
              <w:rPr>
                <w:rFonts w:hint="eastAsia"/>
                <w:b/>
                <w:bCs w:val="0"/>
                <w:color w:val="auto"/>
                <w:lang w:val="en-US" w:eastAsia="zh-CN"/>
              </w:rPr>
              <w:t>玻璃熔窑废气颗粒物、SO</w:t>
            </w:r>
            <w:r>
              <w:rPr>
                <w:rFonts w:hint="eastAsia"/>
                <w:b/>
                <w:bCs w:val="0"/>
                <w:color w:val="auto"/>
                <w:vertAlign w:val="subscript"/>
                <w:lang w:val="en-US" w:eastAsia="zh-CN"/>
              </w:rPr>
              <w:t>2</w:t>
            </w:r>
            <w:r>
              <w:rPr>
                <w:rFonts w:hint="eastAsia"/>
                <w:b/>
                <w:bCs w:val="0"/>
                <w:color w:val="auto"/>
                <w:lang w:val="en-US" w:eastAsia="zh-CN"/>
              </w:rPr>
              <w:t>、NO</w:t>
            </w:r>
            <w:r>
              <w:rPr>
                <w:rFonts w:hint="eastAsia"/>
                <w:b/>
                <w:bCs w:val="0"/>
                <w:color w:val="auto"/>
                <w:vertAlign w:val="subscript"/>
                <w:lang w:val="en-US" w:eastAsia="zh-CN"/>
              </w:rPr>
              <w:t>X</w:t>
            </w:r>
          </w:p>
          <w:p w14:paraId="65F2051E">
            <w:pPr>
              <w:pStyle w:val="84"/>
              <w:rPr>
                <w:color w:val="auto"/>
                <w:lang w:val="en-US" w:eastAsia="zh-CN"/>
              </w:rPr>
            </w:pPr>
            <w:r>
              <w:rPr>
                <w:rFonts w:ascii="宋体" w:hAnsi="宋体" w:eastAsia="宋体" w:cs="宋体"/>
                <w:b w:val="0"/>
                <w:bCs w:val="0"/>
                <w:color w:val="auto"/>
                <w:sz w:val="21"/>
                <w:szCs w:val="21"/>
              </w:rPr>
              <w:t>本评价根据《排放源统计调查产排污核算方法和系数手册》</w:t>
            </w:r>
            <w:r>
              <w:rPr>
                <w:rFonts w:ascii="TimesNewRomanPSMT" w:hAnsi="TimesNewRomanPSMT" w:eastAsia="TimesNewRomanPSMT" w:cs="TimesNewRomanPSMT"/>
                <w:b w:val="0"/>
                <w:bCs w:val="0"/>
                <w:color w:val="auto"/>
                <w:sz w:val="21"/>
                <w:szCs w:val="21"/>
              </w:rPr>
              <w:t>2021</w:t>
            </w:r>
            <w:r>
              <w:rPr>
                <w:rFonts w:ascii="宋体" w:hAnsi="宋体" w:eastAsia="宋体" w:cs="宋体"/>
                <w:b w:val="0"/>
                <w:bCs w:val="0"/>
                <w:color w:val="auto"/>
                <w:sz w:val="21"/>
                <w:szCs w:val="21"/>
              </w:rPr>
              <w:t>中</w:t>
            </w:r>
            <w:r>
              <w:rPr>
                <w:rFonts w:hint="default" w:ascii="TimesNewRomanPSMT" w:hAnsi="TimesNewRomanPSMT" w:eastAsia="TimesNewRomanPSMT" w:cs="TimesNewRomanPSMT"/>
                <w:b w:val="0"/>
                <w:bCs w:val="0"/>
                <w:color w:val="auto"/>
                <w:sz w:val="21"/>
                <w:szCs w:val="21"/>
              </w:rPr>
              <w:t>3055</w:t>
            </w:r>
            <w:r>
              <w:rPr>
                <w:rFonts w:ascii="宋体" w:hAnsi="宋体" w:eastAsia="宋体" w:cs="宋体"/>
                <w:b w:val="0"/>
                <w:bCs w:val="0"/>
                <w:color w:val="auto"/>
                <w:sz w:val="21"/>
                <w:szCs w:val="21"/>
              </w:rPr>
              <w:t>玻璃包装容器制造行业系数手册对玻璃炉窑烟气中废气量进行计算。根据</w:t>
            </w:r>
            <w:r>
              <w:rPr>
                <w:rFonts w:hint="default" w:ascii="Times New Roman" w:hAnsi="Times New Roman" w:eastAsia="宋体" w:cs="Times New Roman"/>
                <w:color w:val="auto"/>
                <w:sz w:val="21"/>
                <w:szCs w:val="21"/>
              </w:rPr>
              <w:t>3054日用玻璃制</w:t>
            </w:r>
            <w:r>
              <w:rPr>
                <w:rFonts w:ascii="宋体" w:hAnsi="宋体" w:eastAsia="宋体" w:cs="宋体"/>
                <w:color w:val="auto"/>
                <w:sz w:val="21"/>
                <w:szCs w:val="21"/>
              </w:rPr>
              <w:t>品制造行业系数表</w:t>
            </w:r>
            <w:r>
              <w:rPr>
                <w:rFonts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原料熔制——玻璃器皿——天然气池窑——废气量为</w:t>
            </w:r>
            <w:r>
              <w:rPr>
                <w:rFonts w:hint="default" w:ascii="Times New Roman" w:hAnsi="Times New Roman" w:eastAsia="TimesNewRomanPSMT" w:cs="Times New Roman"/>
                <w:b w:val="0"/>
                <w:bCs w:val="0"/>
                <w:color w:val="auto"/>
                <w:sz w:val="21"/>
                <w:szCs w:val="21"/>
              </w:rPr>
              <w:t>3</w:t>
            </w:r>
            <w:r>
              <w:rPr>
                <w:rFonts w:hint="default" w:ascii="Times New Roman" w:hAnsi="Times New Roman" w:eastAsia="宋体" w:cs="Times New Roman"/>
                <w:b w:val="0"/>
                <w:bCs w:val="0"/>
                <w:color w:val="auto"/>
                <w:sz w:val="21"/>
                <w:szCs w:val="21"/>
                <w:lang w:val="en-US" w:eastAsia="zh-CN"/>
              </w:rPr>
              <w:t>500</w:t>
            </w:r>
            <w:r>
              <w:rPr>
                <w:rFonts w:hint="default" w:ascii="Times New Roman" w:hAnsi="Times New Roman" w:eastAsia="宋体" w:cs="Times New Roman"/>
                <w:b w:val="0"/>
                <w:bCs w:val="0"/>
                <w:color w:val="auto"/>
                <w:sz w:val="21"/>
                <w:szCs w:val="21"/>
              </w:rPr>
              <w:t>标立方米</w:t>
            </w:r>
            <w:r>
              <w:rPr>
                <w:rFonts w:hint="default" w:ascii="Times New Roman" w:hAnsi="Times New Roman" w:eastAsia="TimesNewRomanPSMT" w:cs="Times New Roman"/>
                <w:b w:val="0"/>
                <w:bCs w:val="0"/>
                <w:color w:val="auto"/>
                <w:sz w:val="21"/>
                <w:szCs w:val="21"/>
              </w:rPr>
              <w:t>/</w:t>
            </w:r>
            <w:r>
              <w:rPr>
                <w:rFonts w:hint="default" w:ascii="Times New Roman" w:hAnsi="Times New Roman" w:eastAsia="宋体" w:cs="Times New Roman"/>
                <w:b w:val="0"/>
                <w:bCs w:val="0"/>
                <w:color w:val="auto"/>
                <w:sz w:val="21"/>
                <w:szCs w:val="21"/>
              </w:rPr>
              <w:t>吨</w:t>
            </w:r>
            <w:r>
              <w:rPr>
                <w:rFonts w:hint="default" w:ascii="Times New Roman" w:hAnsi="Times New Roman" w:eastAsia="TimesNewRomanPSMT" w:cs="Times New Roman"/>
                <w:b w:val="0"/>
                <w:bCs w:val="0"/>
                <w:color w:val="auto"/>
                <w:sz w:val="21"/>
                <w:szCs w:val="21"/>
              </w:rPr>
              <w:t>-</w:t>
            </w:r>
            <w:r>
              <w:rPr>
                <w:rFonts w:hint="default" w:ascii="Times New Roman" w:hAnsi="Times New Roman" w:eastAsia="宋体" w:cs="Times New Roman"/>
                <w:b w:val="0"/>
                <w:bCs w:val="0"/>
                <w:color w:val="auto"/>
                <w:sz w:val="21"/>
                <w:szCs w:val="21"/>
              </w:rPr>
              <w:t>产品</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颗粒物0.148千克/吨-产品、</w:t>
            </w: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0.231千克/吨-产品、氮氧化物4.2千克/吨-产品</w:t>
            </w: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lang w:val="en-US" w:eastAsia="zh-CN"/>
              </w:rPr>
              <w:t>按照</w:t>
            </w:r>
            <w:r>
              <w:rPr>
                <w:rFonts w:hint="eastAsia" w:ascii="Times New Roman" w:hAnsi="Times New Roman" w:eastAsia="宋体" w:cs="Times New Roman"/>
                <w:b w:val="0"/>
                <w:bCs w:val="0"/>
                <w:color w:val="auto"/>
                <w:sz w:val="21"/>
                <w:szCs w:val="21"/>
                <w:lang w:val="en-US" w:eastAsia="zh-CN"/>
              </w:rPr>
              <w:t>产品最大产能3.65</w:t>
            </w:r>
            <w:r>
              <w:rPr>
                <w:rFonts w:hint="default" w:ascii="Times New Roman" w:hAnsi="Times New Roman" w:eastAsia="宋体" w:cs="Times New Roman"/>
                <w:b w:val="0"/>
                <w:bCs w:val="0"/>
                <w:color w:val="auto"/>
                <w:sz w:val="21"/>
                <w:szCs w:val="21"/>
              </w:rPr>
              <w:t>万吨</w:t>
            </w:r>
            <w:r>
              <w:rPr>
                <w:rFonts w:hint="default" w:ascii="Times New Roman" w:hAnsi="Times New Roman" w:eastAsia="宋体" w:cs="Times New Roman"/>
                <w:b w:val="0"/>
                <w:bCs w:val="0"/>
                <w:color w:val="auto"/>
                <w:sz w:val="21"/>
                <w:szCs w:val="21"/>
                <w:lang w:val="en-US" w:eastAsia="zh-CN"/>
              </w:rPr>
              <w:t>核算</w:t>
            </w:r>
            <w:r>
              <w:rPr>
                <w:rFonts w:hint="default" w:ascii="Times New Roman" w:hAnsi="Times New Roman" w:eastAsia="宋体" w:cs="Times New Roman"/>
                <w:b w:val="0"/>
                <w:bCs w:val="0"/>
                <w:color w:val="auto"/>
                <w:sz w:val="21"/>
                <w:szCs w:val="21"/>
              </w:rPr>
              <w:t>，则玻璃炉窑废气排放量为</w:t>
            </w: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4000</w:t>
            </w:r>
            <w:r>
              <w:rPr>
                <w:rFonts w:hint="default" w:ascii="Times New Roman" w:hAnsi="Times New Roman" w:eastAsia="宋体" w:cs="Times New Roman"/>
                <w:b w:val="0"/>
                <w:bCs w:val="0"/>
                <w:color w:val="auto"/>
                <w:sz w:val="21"/>
                <w:szCs w:val="21"/>
              </w:rPr>
              <w:t>万</w:t>
            </w:r>
            <w:r>
              <w:rPr>
                <w:rFonts w:hint="default" w:ascii="Times New Roman" w:hAnsi="Times New Roman" w:eastAsia="TimesNewRomanPSMT" w:cs="Times New Roman"/>
                <w:b w:val="0"/>
                <w:bCs w:val="0"/>
                <w:color w:val="auto"/>
                <w:sz w:val="21"/>
                <w:szCs w:val="21"/>
              </w:rPr>
              <w:t>m</w:t>
            </w:r>
            <w:r>
              <w:rPr>
                <w:rFonts w:hint="default" w:ascii="Times New Roman" w:hAnsi="Times New Roman" w:eastAsia="TimesNewRomanPSMT" w:cs="Times New Roman"/>
                <w:b w:val="0"/>
                <w:bCs w:val="0"/>
                <w:color w:val="auto"/>
                <w:sz w:val="21"/>
                <w:szCs w:val="21"/>
                <w:vertAlign w:val="superscript"/>
              </w:rPr>
              <w:t>3</w:t>
            </w:r>
            <w:r>
              <w:rPr>
                <w:rFonts w:hint="default" w:ascii="Times New Roman" w:hAnsi="Times New Roman" w:eastAsia="TimesNewRomanPSMT" w:cs="Times New Roman"/>
                <w:b w:val="0"/>
                <w:bCs w:val="0"/>
                <w:color w:val="auto"/>
                <w:sz w:val="21"/>
                <w:szCs w:val="21"/>
              </w:rPr>
              <w:t>/a</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颗粒物</w:t>
            </w:r>
            <w:r>
              <w:rPr>
                <w:rFonts w:hint="eastAsia" w:ascii="Times New Roman" w:hAnsi="Times New Roman" w:eastAsia="宋体" w:cs="Times New Roman"/>
                <w:b w:val="0"/>
                <w:bCs w:val="0"/>
                <w:color w:val="auto"/>
                <w:sz w:val="21"/>
                <w:szCs w:val="21"/>
                <w:lang w:val="en-US" w:eastAsia="zh-CN"/>
              </w:rPr>
              <w:t>产生量为5.402t/a</w:t>
            </w: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产生量为8.432t/a、</w:t>
            </w:r>
            <w:r>
              <w:rPr>
                <w:rFonts w:hint="default" w:ascii="Times New Roman" w:hAnsi="Times New Roman" w:eastAsia="宋体" w:cs="Times New Roman"/>
                <w:b w:val="0"/>
                <w:bCs w:val="0"/>
                <w:color w:val="auto"/>
                <w:sz w:val="21"/>
                <w:szCs w:val="21"/>
                <w:lang w:val="en-US" w:eastAsia="zh-CN"/>
              </w:rPr>
              <w:t>氮氧化物</w:t>
            </w:r>
            <w:r>
              <w:rPr>
                <w:rFonts w:hint="eastAsia" w:ascii="Times New Roman" w:hAnsi="Times New Roman" w:eastAsia="宋体" w:cs="Times New Roman"/>
                <w:b w:val="0"/>
                <w:bCs w:val="0"/>
                <w:color w:val="auto"/>
                <w:sz w:val="21"/>
                <w:szCs w:val="21"/>
                <w:lang w:val="en-US" w:eastAsia="zh-CN"/>
              </w:rPr>
              <w:t>产生量为153.3t/a</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本项目配套</w:t>
            </w:r>
            <w:r>
              <w:rPr>
                <w:rFonts w:hint="eastAsia" w:ascii="Times New Roman" w:hAnsi="Times New Roman" w:eastAsia="宋体" w:cs="Times New Roman"/>
                <w:bCs w:val="0"/>
                <w:color w:val="auto"/>
                <w:kern w:val="2"/>
                <w:sz w:val="21"/>
                <w:szCs w:val="21"/>
                <w:lang w:val="en-US" w:eastAsia="zh-CN" w:bidi="ar-SA"/>
              </w:rPr>
              <w:t>陶瓷纤维脱硝除尘一体烟气净化系统（调质脱硫塔+陶瓷滤筒脱硝除尘）</w:t>
            </w:r>
            <w:r>
              <w:rPr>
                <w:rFonts w:hint="eastAsia" w:ascii="Times New Roman" w:hAnsi="Times New Roman" w:eastAsia="宋体" w:cs="Times New Roman"/>
                <w:b w:val="0"/>
                <w:bCs w:val="0"/>
                <w:color w:val="auto"/>
                <w:sz w:val="21"/>
                <w:szCs w:val="21"/>
                <w:lang w:val="en-US" w:eastAsia="zh-CN"/>
              </w:rPr>
              <w:t>处理熔窑废气，废气经密闭烘道进入废气处理装置处理经55m排气筒（DA001）排放，脉冲式袋式除尘器去除效率按照99%计，SCR选择性还原脱硝装置氮氧化物去除效率按照85%计，烟气中喷洒粉质氢氧化钙进行烟气除湿，同时会减少部分</w:t>
            </w:r>
            <w:r>
              <w:rPr>
                <w:rFonts w:hint="default" w:ascii="Times New Roman" w:hAnsi="Times New Roman" w:eastAsia="宋体" w:cs="Times New Roman"/>
                <w:bCs w:val="0"/>
                <w:color w:val="auto"/>
                <w:kern w:val="2"/>
                <w:sz w:val="21"/>
                <w:szCs w:val="21"/>
                <w:lang w:val="en-US" w:eastAsia="zh-CN" w:bidi="ar-SA"/>
              </w:rPr>
              <w:t>SO</w:t>
            </w:r>
            <w:r>
              <w:rPr>
                <w:rFonts w:hint="default" w:ascii="Times New Roman" w:hAnsi="Times New Roman" w:eastAsia="宋体" w:cs="Times New Roman"/>
                <w:bCs w:val="0"/>
                <w:color w:val="auto"/>
                <w:kern w:val="2"/>
                <w:sz w:val="21"/>
                <w:szCs w:val="21"/>
                <w:vertAlign w:val="subscript"/>
                <w:lang w:val="en-US" w:eastAsia="zh-CN" w:bidi="ar-SA"/>
              </w:rPr>
              <w:t>2</w:t>
            </w:r>
            <w:r>
              <w:rPr>
                <w:rFonts w:hint="eastAsia" w:ascii="Times New Roman" w:hAnsi="Times New Roman" w:eastAsia="宋体" w:cs="Times New Roman"/>
                <w:bCs w:val="0"/>
                <w:color w:val="auto"/>
                <w:kern w:val="2"/>
                <w:sz w:val="21"/>
                <w:szCs w:val="21"/>
                <w:vertAlign w:val="baseline"/>
                <w:lang w:val="en-US" w:eastAsia="zh-CN" w:bidi="ar-SA"/>
              </w:rPr>
              <w:t>（去除效率按照30%计），除湿后氢氧化钙收集暂存作为原料回用于生产，</w:t>
            </w:r>
            <w:r>
              <w:rPr>
                <w:rFonts w:hint="eastAsia" w:ascii="Times New Roman" w:hAnsi="Times New Roman" w:eastAsia="宋体" w:cs="Times New Roman"/>
                <w:b w:val="0"/>
                <w:bCs w:val="0"/>
                <w:color w:val="auto"/>
                <w:sz w:val="21"/>
                <w:szCs w:val="21"/>
                <w:lang w:val="en-US" w:eastAsia="zh-CN"/>
              </w:rPr>
              <w:t>则本项目</w:t>
            </w:r>
            <w:r>
              <w:rPr>
                <w:rFonts w:hint="default" w:ascii="Times New Roman" w:hAnsi="Times New Roman" w:eastAsia="宋体" w:cs="Times New Roman"/>
                <w:b w:val="0"/>
                <w:bCs w:val="0"/>
                <w:color w:val="auto"/>
                <w:sz w:val="21"/>
                <w:szCs w:val="21"/>
                <w:lang w:val="en-US" w:eastAsia="zh-CN"/>
              </w:rPr>
              <w:t>颗粒物</w:t>
            </w:r>
            <w:r>
              <w:rPr>
                <w:rFonts w:hint="eastAsia" w:ascii="Times New Roman" w:hAnsi="Times New Roman" w:eastAsia="宋体" w:cs="Times New Roman"/>
                <w:b w:val="0"/>
                <w:bCs w:val="0"/>
                <w:color w:val="auto"/>
                <w:sz w:val="21"/>
                <w:szCs w:val="21"/>
                <w:lang w:val="en-US" w:eastAsia="zh-CN"/>
              </w:rPr>
              <w:t>排放量为0.054t/a、排放速率0.007kg/h、排放浓度0.4mg/</w:t>
            </w:r>
            <w:r>
              <w:rPr>
                <w:color w:val="auto"/>
                <w:lang w:val="en-US" w:eastAsia="zh-CN"/>
              </w:rPr>
              <w:t>m</w:t>
            </w:r>
            <w:r>
              <w:rPr>
                <w:color w:val="auto"/>
                <w:vertAlign w:val="superscript"/>
                <w:lang w:val="en-US" w:eastAsia="zh-CN"/>
              </w:rPr>
              <w:t>3</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Cs w:val="0"/>
                <w:color w:val="auto"/>
                <w:kern w:val="2"/>
                <w:sz w:val="21"/>
                <w:szCs w:val="21"/>
                <w:lang w:val="en-US" w:eastAsia="zh-CN" w:bidi="ar-SA"/>
              </w:rPr>
              <w:t>SO</w:t>
            </w:r>
            <w:r>
              <w:rPr>
                <w:rFonts w:hint="default" w:ascii="Times New Roman" w:hAnsi="Times New Roman" w:eastAsia="宋体" w:cs="Times New Roman"/>
                <w:bCs w:val="0"/>
                <w:color w:val="auto"/>
                <w:kern w:val="2"/>
                <w:sz w:val="21"/>
                <w:szCs w:val="21"/>
                <w:vertAlign w:val="subscript"/>
                <w:lang w:val="en-US" w:eastAsia="zh-CN" w:bidi="ar-SA"/>
              </w:rPr>
              <w:t>2</w:t>
            </w:r>
            <w:r>
              <w:rPr>
                <w:rFonts w:hint="eastAsia" w:ascii="Times New Roman" w:hAnsi="Times New Roman" w:eastAsia="宋体" w:cs="Times New Roman"/>
                <w:bCs w:val="0"/>
                <w:color w:val="auto"/>
                <w:kern w:val="2"/>
                <w:sz w:val="21"/>
                <w:szCs w:val="21"/>
                <w:lang w:val="en-US" w:eastAsia="zh-CN" w:bidi="ar-SA"/>
              </w:rPr>
              <w:t>排放量为5.9024t/a排放速率0.745kg/h、排放浓度42.16mg/m</w:t>
            </w:r>
            <w:r>
              <w:rPr>
                <w:rFonts w:hint="eastAsia" w:ascii="Times New Roman" w:hAnsi="Times New Roman" w:eastAsia="宋体" w:cs="Times New Roman"/>
                <w:bCs w:val="0"/>
                <w:color w:val="auto"/>
                <w:kern w:val="2"/>
                <w:sz w:val="21"/>
                <w:szCs w:val="21"/>
                <w:vertAlign w:val="superscript"/>
                <w:lang w:val="en-US" w:eastAsia="zh-CN" w:bidi="ar-SA"/>
              </w:rPr>
              <w:t>3</w:t>
            </w:r>
            <w:r>
              <w:rPr>
                <w:rFonts w:hint="eastAsia" w:ascii="Times New Roman" w:hAnsi="Times New Roman" w:eastAsia="宋体" w:cs="Times New Roman"/>
                <w:bCs w:val="0"/>
                <w:color w:val="auto"/>
                <w:kern w:val="2"/>
                <w:sz w:val="21"/>
                <w:szCs w:val="21"/>
                <w:lang w:val="en-US" w:eastAsia="zh-CN" w:bidi="ar-SA"/>
              </w:rPr>
              <w:t>；</w:t>
            </w:r>
            <w:r>
              <w:rPr>
                <w:rFonts w:hint="default" w:ascii="Times New Roman" w:hAnsi="Times New Roman" w:eastAsia="宋体" w:cs="Times New Roman"/>
                <w:b w:val="0"/>
                <w:bCs w:val="0"/>
                <w:color w:val="auto"/>
                <w:sz w:val="21"/>
                <w:szCs w:val="21"/>
                <w:lang w:val="en-US" w:eastAsia="zh-CN"/>
              </w:rPr>
              <w:t>氮氧化物</w:t>
            </w:r>
            <w:r>
              <w:rPr>
                <w:rFonts w:hint="eastAsia" w:ascii="Times New Roman" w:hAnsi="Times New Roman" w:eastAsia="宋体" w:cs="Times New Roman"/>
                <w:b w:val="0"/>
                <w:bCs w:val="0"/>
                <w:color w:val="auto"/>
                <w:sz w:val="21"/>
                <w:szCs w:val="21"/>
                <w:lang w:val="en-US" w:eastAsia="zh-CN"/>
              </w:rPr>
              <w:t>排放量为22.995t/a、排放速率2.903kg/h、排放浓度164.23mg/</w:t>
            </w:r>
            <w:r>
              <w:rPr>
                <w:color w:val="auto"/>
                <w:lang w:val="en-US" w:eastAsia="zh-CN"/>
              </w:rPr>
              <w:t>m</w:t>
            </w:r>
            <w:r>
              <w:rPr>
                <w:color w:val="auto"/>
                <w:vertAlign w:val="superscript"/>
                <w:lang w:val="en-US" w:eastAsia="zh-CN"/>
              </w:rPr>
              <w:t>3</w:t>
            </w:r>
            <w:r>
              <w:rPr>
                <w:rFonts w:hint="eastAsia" w:ascii="Times New Roman" w:hAnsi="Times New Roman" w:eastAsia="宋体" w:cs="Times New Roman"/>
                <w:b w:val="0"/>
                <w:bCs w:val="0"/>
                <w:color w:val="auto"/>
                <w:sz w:val="21"/>
                <w:szCs w:val="21"/>
                <w:lang w:val="en-US" w:eastAsia="zh-CN"/>
              </w:rPr>
              <w:t>，废气排放量为</w:t>
            </w:r>
            <w:r>
              <w:rPr>
                <w:rFonts w:hint="eastAsia"/>
                <w:color w:val="auto"/>
                <w:lang w:val="en-US" w:eastAsia="zh-CN"/>
              </w:rPr>
              <w:t>17676.8</w:t>
            </w:r>
            <w:r>
              <w:rPr>
                <w:color w:val="auto"/>
                <w:lang w:val="en-US" w:eastAsia="zh-CN"/>
              </w:rPr>
              <w:t>m</w:t>
            </w:r>
            <w:r>
              <w:rPr>
                <w:color w:val="auto"/>
                <w:vertAlign w:val="superscript"/>
                <w:lang w:val="en-US" w:eastAsia="zh-CN"/>
              </w:rPr>
              <w:t>3</w:t>
            </w:r>
            <w:r>
              <w:rPr>
                <w:color w:val="auto"/>
                <w:lang w:val="en-US" w:eastAsia="zh-CN"/>
              </w:rPr>
              <w:t>/h。</w:t>
            </w:r>
          </w:p>
          <w:p w14:paraId="57052C43">
            <w:pPr>
              <w:pStyle w:val="86"/>
              <w:rPr>
                <w:color w:val="auto"/>
              </w:rPr>
            </w:pPr>
            <w:r>
              <w:rPr>
                <w:rFonts w:hint="eastAsia"/>
                <w:color w:val="auto"/>
              </w:rPr>
              <w:t>表4-</w:t>
            </w:r>
            <w:r>
              <w:rPr>
                <w:color w:val="auto"/>
              </w:rPr>
              <w:t>5</w:t>
            </w:r>
            <w:r>
              <w:rPr>
                <w:rFonts w:hint="eastAsia"/>
                <w:color w:val="auto"/>
              </w:rPr>
              <w:t>天然气</w:t>
            </w:r>
            <w:r>
              <w:rPr>
                <w:rFonts w:hint="eastAsia"/>
                <w:color w:val="auto"/>
                <w:lang w:val="en-US" w:eastAsia="zh-CN"/>
              </w:rPr>
              <w:t>熔窑</w:t>
            </w:r>
            <w:r>
              <w:rPr>
                <w:rFonts w:hint="eastAsia"/>
                <w:color w:val="auto"/>
              </w:rPr>
              <w:t>烟气核算</w:t>
            </w:r>
          </w:p>
          <w:tbl>
            <w:tblPr>
              <w:tblStyle w:val="35"/>
              <w:tblW w:w="7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927"/>
              <w:gridCol w:w="1076"/>
              <w:gridCol w:w="1195"/>
              <w:gridCol w:w="809"/>
              <w:gridCol w:w="959"/>
              <w:gridCol w:w="973"/>
              <w:gridCol w:w="749"/>
              <w:gridCol w:w="906"/>
            </w:tblGrid>
            <w:tr w14:paraId="7E59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dxa"/>
                  <w:gridSpan w:val="2"/>
                  <w:noWrap w:val="0"/>
                  <w:vAlign w:val="center"/>
                </w:tcPr>
                <w:p w14:paraId="4EE486A5">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废气污染物</w:t>
                  </w:r>
                </w:p>
              </w:tc>
              <w:tc>
                <w:tcPr>
                  <w:tcW w:w="1080" w:type="dxa"/>
                  <w:noWrap w:val="0"/>
                  <w:vAlign w:val="center"/>
                </w:tcPr>
                <w:p w14:paraId="0D0F3EE6">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原料名称</w:t>
                  </w:r>
                </w:p>
              </w:tc>
              <w:tc>
                <w:tcPr>
                  <w:tcW w:w="1200" w:type="dxa"/>
                  <w:noWrap w:val="0"/>
                  <w:vAlign w:val="center"/>
                </w:tcPr>
                <w:p w14:paraId="76304EEF">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单位</w:t>
                  </w:r>
                </w:p>
              </w:tc>
              <w:tc>
                <w:tcPr>
                  <w:tcW w:w="810" w:type="dxa"/>
                  <w:noWrap w:val="0"/>
                  <w:vAlign w:val="center"/>
                </w:tcPr>
                <w:p w14:paraId="4069DC48">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产污系数</w:t>
                  </w:r>
                </w:p>
              </w:tc>
              <w:tc>
                <w:tcPr>
                  <w:tcW w:w="960" w:type="dxa"/>
                  <w:noWrap w:val="0"/>
                  <w:vAlign w:val="center"/>
                </w:tcPr>
                <w:p w14:paraId="35977A7E">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产生量</w:t>
                  </w:r>
                </w:p>
              </w:tc>
              <w:tc>
                <w:tcPr>
                  <w:tcW w:w="975" w:type="dxa"/>
                  <w:noWrap w:val="0"/>
                  <w:vAlign w:val="center"/>
                </w:tcPr>
                <w:p w14:paraId="7CF7E48E">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措施</w:t>
                  </w:r>
                </w:p>
              </w:tc>
              <w:tc>
                <w:tcPr>
                  <w:tcW w:w="750" w:type="dxa"/>
                  <w:noWrap w:val="0"/>
                  <w:vAlign w:val="center"/>
                </w:tcPr>
                <w:p w14:paraId="2A0F3171">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去除效率</w:t>
                  </w:r>
                </w:p>
              </w:tc>
              <w:tc>
                <w:tcPr>
                  <w:tcW w:w="906" w:type="dxa"/>
                  <w:noWrap w:val="0"/>
                  <w:vAlign w:val="center"/>
                </w:tcPr>
                <w:p w14:paraId="4BC08F2F">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排放量</w:t>
                  </w:r>
                </w:p>
              </w:tc>
            </w:tr>
            <w:tr w14:paraId="7846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79" w:type="dxa"/>
                  <w:vMerge w:val="restart"/>
                  <w:noWrap w:val="0"/>
                  <w:vAlign w:val="center"/>
                </w:tcPr>
                <w:p w14:paraId="3FD81FEF">
                  <w:pPr>
                    <w:pStyle w:val="92"/>
                    <w:spacing w:line="240" w:lineRule="auto"/>
                    <w:rPr>
                      <w:rFonts w:ascii="Times New Roman"/>
                      <w:color w:val="auto"/>
                      <w:sz w:val="18"/>
                      <w:szCs w:val="18"/>
                      <w:lang w:val="en-US" w:eastAsia="zh-CN"/>
                    </w:rPr>
                  </w:pPr>
                  <w:r>
                    <w:rPr>
                      <w:rFonts w:hint="default" w:ascii="Times New Roman" w:hAnsi="Times New Roman" w:eastAsia="宋体" w:cs="Times New Roman"/>
                      <w:b w:val="0"/>
                      <w:bCs w:val="0"/>
                      <w:color w:val="auto"/>
                      <w:sz w:val="18"/>
                      <w:szCs w:val="18"/>
                    </w:rPr>
                    <w:t>燃天然气池窑</w:t>
                  </w:r>
                </w:p>
              </w:tc>
              <w:tc>
                <w:tcPr>
                  <w:tcW w:w="930" w:type="dxa"/>
                  <w:noWrap w:val="0"/>
                  <w:vAlign w:val="center"/>
                </w:tcPr>
                <w:p w14:paraId="2F113976">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工业废气量</w:t>
                  </w:r>
                </w:p>
              </w:tc>
              <w:tc>
                <w:tcPr>
                  <w:tcW w:w="1080" w:type="dxa"/>
                  <w:vMerge w:val="restart"/>
                  <w:noWrap w:val="0"/>
                  <w:vAlign w:val="center"/>
                </w:tcPr>
                <w:p w14:paraId="46BB5AEE">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天然气</w:t>
                  </w:r>
                </w:p>
              </w:tc>
              <w:tc>
                <w:tcPr>
                  <w:tcW w:w="1200" w:type="dxa"/>
                  <w:noWrap w:val="0"/>
                  <w:vAlign w:val="center"/>
                </w:tcPr>
                <w:p w14:paraId="3473C3AC">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标立方米/吨-产品</w:t>
                  </w:r>
                </w:p>
              </w:tc>
              <w:tc>
                <w:tcPr>
                  <w:tcW w:w="810" w:type="dxa"/>
                  <w:noWrap w:val="0"/>
                  <w:vAlign w:val="center"/>
                </w:tcPr>
                <w:p w14:paraId="151C2073">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3500</w:t>
                  </w:r>
                </w:p>
              </w:tc>
              <w:tc>
                <w:tcPr>
                  <w:tcW w:w="960" w:type="dxa"/>
                  <w:noWrap w:val="0"/>
                  <w:vAlign w:val="center"/>
                </w:tcPr>
                <w:p w14:paraId="7B56DDED">
                  <w:pPr>
                    <w:pStyle w:val="92"/>
                    <w:spacing w:line="240" w:lineRule="auto"/>
                    <w:rPr>
                      <w:rFonts w:hint="eastAsia" w:ascii="Times New Roman"/>
                      <w:color w:val="auto"/>
                      <w:sz w:val="18"/>
                      <w:szCs w:val="18"/>
                      <w:lang w:val="en-US" w:eastAsia="zh-CN"/>
                    </w:rPr>
                  </w:pPr>
                  <w:r>
                    <w:rPr>
                      <w:rFonts w:hint="eastAsia" w:ascii="Times New Roman"/>
                      <w:color w:val="auto"/>
                      <w:sz w:val="18"/>
                      <w:szCs w:val="18"/>
                      <w:lang w:val="en-US" w:eastAsia="zh-CN"/>
                    </w:rPr>
                    <w:t>14000万m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c>
                <w:tcPr>
                  <w:tcW w:w="975" w:type="dxa"/>
                  <w:vMerge w:val="restart"/>
                  <w:noWrap w:val="0"/>
                  <w:vAlign w:val="center"/>
                </w:tcPr>
                <w:p w14:paraId="6C0A7EB6">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密闭收集</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bCs w:val="0"/>
                      <w:color w:val="auto"/>
                      <w:kern w:val="2"/>
                      <w:sz w:val="18"/>
                      <w:szCs w:val="18"/>
                      <w:lang w:val="en-US" w:eastAsia="zh-CN" w:bidi="ar-SA"/>
                    </w:rPr>
                    <w:t>陶瓷纤维脱硝除尘一体烟气净化系统（调质脱硫塔+陶瓷滤筒脱硝除尘）</w:t>
                  </w:r>
                </w:p>
              </w:tc>
              <w:tc>
                <w:tcPr>
                  <w:tcW w:w="750" w:type="dxa"/>
                  <w:noWrap w:val="0"/>
                  <w:vAlign w:val="center"/>
                </w:tcPr>
                <w:p w14:paraId="6E6C6B39">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w:t>
                  </w:r>
                </w:p>
              </w:tc>
              <w:tc>
                <w:tcPr>
                  <w:tcW w:w="906" w:type="dxa"/>
                  <w:noWrap w:val="0"/>
                  <w:vAlign w:val="center"/>
                </w:tcPr>
                <w:p w14:paraId="75DCBFF4">
                  <w:pPr>
                    <w:pStyle w:val="92"/>
                    <w:spacing w:line="240" w:lineRule="auto"/>
                    <w:rPr>
                      <w:rFonts w:hint="eastAsia" w:ascii="Times New Roman"/>
                      <w:color w:val="auto"/>
                      <w:sz w:val="18"/>
                      <w:szCs w:val="18"/>
                      <w:lang w:val="en-US" w:eastAsia="zh-CN"/>
                    </w:rPr>
                  </w:pPr>
                  <w:r>
                    <w:rPr>
                      <w:rFonts w:hint="eastAsia" w:ascii="Times New Roman"/>
                      <w:color w:val="auto"/>
                      <w:sz w:val="18"/>
                      <w:szCs w:val="18"/>
                      <w:lang w:val="en-US" w:eastAsia="zh-CN"/>
                    </w:rPr>
                    <w:t>14000万m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r>
            <w:tr w14:paraId="63C8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9" w:type="dxa"/>
                  <w:vMerge w:val="continue"/>
                  <w:noWrap w:val="0"/>
                  <w:vAlign w:val="center"/>
                </w:tcPr>
                <w:p w14:paraId="6CA92EF3">
                  <w:pPr>
                    <w:pStyle w:val="92"/>
                    <w:spacing w:line="240" w:lineRule="auto"/>
                    <w:rPr>
                      <w:rFonts w:ascii="Times New Roman"/>
                      <w:color w:val="auto"/>
                      <w:sz w:val="18"/>
                      <w:szCs w:val="18"/>
                      <w:lang w:val="en-US" w:eastAsia="zh-CN"/>
                    </w:rPr>
                  </w:pPr>
                </w:p>
              </w:tc>
              <w:tc>
                <w:tcPr>
                  <w:tcW w:w="930" w:type="dxa"/>
                  <w:noWrap w:val="0"/>
                  <w:vAlign w:val="center"/>
                </w:tcPr>
                <w:p w14:paraId="67BAD5D3">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SO</w:t>
                  </w:r>
                  <w:r>
                    <w:rPr>
                      <w:rFonts w:ascii="Times New Roman"/>
                      <w:color w:val="auto"/>
                      <w:sz w:val="18"/>
                      <w:szCs w:val="18"/>
                      <w:vertAlign w:val="subscript"/>
                      <w:lang w:val="en-US" w:eastAsia="zh-CN"/>
                    </w:rPr>
                    <w:t>2</w:t>
                  </w:r>
                </w:p>
              </w:tc>
              <w:tc>
                <w:tcPr>
                  <w:tcW w:w="1080" w:type="dxa"/>
                  <w:vMerge w:val="continue"/>
                  <w:noWrap w:val="0"/>
                  <w:vAlign w:val="center"/>
                </w:tcPr>
                <w:p w14:paraId="09DD3A43">
                  <w:pPr>
                    <w:pStyle w:val="92"/>
                    <w:spacing w:line="240" w:lineRule="auto"/>
                    <w:rPr>
                      <w:rFonts w:ascii="Times New Roman"/>
                      <w:color w:val="auto"/>
                      <w:sz w:val="18"/>
                      <w:szCs w:val="18"/>
                      <w:lang w:val="en-US" w:eastAsia="zh-CN"/>
                    </w:rPr>
                  </w:pPr>
                </w:p>
              </w:tc>
              <w:tc>
                <w:tcPr>
                  <w:tcW w:w="1200" w:type="dxa"/>
                  <w:noWrap w:val="0"/>
                  <w:vAlign w:val="center"/>
                </w:tcPr>
                <w:p w14:paraId="2F3DD551">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千克/吨-产品</w:t>
                  </w:r>
                </w:p>
              </w:tc>
              <w:tc>
                <w:tcPr>
                  <w:tcW w:w="810" w:type="dxa"/>
                  <w:noWrap w:val="0"/>
                  <w:vAlign w:val="center"/>
                </w:tcPr>
                <w:p w14:paraId="73B58708">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0.231</w:t>
                  </w:r>
                </w:p>
              </w:tc>
              <w:tc>
                <w:tcPr>
                  <w:tcW w:w="960" w:type="dxa"/>
                  <w:noWrap w:val="0"/>
                  <w:vAlign w:val="center"/>
                </w:tcPr>
                <w:p w14:paraId="0E91D0E8">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8.432</w:t>
                  </w:r>
                  <w:r>
                    <w:rPr>
                      <w:rFonts w:ascii="Times New Roman"/>
                      <w:color w:val="auto"/>
                      <w:sz w:val="18"/>
                      <w:szCs w:val="18"/>
                      <w:lang w:val="en-US" w:eastAsia="zh-CN"/>
                    </w:rPr>
                    <w:t>t/a</w:t>
                  </w:r>
                </w:p>
              </w:tc>
              <w:tc>
                <w:tcPr>
                  <w:tcW w:w="975" w:type="dxa"/>
                  <w:vMerge w:val="continue"/>
                  <w:noWrap w:val="0"/>
                  <w:vAlign w:val="center"/>
                </w:tcPr>
                <w:p w14:paraId="1F89F9C1">
                  <w:pPr>
                    <w:pStyle w:val="92"/>
                    <w:spacing w:line="240" w:lineRule="auto"/>
                    <w:rPr>
                      <w:rFonts w:ascii="Times New Roman"/>
                      <w:color w:val="auto"/>
                      <w:sz w:val="18"/>
                      <w:szCs w:val="18"/>
                      <w:lang w:val="en-US" w:eastAsia="zh-CN"/>
                    </w:rPr>
                  </w:pPr>
                </w:p>
              </w:tc>
              <w:tc>
                <w:tcPr>
                  <w:tcW w:w="750" w:type="dxa"/>
                  <w:noWrap w:val="0"/>
                  <w:vAlign w:val="center"/>
                </w:tcPr>
                <w:p w14:paraId="55C6270A">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30%</w:t>
                  </w:r>
                </w:p>
              </w:tc>
              <w:tc>
                <w:tcPr>
                  <w:tcW w:w="906" w:type="dxa"/>
                  <w:noWrap w:val="0"/>
                  <w:vAlign w:val="center"/>
                </w:tcPr>
                <w:p w14:paraId="606A2BEF">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5.9024</w:t>
                  </w:r>
                  <w:r>
                    <w:rPr>
                      <w:rFonts w:ascii="Times New Roman"/>
                      <w:color w:val="auto"/>
                      <w:sz w:val="18"/>
                      <w:szCs w:val="18"/>
                      <w:lang w:val="en-US" w:eastAsia="zh-CN"/>
                    </w:rPr>
                    <w:t>t/a</w:t>
                  </w:r>
                </w:p>
              </w:tc>
            </w:tr>
            <w:tr w14:paraId="337A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79" w:type="dxa"/>
                  <w:vMerge w:val="continue"/>
                  <w:noWrap w:val="0"/>
                  <w:vAlign w:val="center"/>
                </w:tcPr>
                <w:p w14:paraId="5A55C91C">
                  <w:pPr>
                    <w:pStyle w:val="92"/>
                    <w:spacing w:line="240" w:lineRule="auto"/>
                    <w:rPr>
                      <w:rFonts w:ascii="Times New Roman"/>
                      <w:color w:val="auto"/>
                      <w:sz w:val="18"/>
                      <w:szCs w:val="18"/>
                      <w:lang w:val="en-US" w:eastAsia="zh-CN"/>
                    </w:rPr>
                  </w:pPr>
                </w:p>
              </w:tc>
              <w:tc>
                <w:tcPr>
                  <w:tcW w:w="930" w:type="dxa"/>
                  <w:noWrap w:val="0"/>
                  <w:vAlign w:val="center"/>
                </w:tcPr>
                <w:p w14:paraId="774283EA">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NOx</w:t>
                  </w:r>
                </w:p>
              </w:tc>
              <w:tc>
                <w:tcPr>
                  <w:tcW w:w="1080" w:type="dxa"/>
                  <w:vMerge w:val="continue"/>
                  <w:noWrap w:val="0"/>
                  <w:vAlign w:val="center"/>
                </w:tcPr>
                <w:p w14:paraId="285223BE">
                  <w:pPr>
                    <w:pStyle w:val="92"/>
                    <w:spacing w:line="240" w:lineRule="auto"/>
                    <w:rPr>
                      <w:rFonts w:ascii="Times New Roman"/>
                      <w:color w:val="auto"/>
                      <w:sz w:val="18"/>
                      <w:szCs w:val="18"/>
                      <w:lang w:val="en-US" w:eastAsia="zh-CN"/>
                    </w:rPr>
                  </w:pPr>
                </w:p>
              </w:tc>
              <w:tc>
                <w:tcPr>
                  <w:tcW w:w="1200" w:type="dxa"/>
                  <w:noWrap w:val="0"/>
                  <w:vAlign w:val="center"/>
                </w:tcPr>
                <w:p w14:paraId="00D575B1">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千克/吨-产品</w:t>
                  </w:r>
                </w:p>
              </w:tc>
              <w:tc>
                <w:tcPr>
                  <w:tcW w:w="810" w:type="dxa"/>
                  <w:noWrap w:val="0"/>
                  <w:vAlign w:val="center"/>
                </w:tcPr>
                <w:p w14:paraId="773F2C83">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4.2</w:t>
                  </w:r>
                </w:p>
              </w:tc>
              <w:tc>
                <w:tcPr>
                  <w:tcW w:w="960" w:type="dxa"/>
                  <w:noWrap w:val="0"/>
                  <w:vAlign w:val="center"/>
                </w:tcPr>
                <w:p w14:paraId="2D40C692">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153.3</w:t>
                  </w:r>
                  <w:r>
                    <w:rPr>
                      <w:rFonts w:ascii="Times New Roman"/>
                      <w:color w:val="auto"/>
                      <w:sz w:val="18"/>
                      <w:szCs w:val="18"/>
                      <w:lang w:val="en-US" w:eastAsia="zh-CN"/>
                    </w:rPr>
                    <w:t>t/a</w:t>
                  </w:r>
                </w:p>
              </w:tc>
              <w:tc>
                <w:tcPr>
                  <w:tcW w:w="975" w:type="dxa"/>
                  <w:vMerge w:val="continue"/>
                  <w:noWrap w:val="0"/>
                  <w:vAlign w:val="center"/>
                </w:tcPr>
                <w:p w14:paraId="6B365DF1">
                  <w:pPr>
                    <w:pStyle w:val="92"/>
                    <w:spacing w:line="240" w:lineRule="auto"/>
                    <w:rPr>
                      <w:rFonts w:ascii="Times New Roman"/>
                      <w:color w:val="auto"/>
                      <w:sz w:val="18"/>
                      <w:szCs w:val="18"/>
                      <w:lang w:val="en-US" w:eastAsia="zh-CN"/>
                    </w:rPr>
                  </w:pPr>
                </w:p>
              </w:tc>
              <w:tc>
                <w:tcPr>
                  <w:tcW w:w="750" w:type="dxa"/>
                  <w:noWrap w:val="0"/>
                  <w:vAlign w:val="center"/>
                </w:tcPr>
                <w:p w14:paraId="5014F2EF">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85%</w:t>
                  </w:r>
                </w:p>
              </w:tc>
              <w:tc>
                <w:tcPr>
                  <w:tcW w:w="906" w:type="dxa"/>
                  <w:noWrap w:val="0"/>
                  <w:vAlign w:val="center"/>
                </w:tcPr>
                <w:p w14:paraId="3513766B">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22.995</w:t>
                  </w:r>
                  <w:r>
                    <w:rPr>
                      <w:rFonts w:ascii="Times New Roman"/>
                      <w:color w:val="auto"/>
                      <w:sz w:val="18"/>
                      <w:szCs w:val="18"/>
                      <w:lang w:val="en-US" w:eastAsia="zh-CN"/>
                    </w:rPr>
                    <w:t>t/a</w:t>
                  </w:r>
                </w:p>
              </w:tc>
            </w:tr>
            <w:tr w14:paraId="5E8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9" w:type="dxa"/>
                  <w:vMerge w:val="continue"/>
                  <w:noWrap w:val="0"/>
                  <w:vAlign w:val="center"/>
                </w:tcPr>
                <w:p w14:paraId="26D5874B">
                  <w:pPr>
                    <w:pStyle w:val="92"/>
                    <w:spacing w:line="240" w:lineRule="auto"/>
                    <w:rPr>
                      <w:rFonts w:ascii="Times New Roman"/>
                      <w:color w:val="auto"/>
                      <w:sz w:val="18"/>
                      <w:szCs w:val="18"/>
                      <w:lang w:val="en-US" w:eastAsia="zh-CN"/>
                    </w:rPr>
                  </w:pPr>
                </w:p>
              </w:tc>
              <w:tc>
                <w:tcPr>
                  <w:tcW w:w="930" w:type="dxa"/>
                  <w:noWrap w:val="0"/>
                  <w:vAlign w:val="center"/>
                </w:tcPr>
                <w:p w14:paraId="7769F252">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烟尘</w:t>
                  </w:r>
                </w:p>
              </w:tc>
              <w:tc>
                <w:tcPr>
                  <w:tcW w:w="1080" w:type="dxa"/>
                  <w:vMerge w:val="continue"/>
                  <w:noWrap w:val="0"/>
                  <w:vAlign w:val="center"/>
                </w:tcPr>
                <w:p w14:paraId="6E27F107">
                  <w:pPr>
                    <w:pStyle w:val="92"/>
                    <w:spacing w:line="240" w:lineRule="auto"/>
                    <w:rPr>
                      <w:rFonts w:ascii="Times New Roman"/>
                      <w:color w:val="auto"/>
                      <w:sz w:val="18"/>
                      <w:szCs w:val="18"/>
                      <w:lang w:val="en-US" w:eastAsia="zh-CN"/>
                    </w:rPr>
                  </w:pPr>
                </w:p>
              </w:tc>
              <w:tc>
                <w:tcPr>
                  <w:tcW w:w="1200" w:type="dxa"/>
                  <w:noWrap w:val="0"/>
                  <w:vAlign w:val="center"/>
                </w:tcPr>
                <w:p w14:paraId="22DD431C">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千克/吨-产品</w:t>
                  </w:r>
                </w:p>
              </w:tc>
              <w:tc>
                <w:tcPr>
                  <w:tcW w:w="810" w:type="dxa"/>
                  <w:noWrap w:val="0"/>
                  <w:vAlign w:val="center"/>
                </w:tcPr>
                <w:p w14:paraId="4E6624DE">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0.148</w:t>
                  </w:r>
                </w:p>
              </w:tc>
              <w:tc>
                <w:tcPr>
                  <w:tcW w:w="960" w:type="dxa"/>
                  <w:noWrap w:val="0"/>
                  <w:vAlign w:val="center"/>
                </w:tcPr>
                <w:p w14:paraId="5B868257">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5.402</w:t>
                  </w:r>
                  <w:r>
                    <w:rPr>
                      <w:rFonts w:ascii="Times New Roman"/>
                      <w:color w:val="auto"/>
                      <w:sz w:val="18"/>
                      <w:szCs w:val="18"/>
                      <w:lang w:val="en-US" w:eastAsia="zh-CN"/>
                    </w:rPr>
                    <w:t xml:space="preserve"> t/a</w:t>
                  </w:r>
                </w:p>
              </w:tc>
              <w:tc>
                <w:tcPr>
                  <w:tcW w:w="975" w:type="dxa"/>
                  <w:vMerge w:val="continue"/>
                  <w:noWrap w:val="0"/>
                  <w:vAlign w:val="center"/>
                </w:tcPr>
                <w:p w14:paraId="3B76B862">
                  <w:pPr>
                    <w:pStyle w:val="92"/>
                    <w:spacing w:line="240" w:lineRule="auto"/>
                    <w:rPr>
                      <w:rFonts w:ascii="Times New Roman"/>
                      <w:color w:val="auto"/>
                      <w:sz w:val="18"/>
                      <w:szCs w:val="18"/>
                      <w:lang w:val="en-US" w:eastAsia="zh-CN"/>
                    </w:rPr>
                  </w:pPr>
                </w:p>
              </w:tc>
              <w:tc>
                <w:tcPr>
                  <w:tcW w:w="750" w:type="dxa"/>
                  <w:noWrap w:val="0"/>
                  <w:vAlign w:val="center"/>
                </w:tcPr>
                <w:p w14:paraId="5CBAE03C">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99%</w:t>
                  </w:r>
                </w:p>
              </w:tc>
              <w:tc>
                <w:tcPr>
                  <w:tcW w:w="906" w:type="dxa"/>
                  <w:noWrap w:val="0"/>
                  <w:vAlign w:val="center"/>
                </w:tcPr>
                <w:p w14:paraId="5EBC7139">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0.054</w:t>
                  </w:r>
                  <w:r>
                    <w:rPr>
                      <w:rFonts w:ascii="Times New Roman"/>
                      <w:color w:val="auto"/>
                      <w:sz w:val="18"/>
                      <w:szCs w:val="18"/>
                      <w:lang w:val="en-US" w:eastAsia="zh-CN"/>
                    </w:rPr>
                    <w:t>t/a</w:t>
                  </w:r>
                </w:p>
              </w:tc>
            </w:tr>
          </w:tbl>
          <w:p w14:paraId="50375EB4">
            <w:pPr>
              <w:pStyle w:val="84"/>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玻璃熔窑烟气经55m高排气筒排放（DA001），满足《玻璃工业大气污染物排放标准》(DB34/4295-2022)表1排放标准限值要求。</w:t>
            </w:r>
          </w:p>
          <w:bookmarkEnd w:id="18"/>
          <w:p w14:paraId="5CF71F8C">
            <w:pPr>
              <w:pStyle w:val="84"/>
              <w:ind w:firstLine="422"/>
              <w:rPr>
                <w:b/>
                <w:bCs w:val="0"/>
                <w:color w:val="auto"/>
                <w:lang w:val="en-US" w:eastAsia="zh-CN"/>
              </w:rPr>
            </w:pPr>
            <w:r>
              <w:rPr>
                <w:rFonts w:hint="eastAsia"/>
                <w:b/>
                <w:bCs w:val="0"/>
                <w:color w:val="auto"/>
                <w:lang w:val="en-US" w:eastAsia="zh-CN"/>
              </w:rPr>
              <w:t>（6）</w:t>
            </w:r>
            <w:r>
              <w:rPr>
                <w:rFonts w:hint="eastAsia"/>
                <w:b/>
                <w:bCs w:val="0"/>
                <w:color w:val="auto"/>
                <w:lang w:val="en-US" w:eastAsia="zh-CN"/>
              </w:rPr>
              <w:t>G5成型燃烧废气、G6烘口废气、G7抛光废气、G8退火废气</w:t>
            </w:r>
          </w:p>
          <w:p w14:paraId="29E46ED6">
            <w:pPr>
              <w:pStyle w:val="84"/>
              <w:rPr>
                <w:rFonts w:hint="eastAsia" w:ascii="Times New Roman" w:hAnsi="Times New Roman" w:cs="Times New Roman"/>
                <w:color w:val="auto"/>
                <w:sz w:val="21"/>
                <w:szCs w:val="21"/>
                <w:vertAlign w:val="baseline"/>
                <w:lang w:val="en-US" w:eastAsia="zh-CN"/>
              </w:rPr>
            </w:pPr>
            <w:bookmarkStart w:id="19" w:name="_Hlk14335735"/>
            <w:r>
              <w:rPr>
                <w:rFonts w:hint="default" w:ascii="Times New Roman" w:hAnsi="Times New Roman" w:eastAsia="宋体" w:cs="Times New Roman"/>
                <w:color w:val="auto"/>
                <w:lang w:val="en-US" w:eastAsia="zh-CN"/>
              </w:rPr>
              <w:t>本项目在成型、烘口、抛光、退火等工序均采用燃料燃烧提供热能，其中成型阶段采用液化石油气，烘口、抛光、退火等工序采用天然气，根据企业提供资料成型阶段液化石油气用量为</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0t/a，</w:t>
            </w:r>
            <w:r>
              <w:rPr>
                <w:rFonts w:hint="eastAsia" w:ascii="Times New Roman" w:hAnsi="Times New Roman" w:eastAsia="宋体" w:cs="Times New Roman"/>
                <w:color w:val="auto"/>
                <w:lang w:val="en-US" w:eastAsia="zh-CN"/>
              </w:rPr>
              <w:t>液化石油气气态密度为2.35kg/m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，则年用量为25531.91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lang w:val="en-US" w:eastAsia="zh-CN"/>
              </w:rPr>
              <w:t>烘口、抛光、退火等工序天然气用量为100m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/t-玻璃成品，则天然气年用量为365万m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，燃烧废气参照</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b w:val="0"/>
                <w:bCs w:val="0"/>
                <w:color w:val="auto"/>
                <w:sz w:val="21"/>
                <w:szCs w:val="21"/>
              </w:rPr>
              <w:t>33-37,431-434 机械行业系数手册</w:t>
            </w:r>
            <w:r>
              <w:rPr>
                <w:rFonts w:hint="default" w:ascii="Times New Roman" w:hAnsi="Times New Roman" w:eastAsia="宋体" w:cs="Times New Roman"/>
                <w:color w:val="auto"/>
                <w:sz w:val="21"/>
                <w:szCs w:val="21"/>
                <w:vertAlign w:val="baseline"/>
                <w:lang w:val="en-US" w:eastAsia="zh-CN"/>
              </w:rPr>
              <w:t>》中液化石油气工业炉窑、天然气工业炉窑系数手册核算污染物产生量，废气经车间内</w:t>
            </w:r>
            <w:r>
              <w:rPr>
                <w:rFonts w:hint="eastAsia" w:ascii="Times New Roman" w:hAnsi="Times New Roman" w:cs="Times New Roman"/>
                <w:color w:val="auto"/>
                <w:sz w:val="21"/>
                <w:szCs w:val="21"/>
                <w:vertAlign w:val="baseline"/>
                <w:lang w:val="en-US" w:eastAsia="zh-CN"/>
              </w:rPr>
              <w:t>无组织排放。</w:t>
            </w:r>
          </w:p>
          <w:p w14:paraId="454F5806">
            <w:pPr>
              <w:pStyle w:val="86"/>
              <w:rPr>
                <w:color w:val="auto"/>
              </w:rPr>
            </w:pPr>
            <w:r>
              <w:rPr>
                <w:rFonts w:hint="eastAsia"/>
                <w:color w:val="auto"/>
              </w:rPr>
              <w:t>表4-</w:t>
            </w:r>
            <w:r>
              <w:rPr>
                <w:rFonts w:hint="eastAsia"/>
                <w:color w:val="auto"/>
                <w:lang w:val="en-US" w:eastAsia="zh-CN"/>
              </w:rPr>
              <w:t>6  燃烧废气</w:t>
            </w:r>
            <w:r>
              <w:rPr>
                <w:rFonts w:hint="eastAsia"/>
                <w:color w:val="auto"/>
              </w:rPr>
              <w:t>核算</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874"/>
              <w:gridCol w:w="960"/>
              <w:gridCol w:w="1290"/>
              <w:gridCol w:w="960"/>
              <w:gridCol w:w="1395"/>
              <w:gridCol w:w="749"/>
              <w:gridCol w:w="1360"/>
            </w:tblGrid>
            <w:tr w14:paraId="7BAB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4" w:type="pct"/>
                  <w:gridSpan w:val="2"/>
                  <w:noWrap w:val="0"/>
                  <w:vAlign w:val="center"/>
                </w:tcPr>
                <w:p w14:paraId="45937D91">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废气污染物</w:t>
                  </w:r>
                </w:p>
              </w:tc>
              <w:tc>
                <w:tcPr>
                  <w:tcW w:w="601" w:type="pct"/>
                  <w:noWrap w:val="0"/>
                  <w:vAlign w:val="center"/>
                </w:tcPr>
                <w:p w14:paraId="64986CE1">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原料名称</w:t>
                  </w:r>
                </w:p>
              </w:tc>
              <w:tc>
                <w:tcPr>
                  <w:tcW w:w="807" w:type="pct"/>
                  <w:noWrap w:val="0"/>
                  <w:vAlign w:val="center"/>
                </w:tcPr>
                <w:p w14:paraId="3C449BF1">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单位</w:t>
                  </w:r>
                </w:p>
              </w:tc>
              <w:tc>
                <w:tcPr>
                  <w:tcW w:w="601" w:type="pct"/>
                  <w:noWrap w:val="0"/>
                  <w:vAlign w:val="center"/>
                </w:tcPr>
                <w:p w14:paraId="68B3B815">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产污系数</w:t>
                  </w:r>
                </w:p>
              </w:tc>
              <w:tc>
                <w:tcPr>
                  <w:tcW w:w="873" w:type="pct"/>
                  <w:noWrap w:val="0"/>
                  <w:vAlign w:val="center"/>
                </w:tcPr>
                <w:p w14:paraId="21C467EB">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产生量</w:t>
                  </w:r>
                </w:p>
              </w:tc>
              <w:tc>
                <w:tcPr>
                  <w:tcW w:w="469" w:type="pct"/>
                  <w:noWrap w:val="0"/>
                  <w:vAlign w:val="center"/>
                </w:tcPr>
                <w:p w14:paraId="5BD74855">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措施</w:t>
                  </w:r>
                </w:p>
              </w:tc>
              <w:tc>
                <w:tcPr>
                  <w:tcW w:w="851" w:type="pct"/>
                  <w:noWrap w:val="0"/>
                  <w:vAlign w:val="center"/>
                </w:tcPr>
                <w:p w14:paraId="3EC18D6C">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排放量</w:t>
                  </w:r>
                </w:p>
              </w:tc>
            </w:tr>
            <w:tr w14:paraId="3B91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47" w:type="pct"/>
                  <w:vMerge w:val="restart"/>
                  <w:noWrap w:val="0"/>
                  <w:vAlign w:val="center"/>
                </w:tcPr>
                <w:p w14:paraId="2EBD0639">
                  <w:pPr>
                    <w:pStyle w:val="92"/>
                    <w:spacing w:line="240" w:lineRule="auto"/>
                    <w:rPr>
                      <w:rFonts w:ascii="Times New Roman"/>
                      <w:color w:val="auto"/>
                      <w:sz w:val="18"/>
                      <w:szCs w:val="18"/>
                      <w:lang w:val="en-US" w:eastAsia="zh-CN"/>
                    </w:rPr>
                  </w:pPr>
                  <w:r>
                    <w:rPr>
                      <w:rFonts w:hint="eastAsia"/>
                      <w:color w:val="auto"/>
                      <w:sz w:val="18"/>
                      <w:szCs w:val="18"/>
                    </w:rPr>
                    <w:t>液化石油气工业炉窑</w:t>
                  </w:r>
                </w:p>
              </w:tc>
              <w:tc>
                <w:tcPr>
                  <w:tcW w:w="546" w:type="pct"/>
                  <w:noWrap w:val="0"/>
                  <w:vAlign w:val="center"/>
                </w:tcPr>
                <w:p w14:paraId="74382A65">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工业废气量</w:t>
                  </w:r>
                </w:p>
              </w:tc>
              <w:tc>
                <w:tcPr>
                  <w:tcW w:w="601" w:type="pct"/>
                  <w:vMerge w:val="restart"/>
                  <w:noWrap w:val="0"/>
                  <w:vAlign w:val="center"/>
                </w:tcPr>
                <w:p w14:paraId="2746FD92">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液化石油气</w:t>
                  </w:r>
                </w:p>
              </w:tc>
              <w:tc>
                <w:tcPr>
                  <w:tcW w:w="807" w:type="pct"/>
                  <w:noWrap w:val="0"/>
                  <w:vAlign w:val="center"/>
                </w:tcPr>
                <w:p w14:paraId="2D75A899">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立方米/</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608251E3">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33.4</w:t>
                  </w:r>
                </w:p>
              </w:tc>
              <w:tc>
                <w:tcPr>
                  <w:tcW w:w="873" w:type="pct"/>
                  <w:noWrap w:val="0"/>
                  <w:vAlign w:val="center"/>
                </w:tcPr>
                <w:p w14:paraId="20912C63">
                  <w:pPr>
                    <w:pStyle w:val="92"/>
                    <w:spacing w:line="240" w:lineRule="auto"/>
                    <w:rPr>
                      <w:rFonts w:hint="eastAsia" w:ascii="Times New Roman"/>
                      <w:color w:val="auto"/>
                      <w:sz w:val="18"/>
                      <w:szCs w:val="18"/>
                      <w:lang w:val="en-US" w:eastAsia="zh-CN"/>
                    </w:rPr>
                  </w:pPr>
                  <w:r>
                    <w:rPr>
                      <w:rFonts w:hint="eastAsia" w:ascii="Times New Roman"/>
                      <w:color w:val="auto"/>
                      <w:sz w:val="18"/>
                      <w:szCs w:val="18"/>
                      <w:lang w:val="en-US" w:eastAsia="zh-CN"/>
                    </w:rPr>
                    <w:t>85.277万m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c>
                <w:tcPr>
                  <w:tcW w:w="469" w:type="pct"/>
                  <w:vMerge w:val="restart"/>
                  <w:noWrap w:val="0"/>
                  <w:vAlign w:val="center"/>
                </w:tcPr>
                <w:p w14:paraId="6F12636D">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无组织排放</w:t>
                  </w:r>
                </w:p>
              </w:tc>
              <w:tc>
                <w:tcPr>
                  <w:tcW w:w="851" w:type="pct"/>
                  <w:noWrap w:val="0"/>
                  <w:vAlign w:val="center"/>
                </w:tcPr>
                <w:p w14:paraId="00EE8131">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85.277万m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r>
            <w:tr w14:paraId="7382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noWrap w:val="0"/>
                  <w:vAlign w:val="center"/>
                </w:tcPr>
                <w:p w14:paraId="56C08E43">
                  <w:pPr>
                    <w:pStyle w:val="92"/>
                    <w:spacing w:line="240" w:lineRule="auto"/>
                    <w:rPr>
                      <w:rFonts w:ascii="Times New Roman"/>
                      <w:color w:val="auto"/>
                      <w:sz w:val="18"/>
                      <w:szCs w:val="18"/>
                      <w:lang w:val="en-US" w:eastAsia="zh-CN"/>
                    </w:rPr>
                  </w:pPr>
                </w:p>
              </w:tc>
              <w:tc>
                <w:tcPr>
                  <w:tcW w:w="546" w:type="pct"/>
                  <w:noWrap w:val="0"/>
                  <w:vAlign w:val="center"/>
                </w:tcPr>
                <w:p w14:paraId="0225C595">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SO</w:t>
                  </w:r>
                  <w:r>
                    <w:rPr>
                      <w:rFonts w:ascii="Times New Roman"/>
                      <w:color w:val="auto"/>
                      <w:sz w:val="18"/>
                      <w:szCs w:val="18"/>
                      <w:vertAlign w:val="subscript"/>
                      <w:lang w:val="en-US" w:eastAsia="zh-CN"/>
                    </w:rPr>
                    <w:t>2</w:t>
                  </w:r>
                </w:p>
              </w:tc>
              <w:tc>
                <w:tcPr>
                  <w:tcW w:w="601" w:type="pct"/>
                  <w:vMerge w:val="continue"/>
                  <w:noWrap w:val="0"/>
                  <w:vAlign w:val="center"/>
                </w:tcPr>
                <w:p w14:paraId="5600C255">
                  <w:pPr>
                    <w:pStyle w:val="92"/>
                    <w:spacing w:line="240" w:lineRule="auto"/>
                    <w:rPr>
                      <w:rFonts w:ascii="Times New Roman"/>
                      <w:color w:val="auto"/>
                      <w:sz w:val="18"/>
                      <w:szCs w:val="18"/>
                      <w:lang w:val="en-US" w:eastAsia="zh-CN"/>
                    </w:rPr>
                  </w:pPr>
                </w:p>
              </w:tc>
              <w:tc>
                <w:tcPr>
                  <w:tcW w:w="807" w:type="pct"/>
                  <w:noWrap w:val="0"/>
                  <w:vAlign w:val="center"/>
                </w:tcPr>
                <w:p w14:paraId="038B40AE">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20735D5E">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0.0002</w:t>
                  </w:r>
                </w:p>
              </w:tc>
              <w:tc>
                <w:tcPr>
                  <w:tcW w:w="873" w:type="pct"/>
                  <w:noWrap w:val="0"/>
                  <w:vAlign w:val="center"/>
                </w:tcPr>
                <w:p w14:paraId="7E0BFC4C">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5.106kg</w:t>
                  </w:r>
                  <w:r>
                    <w:rPr>
                      <w:rFonts w:ascii="Times New Roman"/>
                      <w:color w:val="auto"/>
                      <w:sz w:val="18"/>
                      <w:szCs w:val="18"/>
                      <w:lang w:val="en-US" w:eastAsia="zh-CN"/>
                    </w:rPr>
                    <w:t>/a</w:t>
                  </w:r>
                </w:p>
              </w:tc>
              <w:tc>
                <w:tcPr>
                  <w:tcW w:w="469" w:type="pct"/>
                  <w:vMerge w:val="continue"/>
                  <w:noWrap w:val="0"/>
                  <w:vAlign w:val="center"/>
                </w:tcPr>
                <w:p w14:paraId="116A10D4">
                  <w:pPr>
                    <w:pStyle w:val="92"/>
                    <w:spacing w:line="240" w:lineRule="auto"/>
                    <w:rPr>
                      <w:rFonts w:ascii="Times New Roman"/>
                      <w:color w:val="auto"/>
                      <w:sz w:val="18"/>
                      <w:szCs w:val="18"/>
                      <w:lang w:val="en-US" w:eastAsia="zh-CN"/>
                    </w:rPr>
                  </w:pPr>
                </w:p>
              </w:tc>
              <w:tc>
                <w:tcPr>
                  <w:tcW w:w="851" w:type="pct"/>
                  <w:noWrap w:val="0"/>
                  <w:vAlign w:val="center"/>
                </w:tcPr>
                <w:p w14:paraId="1FA66D61">
                  <w:pPr>
                    <w:pStyle w:val="92"/>
                    <w:spacing w:line="240" w:lineRule="auto"/>
                    <w:ind w:right="0" w:rightChars="0"/>
                    <w:rPr>
                      <w:rFonts w:hint="default" w:ascii="Times New Roman"/>
                      <w:color w:val="auto"/>
                      <w:sz w:val="18"/>
                      <w:szCs w:val="18"/>
                      <w:lang w:val="en-US" w:eastAsia="zh-CN"/>
                    </w:rPr>
                  </w:pPr>
                  <w:r>
                    <w:rPr>
                      <w:rFonts w:hint="eastAsia" w:ascii="Times New Roman"/>
                      <w:color w:val="auto"/>
                      <w:sz w:val="18"/>
                      <w:szCs w:val="18"/>
                      <w:lang w:val="en-US" w:eastAsia="zh-CN"/>
                    </w:rPr>
                    <w:t>5.106kg</w:t>
                  </w:r>
                  <w:r>
                    <w:rPr>
                      <w:rFonts w:ascii="Times New Roman"/>
                      <w:color w:val="auto"/>
                      <w:sz w:val="18"/>
                      <w:szCs w:val="18"/>
                      <w:lang w:val="en-US" w:eastAsia="zh-CN"/>
                    </w:rPr>
                    <w:t>/a</w:t>
                  </w:r>
                </w:p>
              </w:tc>
            </w:tr>
            <w:tr w14:paraId="64BA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47" w:type="pct"/>
                  <w:vMerge w:val="continue"/>
                  <w:noWrap w:val="0"/>
                  <w:vAlign w:val="center"/>
                </w:tcPr>
                <w:p w14:paraId="26F17694">
                  <w:pPr>
                    <w:pStyle w:val="92"/>
                    <w:spacing w:line="240" w:lineRule="auto"/>
                    <w:rPr>
                      <w:rFonts w:ascii="Times New Roman"/>
                      <w:color w:val="auto"/>
                      <w:sz w:val="18"/>
                      <w:szCs w:val="18"/>
                      <w:lang w:val="en-US" w:eastAsia="zh-CN"/>
                    </w:rPr>
                  </w:pPr>
                </w:p>
              </w:tc>
              <w:tc>
                <w:tcPr>
                  <w:tcW w:w="546" w:type="pct"/>
                  <w:noWrap w:val="0"/>
                  <w:vAlign w:val="center"/>
                </w:tcPr>
                <w:p w14:paraId="592C0795">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NOx</w:t>
                  </w:r>
                </w:p>
              </w:tc>
              <w:tc>
                <w:tcPr>
                  <w:tcW w:w="601" w:type="pct"/>
                  <w:vMerge w:val="continue"/>
                  <w:noWrap w:val="0"/>
                  <w:vAlign w:val="center"/>
                </w:tcPr>
                <w:p w14:paraId="79A4FB53">
                  <w:pPr>
                    <w:pStyle w:val="92"/>
                    <w:spacing w:line="240" w:lineRule="auto"/>
                    <w:rPr>
                      <w:rFonts w:ascii="Times New Roman"/>
                      <w:color w:val="auto"/>
                      <w:sz w:val="18"/>
                      <w:szCs w:val="18"/>
                      <w:lang w:val="en-US" w:eastAsia="zh-CN"/>
                    </w:rPr>
                  </w:pPr>
                </w:p>
              </w:tc>
              <w:tc>
                <w:tcPr>
                  <w:tcW w:w="807" w:type="pct"/>
                  <w:noWrap w:val="0"/>
                  <w:vAlign w:val="center"/>
                </w:tcPr>
                <w:p w14:paraId="1C0D96E7">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43BB4D9B">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0.00596</w:t>
                  </w:r>
                </w:p>
              </w:tc>
              <w:tc>
                <w:tcPr>
                  <w:tcW w:w="873" w:type="pct"/>
                  <w:noWrap w:val="0"/>
                  <w:vAlign w:val="center"/>
                </w:tcPr>
                <w:p w14:paraId="5140214D">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152.170kg</w:t>
                  </w:r>
                  <w:r>
                    <w:rPr>
                      <w:rFonts w:ascii="Times New Roman"/>
                      <w:color w:val="auto"/>
                      <w:sz w:val="18"/>
                      <w:szCs w:val="18"/>
                      <w:lang w:val="en-US" w:eastAsia="zh-CN"/>
                    </w:rPr>
                    <w:t>/a</w:t>
                  </w:r>
                </w:p>
              </w:tc>
              <w:tc>
                <w:tcPr>
                  <w:tcW w:w="469" w:type="pct"/>
                  <w:vMerge w:val="continue"/>
                  <w:noWrap w:val="0"/>
                  <w:vAlign w:val="center"/>
                </w:tcPr>
                <w:p w14:paraId="69D74404">
                  <w:pPr>
                    <w:pStyle w:val="92"/>
                    <w:spacing w:line="240" w:lineRule="auto"/>
                    <w:rPr>
                      <w:rFonts w:ascii="Times New Roman"/>
                      <w:color w:val="auto"/>
                      <w:sz w:val="18"/>
                      <w:szCs w:val="18"/>
                      <w:lang w:val="en-US" w:eastAsia="zh-CN"/>
                    </w:rPr>
                  </w:pPr>
                </w:p>
              </w:tc>
              <w:tc>
                <w:tcPr>
                  <w:tcW w:w="851" w:type="pct"/>
                  <w:noWrap w:val="0"/>
                  <w:vAlign w:val="center"/>
                </w:tcPr>
                <w:p w14:paraId="27D0BDED">
                  <w:pPr>
                    <w:pStyle w:val="92"/>
                    <w:spacing w:line="240" w:lineRule="auto"/>
                    <w:ind w:right="0" w:rightChars="0"/>
                    <w:rPr>
                      <w:rFonts w:hint="default" w:ascii="Times New Roman"/>
                      <w:color w:val="auto"/>
                      <w:sz w:val="18"/>
                      <w:szCs w:val="18"/>
                      <w:lang w:val="en-US" w:eastAsia="zh-CN"/>
                    </w:rPr>
                  </w:pPr>
                  <w:r>
                    <w:rPr>
                      <w:rFonts w:hint="eastAsia" w:ascii="Times New Roman"/>
                      <w:color w:val="auto"/>
                      <w:sz w:val="18"/>
                      <w:szCs w:val="18"/>
                      <w:lang w:val="en-US" w:eastAsia="zh-CN"/>
                    </w:rPr>
                    <w:t>152.170kg</w:t>
                  </w:r>
                  <w:r>
                    <w:rPr>
                      <w:rFonts w:ascii="Times New Roman"/>
                      <w:color w:val="auto"/>
                      <w:sz w:val="18"/>
                      <w:szCs w:val="18"/>
                      <w:lang w:val="en-US" w:eastAsia="zh-CN"/>
                    </w:rPr>
                    <w:t>/a</w:t>
                  </w:r>
                </w:p>
              </w:tc>
            </w:tr>
            <w:tr w14:paraId="45FA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noWrap w:val="0"/>
                  <w:vAlign w:val="center"/>
                </w:tcPr>
                <w:p w14:paraId="5B92F064">
                  <w:pPr>
                    <w:pStyle w:val="92"/>
                    <w:spacing w:line="240" w:lineRule="auto"/>
                    <w:rPr>
                      <w:rFonts w:ascii="Times New Roman"/>
                      <w:color w:val="auto"/>
                      <w:sz w:val="18"/>
                      <w:szCs w:val="18"/>
                      <w:lang w:val="en-US" w:eastAsia="zh-CN"/>
                    </w:rPr>
                  </w:pPr>
                </w:p>
              </w:tc>
              <w:tc>
                <w:tcPr>
                  <w:tcW w:w="546" w:type="pct"/>
                  <w:noWrap w:val="0"/>
                  <w:vAlign w:val="center"/>
                </w:tcPr>
                <w:p w14:paraId="050182B8">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烟尘</w:t>
                  </w:r>
                </w:p>
              </w:tc>
              <w:tc>
                <w:tcPr>
                  <w:tcW w:w="601" w:type="pct"/>
                  <w:vMerge w:val="continue"/>
                  <w:noWrap w:val="0"/>
                  <w:vAlign w:val="center"/>
                </w:tcPr>
                <w:p w14:paraId="2948FF46">
                  <w:pPr>
                    <w:pStyle w:val="92"/>
                    <w:spacing w:line="240" w:lineRule="auto"/>
                    <w:rPr>
                      <w:rFonts w:ascii="Times New Roman"/>
                      <w:color w:val="auto"/>
                      <w:sz w:val="18"/>
                      <w:szCs w:val="18"/>
                      <w:lang w:val="en-US" w:eastAsia="zh-CN"/>
                    </w:rPr>
                  </w:pPr>
                </w:p>
              </w:tc>
              <w:tc>
                <w:tcPr>
                  <w:tcW w:w="807" w:type="pct"/>
                  <w:noWrap w:val="0"/>
                  <w:vAlign w:val="center"/>
                </w:tcPr>
                <w:p w14:paraId="723089E1">
                  <w:pPr>
                    <w:pStyle w:val="92"/>
                    <w:spacing w:line="240" w:lineRule="auto"/>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26210FAE">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0.00022</w:t>
                  </w:r>
                </w:p>
              </w:tc>
              <w:tc>
                <w:tcPr>
                  <w:tcW w:w="873" w:type="pct"/>
                  <w:noWrap w:val="0"/>
                  <w:vAlign w:val="center"/>
                </w:tcPr>
                <w:p w14:paraId="31DE992E">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5.617kg</w:t>
                  </w:r>
                  <w:r>
                    <w:rPr>
                      <w:rFonts w:ascii="Times New Roman"/>
                      <w:color w:val="auto"/>
                      <w:sz w:val="18"/>
                      <w:szCs w:val="18"/>
                      <w:lang w:val="en-US" w:eastAsia="zh-CN"/>
                    </w:rPr>
                    <w:t>/a</w:t>
                  </w:r>
                </w:p>
              </w:tc>
              <w:tc>
                <w:tcPr>
                  <w:tcW w:w="469" w:type="pct"/>
                  <w:vMerge w:val="continue"/>
                  <w:noWrap w:val="0"/>
                  <w:vAlign w:val="center"/>
                </w:tcPr>
                <w:p w14:paraId="0C89A68E">
                  <w:pPr>
                    <w:pStyle w:val="92"/>
                    <w:spacing w:line="240" w:lineRule="auto"/>
                    <w:rPr>
                      <w:rFonts w:ascii="Times New Roman"/>
                      <w:color w:val="auto"/>
                      <w:sz w:val="18"/>
                      <w:szCs w:val="18"/>
                      <w:lang w:val="en-US" w:eastAsia="zh-CN"/>
                    </w:rPr>
                  </w:pPr>
                </w:p>
              </w:tc>
              <w:tc>
                <w:tcPr>
                  <w:tcW w:w="851" w:type="pct"/>
                  <w:noWrap w:val="0"/>
                  <w:vAlign w:val="center"/>
                </w:tcPr>
                <w:p w14:paraId="6A53812E">
                  <w:pPr>
                    <w:pStyle w:val="92"/>
                    <w:spacing w:line="240" w:lineRule="auto"/>
                    <w:ind w:right="0" w:rightChars="0"/>
                    <w:rPr>
                      <w:rFonts w:hint="default" w:ascii="Times New Roman"/>
                      <w:color w:val="auto"/>
                      <w:sz w:val="18"/>
                      <w:szCs w:val="18"/>
                      <w:lang w:val="en-US" w:eastAsia="zh-CN"/>
                    </w:rPr>
                  </w:pPr>
                  <w:r>
                    <w:rPr>
                      <w:rFonts w:hint="eastAsia" w:ascii="Times New Roman"/>
                      <w:color w:val="auto"/>
                      <w:sz w:val="18"/>
                      <w:szCs w:val="18"/>
                      <w:lang w:val="en-US" w:eastAsia="zh-CN"/>
                    </w:rPr>
                    <w:t>5.617kg</w:t>
                  </w:r>
                  <w:r>
                    <w:rPr>
                      <w:rFonts w:ascii="Times New Roman"/>
                      <w:color w:val="auto"/>
                      <w:sz w:val="18"/>
                      <w:szCs w:val="18"/>
                      <w:lang w:val="en-US" w:eastAsia="zh-CN"/>
                    </w:rPr>
                    <w:t>/a</w:t>
                  </w:r>
                </w:p>
              </w:tc>
            </w:tr>
            <w:tr w14:paraId="4175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restart"/>
                  <w:noWrap w:val="0"/>
                  <w:vAlign w:val="center"/>
                </w:tcPr>
                <w:p w14:paraId="57DD77B7">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天然气工业炉窑</w:t>
                  </w:r>
                </w:p>
              </w:tc>
              <w:tc>
                <w:tcPr>
                  <w:tcW w:w="546" w:type="pct"/>
                  <w:noWrap w:val="0"/>
                  <w:vAlign w:val="center"/>
                </w:tcPr>
                <w:p w14:paraId="24B356FD">
                  <w:pPr>
                    <w:pStyle w:val="92"/>
                    <w:spacing w:line="240" w:lineRule="auto"/>
                    <w:ind w:right="0" w:rightChars="0"/>
                    <w:rPr>
                      <w:rFonts w:ascii="Times New Roman"/>
                      <w:color w:val="auto"/>
                      <w:sz w:val="18"/>
                      <w:szCs w:val="18"/>
                      <w:lang w:val="en-US" w:eastAsia="zh-CN"/>
                    </w:rPr>
                  </w:pPr>
                  <w:r>
                    <w:rPr>
                      <w:rFonts w:ascii="Times New Roman"/>
                      <w:color w:val="auto"/>
                      <w:sz w:val="18"/>
                      <w:szCs w:val="18"/>
                      <w:lang w:val="en-US" w:eastAsia="zh-CN"/>
                    </w:rPr>
                    <w:t>工业废气量</w:t>
                  </w:r>
                </w:p>
              </w:tc>
              <w:tc>
                <w:tcPr>
                  <w:tcW w:w="601" w:type="pct"/>
                  <w:vMerge w:val="restart"/>
                  <w:noWrap w:val="0"/>
                  <w:vAlign w:val="center"/>
                </w:tcPr>
                <w:p w14:paraId="00D5590A">
                  <w:pPr>
                    <w:pStyle w:val="92"/>
                    <w:spacing w:line="240" w:lineRule="auto"/>
                    <w:rPr>
                      <w:rFonts w:ascii="Times New Roman"/>
                      <w:color w:val="auto"/>
                      <w:sz w:val="18"/>
                      <w:szCs w:val="18"/>
                      <w:lang w:val="en-US" w:eastAsia="zh-CN"/>
                    </w:rPr>
                  </w:pPr>
                  <w:r>
                    <w:rPr>
                      <w:rFonts w:ascii="Times New Roman"/>
                      <w:color w:val="auto"/>
                      <w:sz w:val="18"/>
                      <w:szCs w:val="18"/>
                      <w:lang w:val="en-US" w:eastAsia="zh-CN"/>
                    </w:rPr>
                    <w:t>天然气</w:t>
                  </w:r>
                </w:p>
              </w:tc>
              <w:tc>
                <w:tcPr>
                  <w:tcW w:w="807" w:type="pct"/>
                  <w:noWrap w:val="0"/>
                  <w:vAlign w:val="center"/>
                </w:tcPr>
                <w:p w14:paraId="0CD685EA">
                  <w:pPr>
                    <w:pStyle w:val="92"/>
                    <w:spacing w:line="240" w:lineRule="auto"/>
                    <w:ind w:right="0" w:right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立方米/</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7087FDCA">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13.6</w:t>
                  </w:r>
                </w:p>
              </w:tc>
              <w:tc>
                <w:tcPr>
                  <w:tcW w:w="873" w:type="pct"/>
                  <w:noWrap w:val="0"/>
                  <w:vAlign w:val="center"/>
                </w:tcPr>
                <w:p w14:paraId="308D7ABA">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4964万m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c>
                <w:tcPr>
                  <w:tcW w:w="469" w:type="pct"/>
                  <w:vMerge w:val="restart"/>
                  <w:noWrap w:val="0"/>
                  <w:vAlign w:val="center"/>
                </w:tcPr>
                <w:p w14:paraId="7761FF0A">
                  <w:pPr>
                    <w:pStyle w:val="92"/>
                    <w:spacing w:line="240" w:lineRule="auto"/>
                    <w:rPr>
                      <w:rFonts w:ascii="Times New Roman"/>
                      <w:color w:val="auto"/>
                      <w:sz w:val="18"/>
                      <w:szCs w:val="18"/>
                      <w:lang w:val="en-US" w:eastAsia="zh-CN"/>
                    </w:rPr>
                  </w:pPr>
                  <w:r>
                    <w:rPr>
                      <w:rFonts w:hint="eastAsia" w:ascii="Times New Roman"/>
                      <w:color w:val="auto"/>
                      <w:sz w:val="18"/>
                      <w:szCs w:val="18"/>
                      <w:lang w:val="en-US" w:eastAsia="zh-CN"/>
                    </w:rPr>
                    <w:t>无组织排放</w:t>
                  </w:r>
                </w:p>
              </w:tc>
              <w:tc>
                <w:tcPr>
                  <w:tcW w:w="1360" w:type="dxa"/>
                  <w:noWrap w:val="0"/>
                  <w:vAlign w:val="center"/>
                </w:tcPr>
                <w:p w14:paraId="69F3D41C">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4964万m</w:t>
                  </w:r>
                  <w:r>
                    <w:rPr>
                      <w:rFonts w:ascii="Times New Roman"/>
                      <w:color w:val="auto"/>
                      <w:sz w:val="18"/>
                      <w:szCs w:val="18"/>
                      <w:vertAlign w:val="superscript"/>
                      <w:lang w:val="en-US" w:eastAsia="zh-CN"/>
                    </w:rPr>
                    <w:t>3</w:t>
                  </w:r>
                  <w:r>
                    <w:rPr>
                      <w:rFonts w:ascii="Times New Roman"/>
                      <w:color w:val="auto"/>
                      <w:sz w:val="18"/>
                      <w:szCs w:val="18"/>
                      <w:lang w:val="en-US" w:eastAsia="zh-CN"/>
                    </w:rPr>
                    <w:t>/a</w:t>
                  </w:r>
                </w:p>
              </w:tc>
            </w:tr>
            <w:tr w14:paraId="521B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noWrap w:val="0"/>
                  <w:vAlign w:val="center"/>
                </w:tcPr>
                <w:p w14:paraId="2701BAC3">
                  <w:pPr>
                    <w:pStyle w:val="92"/>
                    <w:spacing w:line="240" w:lineRule="auto"/>
                    <w:rPr>
                      <w:rFonts w:ascii="Times New Roman"/>
                      <w:color w:val="auto"/>
                      <w:sz w:val="18"/>
                      <w:szCs w:val="18"/>
                      <w:lang w:val="en-US" w:eastAsia="zh-CN"/>
                    </w:rPr>
                  </w:pPr>
                </w:p>
              </w:tc>
              <w:tc>
                <w:tcPr>
                  <w:tcW w:w="546" w:type="pct"/>
                  <w:noWrap w:val="0"/>
                  <w:vAlign w:val="center"/>
                </w:tcPr>
                <w:p w14:paraId="24A7742A">
                  <w:pPr>
                    <w:pStyle w:val="92"/>
                    <w:spacing w:line="240" w:lineRule="auto"/>
                    <w:ind w:right="0" w:rightChars="0"/>
                    <w:rPr>
                      <w:rFonts w:ascii="Times New Roman"/>
                      <w:color w:val="auto"/>
                      <w:sz w:val="18"/>
                      <w:szCs w:val="18"/>
                      <w:lang w:val="en-US" w:eastAsia="zh-CN"/>
                    </w:rPr>
                  </w:pPr>
                  <w:r>
                    <w:rPr>
                      <w:rFonts w:ascii="Times New Roman"/>
                      <w:color w:val="auto"/>
                      <w:sz w:val="18"/>
                      <w:szCs w:val="18"/>
                      <w:lang w:val="en-US" w:eastAsia="zh-CN"/>
                    </w:rPr>
                    <w:t>SO</w:t>
                  </w:r>
                  <w:r>
                    <w:rPr>
                      <w:rFonts w:ascii="Times New Roman"/>
                      <w:color w:val="auto"/>
                      <w:sz w:val="18"/>
                      <w:szCs w:val="18"/>
                      <w:vertAlign w:val="subscript"/>
                      <w:lang w:val="en-US" w:eastAsia="zh-CN"/>
                    </w:rPr>
                    <w:t>2</w:t>
                  </w:r>
                </w:p>
              </w:tc>
              <w:tc>
                <w:tcPr>
                  <w:tcW w:w="601" w:type="pct"/>
                  <w:vMerge w:val="continue"/>
                  <w:noWrap w:val="0"/>
                  <w:vAlign w:val="center"/>
                </w:tcPr>
                <w:p w14:paraId="6317B754">
                  <w:pPr>
                    <w:pStyle w:val="92"/>
                    <w:spacing w:line="240" w:lineRule="auto"/>
                    <w:rPr>
                      <w:rFonts w:ascii="Times New Roman"/>
                      <w:color w:val="auto"/>
                      <w:sz w:val="18"/>
                      <w:szCs w:val="18"/>
                      <w:lang w:val="en-US" w:eastAsia="zh-CN"/>
                    </w:rPr>
                  </w:pPr>
                </w:p>
              </w:tc>
              <w:tc>
                <w:tcPr>
                  <w:tcW w:w="807" w:type="pct"/>
                  <w:noWrap w:val="0"/>
                  <w:vAlign w:val="center"/>
                </w:tcPr>
                <w:p w14:paraId="233FC212">
                  <w:pPr>
                    <w:pStyle w:val="92"/>
                    <w:spacing w:line="240" w:lineRule="auto"/>
                    <w:ind w:right="0" w:right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3C8B0128">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0.0002</w:t>
                  </w:r>
                </w:p>
              </w:tc>
              <w:tc>
                <w:tcPr>
                  <w:tcW w:w="873" w:type="pct"/>
                  <w:noWrap w:val="0"/>
                  <w:vAlign w:val="center"/>
                </w:tcPr>
                <w:p w14:paraId="70745125">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730kg</w:t>
                  </w:r>
                  <w:r>
                    <w:rPr>
                      <w:rFonts w:ascii="Times New Roman"/>
                      <w:color w:val="auto"/>
                      <w:sz w:val="18"/>
                      <w:szCs w:val="18"/>
                      <w:lang w:val="en-US" w:eastAsia="zh-CN"/>
                    </w:rPr>
                    <w:t>/a</w:t>
                  </w:r>
                </w:p>
              </w:tc>
              <w:tc>
                <w:tcPr>
                  <w:tcW w:w="469" w:type="pct"/>
                  <w:vMerge w:val="continue"/>
                  <w:noWrap w:val="0"/>
                  <w:vAlign w:val="center"/>
                </w:tcPr>
                <w:p w14:paraId="60379A4E">
                  <w:pPr>
                    <w:pStyle w:val="92"/>
                    <w:spacing w:line="240" w:lineRule="auto"/>
                    <w:rPr>
                      <w:rFonts w:ascii="Times New Roman"/>
                      <w:color w:val="auto"/>
                      <w:sz w:val="18"/>
                      <w:szCs w:val="18"/>
                      <w:lang w:val="en-US" w:eastAsia="zh-CN"/>
                    </w:rPr>
                  </w:pPr>
                </w:p>
              </w:tc>
              <w:tc>
                <w:tcPr>
                  <w:tcW w:w="1360" w:type="dxa"/>
                  <w:noWrap w:val="0"/>
                  <w:vAlign w:val="center"/>
                </w:tcPr>
                <w:p w14:paraId="3FAD1544">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730kg</w:t>
                  </w:r>
                  <w:r>
                    <w:rPr>
                      <w:rFonts w:ascii="Times New Roman"/>
                      <w:color w:val="auto"/>
                      <w:sz w:val="18"/>
                      <w:szCs w:val="18"/>
                      <w:lang w:val="en-US" w:eastAsia="zh-CN"/>
                    </w:rPr>
                    <w:t>/a</w:t>
                  </w:r>
                </w:p>
              </w:tc>
            </w:tr>
            <w:tr w14:paraId="5D96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noWrap w:val="0"/>
                  <w:vAlign w:val="center"/>
                </w:tcPr>
                <w:p w14:paraId="7D156E0F">
                  <w:pPr>
                    <w:pStyle w:val="92"/>
                    <w:spacing w:line="240" w:lineRule="auto"/>
                    <w:rPr>
                      <w:rFonts w:ascii="Times New Roman"/>
                      <w:color w:val="auto"/>
                      <w:sz w:val="18"/>
                      <w:szCs w:val="18"/>
                      <w:lang w:val="en-US" w:eastAsia="zh-CN"/>
                    </w:rPr>
                  </w:pPr>
                </w:p>
              </w:tc>
              <w:tc>
                <w:tcPr>
                  <w:tcW w:w="546" w:type="pct"/>
                  <w:noWrap w:val="0"/>
                  <w:vAlign w:val="center"/>
                </w:tcPr>
                <w:p w14:paraId="6E32B1E9">
                  <w:pPr>
                    <w:pStyle w:val="92"/>
                    <w:spacing w:line="240" w:lineRule="auto"/>
                    <w:ind w:right="0" w:rightChars="0"/>
                    <w:rPr>
                      <w:rFonts w:ascii="Times New Roman"/>
                      <w:color w:val="auto"/>
                      <w:sz w:val="18"/>
                      <w:szCs w:val="18"/>
                      <w:lang w:val="en-US" w:eastAsia="zh-CN"/>
                    </w:rPr>
                  </w:pPr>
                  <w:r>
                    <w:rPr>
                      <w:rFonts w:ascii="Times New Roman"/>
                      <w:color w:val="auto"/>
                      <w:sz w:val="18"/>
                      <w:szCs w:val="18"/>
                      <w:lang w:val="en-US" w:eastAsia="zh-CN"/>
                    </w:rPr>
                    <w:t>NOx</w:t>
                  </w:r>
                </w:p>
              </w:tc>
              <w:tc>
                <w:tcPr>
                  <w:tcW w:w="601" w:type="pct"/>
                  <w:vMerge w:val="continue"/>
                  <w:noWrap w:val="0"/>
                  <w:vAlign w:val="center"/>
                </w:tcPr>
                <w:p w14:paraId="112750AD">
                  <w:pPr>
                    <w:pStyle w:val="92"/>
                    <w:spacing w:line="240" w:lineRule="auto"/>
                    <w:rPr>
                      <w:rFonts w:ascii="Times New Roman"/>
                      <w:color w:val="auto"/>
                      <w:sz w:val="18"/>
                      <w:szCs w:val="18"/>
                      <w:lang w:val="en-US" w:eastAsia="zh-CN"/>
                    </w:rPr>
                  </w:pPr>
                </w:p>
              </w:tc>
              <w:tc>
                <w:tcPr>
                  <w:tcW w:w="807" w:type="pct"/>
                  <w:noWrap w:val="0"/>
                  <w:vAlign w:val="center"/>
                </w:tcPr>
                <w:p w14:paraId="7218D3FF">
                  <w:pPr>
                    <w:pStyle w:val="92"/>
                    <w:spacing w:line="240" w:lineRule="auto"/>
                    <w:ind w:right="0" w:right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762A36D6">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0.00187</w:t>
                  </w:r>
                </w:p>
              </w:tc>
              <w:tc>
                <w:tcPr>
                  <w:tcW w:w="873" w:type="pct"/>
                  <w:noWrap w:val="0"/>
                  <w:vAlign w:val="center"/>
                </w:tcPr>
                <w:p w14:paraId="21DD841D">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6825.5kg</w:t>
                  </w:r>
                  <w:r>
                    <w:rPr>
                      <w:rFonts w:ascii="Times New Roman"/>
                      <w:color w:val="auto"/>
                      <w:sz w:val="18"/>
                      <w:szCs w:val="18"/>
                      <w:lang w:val="en-US" w:eastAsia="zh-CN"/>
                    </w:rPr>
                    <w:t>/a</w:t>
                  </w:r>
                </w:p>
              </w:tc>
              <w:tc>
                <w:tcPr>
                  <w:tcW w:w="469" w:type="pct"/>
                  <w:vMerge w:val="continue"/>
                  <w:noWrap w:val="0"/>
                  <w:vAlign w:val="center"/>
                </w:tcPr>
                <w:p w14:paraId="581BBC33">
                  <w:pPr>
                    <w:pStyle w:val="92"/>
                    <w:spacing w:line="240" w:lineRule="auto"/>
                    <w:rPr>
                      <w:rFonts w:ascii="Times New Roman"/>
                      <w:color w:val="auto"/>
                      <w:sz w:val="18"/>
                      <w:szCs w:val="18"/>
                      <w:lang w:val="en-US" w:eastAsia="zh-CN"/>
                    </w:rPr>
                  </w:pPr>
                </w:p>
              </w:tc>
              <w:tc>
                <w:tcPr>
                  <w:tcW w:w="1360" w:type="dxa"/>
                  <w:noWrap w:val="0"/>
                  <w:vAlign w:val="center"/>
                </w:tcPr>
                <w:p w14:paraId="0DAFA4BC">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6825.5kg</w:t>
                  </w:r>
                  <w:r>
                    <w:rPr>
                      <w:rFonts w:ascii="Times New Roman"/>
                      <w:color w:val="auto"/>
                      <w:sz w:val="18"/>
                      <w:szCs w:val="18"/>
                      <w:lang w:val="en-US" w:eastAsia="zh-CN"/>
                    </w:rPr>
                    <w:t>/a</w:t>
                  </w:r>
                </w:p>
              </w:tc>
            </w:tr>
            <w:tr w14:paraId="7643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noWrap w:val="0"/>
                  <w:vAlign w:val="center"/>
                </w:tcPr>
                <w:p w14:paraId="3771D007">
                  <w:pPr>
                    <w:pStyle w:val="92"/>
                    <w:spacing w:line="240" w:lineRule="auto"/>
                    <w:rPr>
                      <w:rFonts w:ascii="Times New Roman"/>
                      <w:color w:val="auto"/>
                      <w:sz w:val="18"/>
                      <w:szCs w:val="18"/>
                      <w:lang w:val="en-US" w:eastAsia="zh-CN"/>
                    </w:rPr>
                  </w:pPr>
                </w:p>
              </w:tc>
              <w:tc>
                <w:tcPr>
                  <w:tcW w:w="546" w:type="pct"/>
                  <w:noWrap w:val="0"/>
                  <w:vAlign w:val="center"/>
                </w:tcPr>
                <w:p w14:paraId="3A557163">
                  <w:pPr>
                    <w:pStyle w:val="92"/>
                    <w:spacing w:line="240" w:lineRule="auto"/>
                    <w:ind w:right="0" w:rightChars="0"/>
                    <w:rPr>
                      <w:rFonts w:ascii="Times New Roman"/>
                      <w:color w:val="auto"/>
                      <w:sz w:val="18"/>
                      <w:szCs w:val="18"/>
                      <w:lang w:val="en-US" w:eastAsia="zh-CN"/>
                    </w:rPr>
                  </w:pPr>
                  <w:r>
                    <w:rPr>
                      <w:rFonts w:ascii="Times New Roman"/>
                      <w:color w:val="auto"/>
                      <w:sz w:val="18"/>
                      <w:szCs w:val="18"/>
                      <w:lang w:val="en-US" w:eastAsia="zh-CN"/>
                    </w:rPr>
                    <w:t>烟尘</w:t>
                  </w:r>
                </w:p>
              </w:tc>
              <w:tc>
                <w:tcPr>
                  <w:tcW w:w="601" w:type="pct"/>
                  <w:vMerge w:val="continue"/>
                  <w:noWrap w:val="0"/>
                  <w:vAlign w:val="center"/>
                </w:tcPr>
                <w:p w14:paraId="0D6BDE1E">
                  <w:pPr>
                    <w:pStyle w:val="92"/>
                    <w:spacing w:line="240" w:lineRule="auto"/>
                    <w:rPr>
                      <w:rFonts w:ascii="Times New Roman"/>
                      <w:color w:val="auto"/>
                      <w:sz w:val="18"/>
                      <w:szCs w:val="18"/>
                      <w:lang w:val="en-US" w:eastAsia="zh-CN"/>
                    </w:rPr>
                  </w:pPr>
                </w:p>
              </w:tc>
              <w:tc>
                <w:tcPr>
                  <w:tcW w:w="807" w:type="pct"/>
                  <w:noWrap w:val="0"/>
                  <w:vAlign w:val="center"/>
                </w:tcPr>
                <w:p w14:paraId="07C9FC9B">
                  <w:pPr>
                    <w:pStyle w:val="92"/>
                    <w:spacing w:line="240" w:lineRule="auto"/>
                    <w:ind w:right="0" w:right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千克/</w:t>
                  </w:r>
                  <w:r>
                    <w:rPr>
                      <w:rFonts w:hint="eastAsia" w:ascii="Times New Roman" w:hAnsi="Times New Roman" w:eastAsia="宋体" w:cs="Times New Roman"/>
                      <w:color w:val="auto"/>
                      <w:sz w:val="18"/>
                      <w:szCs w:val="18"/>
                      <w:lang w:val="en-US" w:eastAsia="zh-CN"/>
                    </w:rPr>
                    <w:t>立方米</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原料</w:t>
                  </w:r>
                </w:p>
              </w:tc>
              <w:tc>
                <w:tcPr>
                  <w:tcW w:w="601" w:type="pct"/>
                  <w:noWrap w:val="0"/>
                  <w:vAlign w:val="center"/>
                </w:tcPr>
                <w:p w14:paraId="35A88930">
                  <w:pPr>
                    <w:pStyle w:val="92"/>
                    <w:spacing w:line="240" w:lineRule="auto"/>
                    <w:rPr>
                      <w:rFonts w:hint="default" w:ascii="Times New Roman"/>
                      <w:color w:val="auto"/>
                      <w:sz w:val="18"/>
                      <w:szCs w:val="18"/>
                      <w:lang w:val="en-US" w:eastAsia="zh-CN"/>
                    </w:rPr>
                  </w:pPr>
                  <w:r>
                    <w:rPr>
                      <w:rFonts w:hint="eastAsia" w:ascii="Times New Roman"/>
                      <w:color w:val="auto"/>
                      <w:sz w:val="18"/>
                      <w:szCs w:val="18"/>
                      <w:lang w:val="en-US" w:eastAsia="zh-CN"/>
                    </w:rPr>
                    <w:t>0.000286</w:t>
                  </w:r>
                </w:p>
              </w:tc>
              <w:tc>
                <w:tcPr>
                  <w:tcW w:w="873" w:type="pct"/>
                  <w:noWrap w:val="0"/>
                  <w:vAlign w:val="center"/>
                </w:tcPr>
                <w:p w14:paraId="5F824410">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1043.9kg</w:t>
                  </w:r>
                  <w:r>
                    <w:rPr>
                      <w:rFonts w:ascii="Times New Roman"/>
                      <w:color w:val="auto"/>
                      <w:sz w:val="18"/>
                      <w:szCs w:val="18"/>
                      <w:lang w:val="en-US" w:eastAsia="zh-CN"/>
                    </w:rPr>
                    <w:t>/a</w:t>
                  </w:r>
                </w:p>
              </w:tc>
              <w:tc>
                <w:tcPr>
                  <w:tcW w:w="469" w:type="pct"/>
                  <w:vMerge w:val="continue"/>
                  <w:noWrap w:val="0"/>
                  <w:vAlign w:val="center"/>
                </w:tcPr>
                <w:p w14:paraId="0EFD7400">
                  <w:pPr>
                    <w:pStyle w:val="92"/>
                    <w:spacing w:line="240" w:lineRule="auto"/>
                    <w:rPr>
                      <w:rFonts w:ascii="Times New Roman"/>
                      <w:color w:val="auto"/>
                      <w:sz w:val="18"/>
                      <w:szCs w:val="18"/>
                      <w:lang w:val="en-US" w:eastAsia="zh-CN"/>
                    </w:rPr>
                  </w:pPr>
                </w:p>
              </w:tc>
              <w:tc>
                <w:tcPr>
                  <w:tcW w:w="1360" w:type="dxa"/>
                  <w:noWrap w:val="0"/>
                  <w:vAlign w:val="center"/>
                </w:tcPr>
                <w:p w14:paraId="4CD4AAAB">
                  <w:pPr>
                    <w:pStyle w:val="92"/>
                    <w:spacing w:line="240" w:lineRule="auto"/>
                    <w:ind w:right="0" w:rightChars="0"/>
                    <w:rPr>
                      <w:rFonts w:hint="eastAsia" w:ascii="Times New Roman"/>
                      <w:color w:val="auto"/>
                      <w:sz w:val="18"/>
                      <w:szCs w:val="18"/>
                      <w:lang w:val="en-US" w:eastAsia="zh-CN"/>
                    </w:rPr>
                  </w:pPr>
                  <w:r>
                    <w:rPr>
                      <w:rFonts w:hint="eastAsia" w:ascii="Times New Roman"/>
                      <w:color w:val="auto"/>
                      <w:sz w:val="18"/>
                      <w:szCs w:val="18"/>
                      <w:lang w:val="en-US" w:eastAsia="zh-CN"/>
                    </w:rPr>
                    <w:t>1043.9kg</w:t>
                  </w:r>
                  <w:r>
                    <w:rPr>
                      <w:rFonts w:ascii="Times New Roman"/>
                      <w:color w:val="auto"/>
                      <w:sz w:val="18"/>
                      <w:szCs w:val="18"/>
                      <w:lang w:val="en-US" w:eastAsia="zh-CN"/>
                    </w:rPr>
                    <w:t>/a</w:t>
                  </w:r>
                </w:p>
              </w:tc>
            </w:tr>
          </w:tbl>
          <w:p w14:paraId="60245C03">
            <w:pPr>
              <w:pStyle w:val="84"/>
              <w:ind w:firstLine="422"/>
              <w:rPr>
                <w:b/>
                <w:bCs w:val="0"/>
                <w:color w:val="auto"/>
                <w:lang w:val="en-US" w:eastAsia="zh-CN"/>
              </w:rPr>
            </w:pPr>
            <w:r>
              <w:rPr>
                <w:rFonts w:hint="eastAsia"/>
                <w:b/>
                <w:bCs w:val="0"/>
                <w:color w:val="auto"/>
                <w:lang w:val="en-US" w:eastAsia="zh-CN"/>
              </w:rPr>
              <w:t>（7）G9</w:t>
            </w:r>
            <w:r>
              <w:rPr>
                <w:rFonts w:hint="eastAsia" w:ascii="Times New Roman" w:hAnsi="Times New Roman" w:eastAsia="宋体" w:cs="Times New Roman"/>
                <w:b/>
                <w:bCs w:val="0"/>
                <w:color w:val="auto"/>
                <w:lang w:val="en-US" w:eastAsia="zh-CN"/>
              </w:rPr>
              <w:t>玻璃破碎粉尘</w:t>
            </w:r>
          </w:p>
          <w:p w14:paraId="08FCEC31">
            <w:pPr>
              <w:pStyle w:val="84"/>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本项目</w:t>
            </w:r>
            <w:r>
              <w:rPr>
                <w:rFonts w:hint="eastAsia" w:ascii="Times New Roman" w:hAnsi="Times New Roman" w:eastAsia="宋体" w:cs="Times New Roman"/>
                <w:b w:val="0"/>
                <w:bCs w:val="0"/>
                <w:color w:val="auto"/>
                <w:sz w:val="21"/>
                <w:szCs w:val="21"/>
                <w:lang w:val="en-US" w:eastAsia="zh-CN"/>
              </w:rPr>
              <w:t>不合格产品进行破碎后回用于生产工序，玻璃破碎产生粉尘，粉尘产生量根据《42废弃资源综合利用行业系数手册》中“4220 非金属废料和碎屑加工处理行业系数表”：废玻璃—工艺：破碎+分选，颗粒物产生系数为225g/t原料，本项目不合格品根据厂家核实，约为3500t/a，则破碎粉尘产生量为0.7875t/a，本项目玻璃不合品破碎位于独立操作间内，玻璃破碎成小块状，不进行粉碎，粉尘产生后位于操作间内无组织排放，操作间内每日除尘器干法收尘</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则破碎工序排放量为0.7875</w:t>
            </w:r>
            <w:r>
              <w:rPr>
                <w:rFonts w:hint="eastAsia" w:ascii="Times New Roman" w:hAnsi="Times New Roman" w:eastAsia="宋体" w:cs="Times New Roman"/>
                <w:b w:val="0"/>
                <w:bCs w:val="0"/>
                <w:color w:val="auto"/>
                <w:sz w:val="21"/>
                <w:szCs w:val="21"/>
                <w:lang w:val="en-US" w:eastAsia="zh-CN"/>
              </w:rPr>
              <w:t>t/a。</w:t>
            </w:r>
          </w:p>
          <w:p w14:paraId="512F3A0D">
            <w:pPr>
              <w:pStyle w:val="84"/>
              <w:ind w:firstLine="422"/>
              <w:rPr>
                <w:b/>
                <w:bCs w:val="0"/>
                <w:color w:val="auto"/>
                <w:lang w:val="en-US" w:eastAsia="zh-CN"/>
              </w:rPr>
            </w:pPr>
            <w:r>
              <w:rPr>
                <w:rFonts w:hint="eastAsia"/>
                <w:b/>
                <w:bCs w:val="0"/>
                <w:color w:val="auto"/>
                <w:lang w:val="en-US" w:eastAsia="zh-CN"/>
              </w:rPr>
              <w:t>（8）</w:t>
            </w:r>
            <w:r>
              <w:rPr>
                <w:rFonts w:hint="eastAsia"/>
                <w:b/>
                <w:bCs w:val="0"/>
                <w:color w:val="auto"/>
                <w:lang w:val="en-US" w:eastAsia="zh-CN"/>
              </w:rPr>
              <w:t>柴油发电机尾气</w:t>
            </w:r>
          </w:p>
          <w:bookmarkEnd w:id="19"/>
          <w:p w14:paraId="346D0FB2">
            <w:pPr>
              <w:pStyle w:val="84"/>
              <w:rPr>
                <w:rFonts w:hint="default" w:ascii="Times New Roman" w:hAnsi="Times New Roman" w:eastAsia="TimesNewRomanPSMT" w:cs="Times New Roman"/>
                <w:b w:val="0"/>
                <w:bCs w:val="0"/>
                <w:color w:val="auto"/>
                <w:sz w:val="21"/>
                <w:szCs w:val="21"/>
              </w:rPr>
            </w:pPr>
            <w:r>
              <w:rPr>
                <w:rFonts w:hint="default" w:ascii="Times New Roman" w:hAnsi="Times New Roman" w:eastAsia="宋体" w:cs="Times New Roman"/>
                <w:b w:val="0"/>
                <w:bCs w:val="0"/>
                <w:color w:val="auto"/>
                <w:sz w:val="21"/>
                <w:szCs w:val="21"/>
              </w:rPr>
              <w:t>本项目在</w:t>
            </w:r>
            <w:r>
              <w:rPr>
                <w:rFonts w:hint="default" w:ascii="Times New Roman" w:hAnsi="Times New Roman" w:eastAsia="宋体" w:cs="Times New Roman"/>
                <w:b w:val="0"/>
                <w:bCs w:val="0"/>
                <w:color w:val="auto"/>
                <w:sz w:val="21"/>
                <w:szCs w:val="21"/>
                <w:lang w:val="en-US" w:eastAsia="zh-CN"/>
              </w:rPr>
              <w:t>厂区西侧（消防水池旁边）</w:t>
            </w:r>
            <w:r>
              <w:rPr>
                <w:rFonts w:hint="default" w:ascii="Times New Roman" w:hAnsi="Times New Roman" w:eastAsia="宋体" w:cs="Times New Roman"/>
                <w:b w:val="0"/>
                <w:bCs w:val="0"/>
                <w:color w:val="auto"/>
                <w:sz w:val="21"/>
                <w:szCs w:val="21"/>
              </w:rPr>
              <w:t>设置备用柴油发电机房</w:t>
            </w:r>
            <w:r>
              <w:rPr>
                <w:rFonts w:hint="default" w:ascii="Times New Roman" w:hAnsi="Times New Roman" w:eastAsia="TimesNewRomanPSMT" w:cs="Times New Roman"/>
                <w:b w:val="0"/>
                <w:bCs w:val="0"/>
                <w:color w:val="auto"/>
                <w:sz w:val="21"/>
                <w:szCs w:val="21"/>
              </w:rPr>
              <w:t>1</w:t>
            </w:r>
            <w:r>
              <w:rPr>
                <w:rFonts w:hint="default" w:ascii="Times New Roman" w:hAnsi="Times New Roman" w:eastAsia="宋体" w:cs="Times New Roman"/>
                <w:b w:val="0"/>
                <w:bCs w:val="0"/>
                <w:color w:val="auto"/>
                <w:sz w:val="21"/>
                <w:szCs w:val="21"/>
              </w:rPr>
              <w:t>座，</w:t>
            </w:r>
            <w:r>
              <w:rPr>
                <w:rFonts w:hint="eastAsia" w:ascii="Times New Roman" w:hAnsi="Times New Roman" w:eastAsia="宋体" w:cs="Times New Roman"/>
                <w:b w:val="0"/>
                <w:bCs w:val="0"/>
                <w:color w:val="auto"/>
                <w:sz w:val="21"/>
                <w:szCs w:val="21"/>
                <w:lang w:val="en-US" w:eastAsia="zh-CN"/>
              </w:rPr>
              <w:t>根据企业核实，</w:t>
            </w:r>
            <w:r>
              <w:rPr>
                <w:rFonts w:hint="default" w:ascii="Times New Roman" w:hAnsi="Times New Roman" w:eastAsia="宋体" w:cs="Times New Roman"/>
                <w:b w:val="0"/>
                <w:bCs w:val="0"/>
                <w:color w:val="auto"/>
                <w:sz w:val="21"/>
                <w:szCs w:val="21"/>
                <w:lang w:val="en-US" w:eastAsia="zh-CN"/>
              </w:rPr>
              <w:t>所选用柴油机组满足《</w:t>
            </w:r>
            <w:r>
              <w:rPr>
                <w:rFonts w:hint="default" w:ascii="Times New Roman" w:hAnsi="Times New Roman" w:eastAsia="宋体" w:cs="Times New Roman"/>
                <w:b w:val="0"/>
                <w:bCs w:val="0"/>
                <w:color w:val="auto"/>
                <w:sz w:val="21"/>
                <w:szCs w:val="21"/>
                <w:lang w:val="en-US" w:eastAsia="zh-CN"/>
              </w:rPr>
              <w:t>非道路柴油移动机械污染物排放控制技术要求</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（HJ1014—2020）</w:t>
            </w:r>
            <w:r>
              <w:rPr>
                <w:rFonts w:hint="eastAsia" w:ascii="Times New Roman" w:hAnsi="Times New Roman" w:eastAsia="宋体" w:cs="Times New Roman"/>
                <w:b w:val="0"/>
                <w:bCs w:val="0"/>
                <w:color w:val="auto"/>
                <w:sz w:val="21"/>
                <w:szCs w:val="21"/>
                <w:lang w:val="en-US" w:eastAsia="zh-CN"/>
              </w:rPr>
              <w:t>中“</w:t>
            </w:r>
            <w:r>
              <w:rPr>
                <w:rFonts w:hint="default" w:ascii="Times New Roman" w:hAnsi="Times New Roman" w:eastAsia="宋体" w:cs="Times New Roman"/>
                <w:b w:val="0"/>
                <w:bCs w:val="0"/>
                <w:color w:val="auto"/>
                <w:sz w:val="21"/>
                <w:szCs w:val="21"/>
                <w:lang w:val="en-US" w:eastAsia="zh-CN"/>
              </w:rPr>
              <w:t>环保生产一致性和在用符合性</w:t>
            </w:r>
            <w:r>
              <w:rPr>
                <w:rFonts w:hint="eastAsia" w:ascii="Times New Roman" w:hAnsi="Times New Roman" w:eastAsia="宋体" w:cs="Times New Roman"/>
                <w:b w:val="0"/>
                <w:bCs w:val="0"/>
                <w:color w:val="auto"/>
                <w:sz w:val="21"/>
                <w:szCs w:val="21"/>
                <w:lang w:val="en-US" w:eastAsia="zh-CN"/>
              </w:rPr>
              <w:t>”要求，能够确保柴油机排放达标。</w:t>
            </w:r>
            <w:r>
              <w:rPr>
                <w:rFonts w:hint="default" w:ascii="Times New Roman" w:hAnsi="Times New Roman" w:eastAsia="宋体" w:cs="Times New Roman"/>
                <w:b w:val="0"/>
                <w:bCs w:val="0"/>
                <w:color w:val="auto"/>
                <w:sz w:val="21"/>
                <w:szCs w:val="21"/>
              </w:rPr>
              <w:t>备用柴油发电机工作时将产生一定量的燃油废气，</w:t>
            </w:r>
            <w:r>
              <w:rPr>
                <w:rFonts w:hint="eastAsia" w:ascii="Times New Roman" w:hAnsi="Times New Roman" w:eastAsia="宋体" w:cs="Times New Roman"/>
                <w:b w:val="0"/>
                <w:bCs w:val="0"/>
                <w:color w:val="auto"/>
                <w:sz w:val="21"/>
                <w:szCs w:val="21"/>
                <w:lang w:val="en-US" w:eastAsia="zh-CN"/>
              </w:rPr>
              <w:t>由于</w:t>
            </w:r>
            <w:r>
              <w:rPr>
                <w:rFonts w:hint="default" w:ascii="Times New Roman" w:hAnsi="Times New Roman" w:eastAsia="宋体" w:cs="Times New Roman"/>
                <w:b w:val="0"/>
                <w:bCs w:val="0"/>
                <w:color w:val="auto"/>
                <w:sz w:val="21"/>
                <w:szCs w:val="21"/>
              </w:rPr>
              <w:t>该部分废气量较少</w:t>
            </w:r>
            <w:r>
              <w:rPr>
                <w:rFonts w:hint="eastAsia" w:ascii="Times New Roman" w:hAnsi="Times New Roman" w:eastAsia="宋体" w:cs="Times New Roman"/>
                <w:b w:val="0"/>
                <w:bCs w:val="0"/>
                <w:color w:val="auto"/>
                <w:sz w:val="21"/>
                <w:szCs w:val="21"/>
                <w:lang w:val="en-US" w:eastAsia="zh-CN"/>
              </w:rPr>
              <w:t>且发生频次低</w:t>
            </w:r>
            <w:r>
              <w:rPr>
                <w:rFonts w:hint="default" w:ascii="Times New Roman" w:hAnsi="Times New Roman" w:eastAsia="宋体" w:cs="Times New Roman"/>
                <w:b w:val="0"/>
                <w:bCs w:val="0"/>
                <w:color w:val="auto"/>
                <w:sz w:val="21"/>
                <w:szCs w:val="21"/>
              </w:rPr>
              <w:t>，通过专用烟道升至屋顶排</w:t>
            </w:r>
            <w:r>
              <w:rPr>
                <w:rFonts w:hint="default" w:ascii="Times New Roman" w:hAnsi="Times New Roman" w:eastAsia="宋体" w:cs="Times New Roman"/>
                <w:b w:val="0"/>
                <w:bCs w:val="0"/>
                <w:color w:val="auto"/>
                <w:sz w:val="21"/>
                <w:szCs w:val="21"/>
                <w:lang w:val="en-US" w:eastAsia="zh-CN"/>
              </w:rPr>
              <w:t>放</w:t>
            </w:r>
            <w:r>
              <w:rPr>
                <w:rFonts w:hint="eastAsia" w:ascii="Times New Roman" w:hAnsi="Times New Roman" w:eastAsia="宋体" w:cs="Times New Roman"/>
                <w:b w:val="0"/>
                <w:bCs w:val="0"/>
                <w:color w:val="auto"/>
                <w:sz w:val="21"/>
                <w:szCs w:val="21"/>
                <w:lang w:val="en-US" w:eastAsia="zh-CN"/>
              </w:rPr>
              <w:t>，本次不予核算其排放量</w:t>
            </w:r>
            <w:r>
              <w:rPr>
                <w:rFonts w:hint="default" w:ascii="Times New Roman" w:hAnsi="Times New Roman" w:eastAsia="宋体" w:cs="Times New Roman"/>
                <w:b w:val="0"/>
                <w:bCs w:val="0"/>
                <w:color w:val="auto"/>
                <w:sz w:val="21"/>
                <w:szCs w:val="21"/>
              </w:rPr>
              <w:t>。</w:t>
            </w:r>
          </w:p>
          <w:p w14:paraId="427B3737">
            <w:pPr>
              <w:pStyle w:val="84"/>
              <w:ind w:firstLine="422"/>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（9）氨水储罐逸散废气</w:t>
            </w:r>
          </w:p>
          <w:p w14:paraId="11E70A3A">
            <w:pPr>
              <w:pStyle w:val="84"/>
              <w:rPr>
                <w:rFonts w:hint="default" w:ascii="TimesNewRomanPSMT" w:hAnsi="TimesNewRomanPSMT" w:eastAsia="TimesNewRomanPSMT" w:cs="TimesNewRomanPSMT"/>
                <w:b w:val="0"/>
                <w:bCs w:val="0"/>
                <w:color w:val="auto"/>
                <w:sz w:val="21"/>
                <w:szCs w:val="21"/>
              </w:rPr>
            </w:pPr>
            <w:r>
              <w:rPr>
                <w:rFonts w:ascii="宋体" w:hAnsi="宋体" w:eastAsia="宋体" w:cs="宋体"/>
                <w:b w:val="0"/>
                <w:bCs w:val="0"/>
                <w:color w:val="auto"/>
                <w:sz w:val="21"/>
                <w:szCs w:val="21"/>
              </w:rPr>
              <w:t>本项目设置氨水储罐储存</w:t>
            </w:r>
            <w:r>
              <w:rPr>
                <w:rFonts w:hint="eastAsia" w:ascii="宋体" w:hAnsi="宋体" w:eastAsia="宋体" w:cs="宋体"/>
                <w:b w:val="0"/>
                <w:bCs w:val="0"/>
                <w:color w:val="auto"/>
                <w:sz w:val="21"/>
                <w:szCs w:val="21"/>
                <w:lang w:val="en-US" w:eastAsia="zh-CN"/>
              </w:rPr>
              <w:t>质量分数</w:t>
            </w:r>
            <w:r>
              <w:rPr>
                <w:rFonts w:hint="eastAsia" w:ascii="TimesNewRomanPSMT" w:hAnsi="TimesNewRomanPSMT" w:eastAsia="宋体" w:cs="TimesNewRomanPSMT"/>
                <w:b w:val="0"/>
                <w:bCs w:val="0"/>
                <w:color w:val="auto"/>
                <w:sz w:val="21"/>
                <w:szCs w:val="21"/>
                <w:lang w:val="en-US" w:eastAsia="zh-CN"/>
              </w:rPr>
              <w:t>1</w:t>
            </w:r>
            <w:r>
              <w:rPr>
                <w:rFonts w:ascii="TimesNewRomanPSMT" w:hAnsi="TimesNewRomanPSMT" w:eastAsia="TimesNewRomanPSMT" w:cs="TimesNewRomanPSMT"/>
                <w:b w:val="0"/>
                <w:bCs w:val="0"/>
                <w:color w:val="auto"/>
                <w:sz w:val="21"/>
                <w:szCs w:val="21"/>
              </w:rPr>
              <w:t>0%</w:t>
            </w:r>
            <w:r>
              <w:rPr>
                <w:rFonts w:ascii="宋体" w:hAnsi="宋体" w:eastAsia="宋体" w:cs="宋体"/>
                <w:b w:val="0"/>
                <w:bCs w:val="0"/>
                <w:color w:val="auto"/>
                <w:sz w:val="21"/>
                <w:szCs w:val="21"/>
              </w:rPr>
              <w:t>氨水，氨水存放过程不可避免地会有部分氨气的无组织排放。氨水储罐旁设置水吸收槽，呼吸阀废气收集后引至水吸收槽吸收，可减少氨气的无组织排放</w:t>
            </w:r>
            <w:r>
              <w:rPr>
                <w:rFonts w:hint="eastAsia" w:ascii="宋体" w:hAnsi="宋体" w:eastAsia="宋体" w:cs="宋体"/>
                <w:b w:val="0"/>
                <w:bCs w:val="0"/>
                <w:color w:val="auto"/>
                <w:sz w:val="21"/>
                <w:szCs w:val="21"/>
                <w:lang w:val="en-US" w:eastAsia="zh-CN"/>
              </w:rPr>
              <w:t>,同时本项目所使用氨水质量分数为10%，属于低浓度氨水，能够有效减少氨无组织挥发量</w:t>
            </w:r>
            <w:r>
              <w:rPr>
                <w:rFonts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根据厂区现有工程验收监测表明，脱硝剂使用过程氨有组织排放量为</w:t>
            </w:r>
            <w:r>
              <w:rPr>
                <w:rFonts w:hint="default" w:ascii="Times New Roman" w:hAnsi="Times New Roman" w:eastAsia="宋体" w:cs="Times New Roman"/>
                <w:b w:val="0"/>
                <w:bCs w:val="0"/>
                <w:color w:val="auto"/>
                <w:sz w:val="21"/>
                <w:szCs w:val="21"/>
                <w:lang w:val="en-US" w:eastAsia="zh-CN"/>
              </w:rPr>
              <w:t>0.395t/a</w:t>
            </w:r>
            <w:r>
              <w:rPr>
                <w:rFonts w:ascii="宋体" w:hAnsi="宋体" w:eastAsia="宋体" w:cs="宋体"/>
                <w:b w:val="0"/>
                <w:bCs w:val="0"/>
                <w:color w:val="auto"/>
                <w:sz w:val="21"/>
                <w:szCs w:val="21"/>
              </w:rPr>
              <w:t>，氨气无组织排放厂界浓度能够满足《恶臭污染物排放标准》（</w:t>
            </w:r>
            <w:r>
              <w:rPr>
                <w:rFonts w:hint="default" w:ascii="TimesNewRomanPSMT" w:hAnsi="TimesNewRomanPSMT" w:eastAsia="TimesNewRomanPSMT" w:cs="TimesNewRomanPSMT"/>
                <w:b w:val="0"/>
                <w:bCs w:val="0"/>
                <w:color w:val="auto"/>
                <w:sz w:val="21"/>
                <w:szCs w:val="21"/>
              </w:rPr>
              <w:t>GB14554-93</w:t>
            </w:r>
            <w:r>
              <w:rPr>
                <w:rFonts w:ascii="宋体" w:hAnsi="宋体" w:eastAsia="宋体" w:cs="宋体"/>
                <w:b w:val="0"/>
                <w:bCs w:val="0"/>
                <w:color w:val="auto"/>
                <w:sz w:val="21"/>
                <w:szCs w:val="21"/>
              </w:rPr>
              <w:t>）表</w:t>
            </w:r>
            <w:r>
              <w:rPr>
                <w:rFonts w:hint="default" w:ascii="TimesNewRomanPSMT" w:hAnsi="TimesNewRomanPSMT" w:eastAsia="TimesNewRomanPSMT" w:cs="TimesNewRomanPSMT"/>
                <w:b w:val="0"/>
                <w:bCs w:val="0"/>
                <w:color w:val="auto"/>
                <w:sz w:val="21"/>
                <w:szCs w:val="21"/>
              </w:rPr>
              <w:t>1</w:t>
            </w:r>
            <w:r>
              <w:rPr>
                <w:rFonts w:ascii="宋体" w:hAnsi="宋体" w:eastAsia="宋体" w:cs="宋体"/>
                <w:b w:val="0"/>
                <w:bCs w:val="0"/>
                <w:color w:val="auto"/>
                <w:sz w:val="21"/>
                <w:szCs w:val="21"/>
              </w:rPr>
              <w:t>二级新扩改建厂界标准限值的要求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无组织挥发量较小，本次不予核算排放量</w:t>
            </w:r>
            <w:r>
              <w:rPr>
                <w:rFonts w:ascii="宋体" w:hAnsi="宋体" w:eastAsia="宋体" w:cs="宋体"/>
                <w:b w:val="0"/>
                <w:bCs w:val="0"/>
                <w:color w:val="auto"/>
                <w:sz w:val="21"/>
                <w:szCs w:val="21"/>
              </w:rPr>
              <w:t>。</w:t>
            </w:r>
          </w:p>
          <w:p w14:paraId="5BB1146F">
            <w:pPr>
              <w:pStyle w:val="84"/>
              <w:ind w:firstLine="42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（10）食堂油烟</w:t>
            </w:r>
          </w:p>
          <w:p w14:paraId="54AE1736">
            <w:pPr>
              <w:pStyle w:val="84"/>
              <w:ind w:firstLine="422"/>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食堂设有基准灶头2个，供厂内128名职工用餐（2餐/d）。食堂内装有静电式油烟净化器对厨房油烟进行处理，油烟净化器净化效率可达75%，厂区食堂利用现有，厂区不新增员工，不增加食堂规模，现有食堂油烟经油烟净化器处理后引至屋顶排放。</w:t>
            </w:r>
          </w:p>
          <w:bookmarkEnd w:id="17"/>
          <w:p w14:paraId="0E18777F">
            <w:pPr>
              <w:pStyle w:val="84"/>
              <w:ind w:firstLine="422"/>
              <w:rPr>
                <w:b/>
                <w:bCs w:val="0"/>
                <w:color w:val="auto"/>
                <w:lang w:val="en-US" w:eastAsia="zh-CN"/>
              </w:rPr>
            </w:pPr>
            <w:r>
              <w:rPr>
                <w:rFonts w:hint="eastAsia"/>
                <w:b/>
                <w:bCs w:val="0"/>
                <w:color w:val="auto"/>
                <w:lang w:val="en-US" w:eastAsia="zh-CN"/>
              </w:rPr>
              <w:t>2、</w:t>
            </w:r>
            <w:r>
              <w:rPr>
                <w:rFonts w:hint="eastAsia"/>
                <w:b/>
                <w:bCs w:val="0"/>
                <w:color w:val="auto"/>
                <w:lang w:val="en-US" w:eastAsia="zh-CN"/>
              </w:rPr>
              <w:t>废气治理措施及其可行性分析：</w:t>
            </w:r>
          </w:p>
          <w:p w14:paraId="68B3CE5E">
            <w:pPr>
              <w:pStyle w:val="84"/>
              <w:numPr>
                <w:ilvl w:val="0"/>
                <w:numId w:val="0"/>
              </w:numPr>
              <w:ind w:firstLine="420" w:firstLineChars="200"/>
              <w:rPr>
                <w:rFonts w:hint="eastAsia"/>
                <w:color w:val="auto"/>
                <w:lang w:val="en-US" w:eastAsia="zh-CN"/>
              </w:rPr>
            </w:pPr>
            <w:r>
              <w:rPr>
                <w:rFonts w:hint="default"/>
                <w:bCs/>
                <w:color w:val="auto"/>
                <w:kern w:val="2"/>
                <w:sz w:val="21"/>
                <w:szCs w:val="21"/>
                <w:lang w:val="en-US" w:eastAsia="zh-CN" w:bidi="ar-SA"/>
              </w:rPr>
              <w:t>（1）</w:t>
            </w:r>
            <w:r>
              <w:rPr>
                <w:rFonts w:hint="eastAsia"/>
                <w:color w:val="auto"/>
                <w:lang w:val="en-US" w:eastAsia="zh-CN"/>
              </w:rPr>
              <w:t>粉尘</w:t>
            </w:r>
          </w:p>
          <w:p w14:paraId="15AA1093">
            <w:pPr>
              <w:pStyle w:val="84"/>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color w:val="auto"/>
                <w:lang w:val="en-US" w:eastAsia="zh-CN"/>
              </w:rPr>
            </w:pPr>
            <w:r>
              <w:rPr>
                <w:rFonts w:hint="eastAsia"/>
                <w:color w:val="auto"/>
                <w:lang w:val="en-US" w:eastAsia="zh-CN"/>
              </w:rPr>
              <w:t>本项目仓储、下料等环节均位于密闭原料库内进行，上料环节对石英砂等物料进行湿式喷淋，减少粉尘产生量。物料输送环节采用密闭输送机，配料、搅拌环节位于搅拌机密闭料仓内进行，配套集尘装置吸风管，经集风管收集后采用布袋除尘器处理达标排放。投料环节采用集气罩收集，输送过程密闭，配套布袋除尘器处理。破碎过程位于密闭独立操作间，不合格品破碎成小块状，不进行粉碎。</w:t>
            </w:r>
          </w:p>
          <w:p w14:paraId="53EF1E5B">
            <w:pPr>
              <w:pStyle w:val="84"/>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color w:val="auto"/>
                <w:lang w:val="en-US" w:eastAsia="zh-CN"/>
              </w:rPr>
            </w:pPr>
            <w:r>
              <w:rPr>
                <w:rFonts w:hint="eastAsia"/>
                <w:color w:val="auto"/>
                <w:lang w:val="en-US" w:eastAsia="zh-CN"/>
              </w:rPr>
              <w:t>根据现场踏勘，原料库及生产车间外未有可见粉尘外逸现象。厂区内道路全部硬化，每日采取清扫、洒水等措施。对照《玻璃工业大气污染物排放标准》（DB34/4295-2022）中无组织管控要求，本项目所采取的措施满足其管控要求，同时根据工程分析核算，配料、搅拌工序颗粒物排放满足《玻璃工业大气污染物排放标准》（DB34/4295-2022）表1大气污染物排放限制要求。</w:t>
            </w:r>
          </w:p>
          <w:p w14:paraId="49EFBEF1">
            <w:pPr>
              <w:pStyle w:val="84"/>
              <w:numPr>
                <w:ilvl w:val="0"/>
                <w:numId w:val="0"/>
              </w:numPr>
              <w:ind w:firstLine="420" w:firstLineChars="200"/>
              <w:rPr>
                <w:rFonts w:hint="default"/>
                <w:bCs/>
                <w:color w:val="auto"/>
                <w:kern w:val="2"/>
                <w:sz w:val="21"/>
                <w:szCs w:val="21"/>
                <w:lang w:val="en-US" w:eastAsia="zh-CN" w:bidi="ar-SA"/>
              </w:rPr>
            </w:pPr>
            <w:r>
              <w:rPr>
                <w:rFonts w:hint="default"/>
                <w:bCs/>
                <w:color w:val="auto"/>
                <w:kern w:val="2"/>
                <w:sz w:val="21"/>
                <w:szCs w:val="21"/>
                <w:lang w:val="en-US" w:eastAsia="zh-CN" w:bidi="ar-SA"/>
              </w:rPr>
              <w:t>（2）</w:t>
            </w:r>
            <w:r>
              <w:rPr>
                <w:rFonts w:hint="eastAsia"/>
                <w:color w:val="auto"/>
                <w:lang w:val="en-US" w:eastAsia="zh-CN"/>
              </w:rPr>
              <w:t>熔窑废气配套</w:t>
            </w:r>
            <w:r>
              <w:rPr>
                <w:rFonts w:hint="eastAsia" w:ascii="Times New Roman" w:hAnsi="Times New Roman" w:eastAsia="宋体" w:cs="Times New Roman"/>
                <w:bCs/>
                <w:color w:val="auto"/>
                <w:lang w:val="en-US" w:eastAsia="zh-CN"/>
              </w:rPr>
              <w:t>陶瓷纤维脱硝除尘一体烟气净化系统（调质脱硫塔+陶瓷滤筒脱硝除尘）进行处理，</w:t>
            </w:r>
            <w:r>
              <w:rPr>
                <w:rFonts w:hint="default"/>
                <w:bCs/>
                <w:color w:val="auto"/>
                <w:kern w:val="2"/>
                <w:sz w:val="21"/>
                <w:szCs w:val="21"/>
                <w:lang w:val="en-US" w:eastAsia="zh-CN" w:bidi="ar-SA"/>
              </w:rPr>
              <w:t>窑炉烟气通过管道连接调质脱硫塔</w:t>
            </w:r>
            <w:r>
              <w:rPr>
                <w:rFonts w:hint="eastAsia"/>
                <w:bCs/>
                <w:color w:val="auto"/>
                <w:kern w:val="2"/>
                <w:sz w:val="21"/>
                <w:szCs w:val="21"/>
                <w:lang w:val="en-US" w:eastAsia="zh-CN" w:bidi="ar-SA"/>
              </w:rPr>
              <w:t>，</w:t>
            </w:r>
            <w:r>
              <w:rPr>
                <w:rFonts w:hint="default"/>
                <w:bCs/>
                <w:color w:val="auto"/>
                <w:kern w:val="2"/>
                <w:sz w:val="21"/>
                <w:szCs w:val="21"/>
                <w:lang w:val="en-US" w:eastAsia="zh-CN" w:bidi="ar-SA"/>
              </w:rPr>
              <w:t>从调质脱硫塔的底部经喷管进入塔中，消石灰通过计量定时螺旋输送形式喷入塔中，吸收掉大部分的烟气中的水份及二氧化硫等酸性气体；然后烟气经过调质塔的顶部排出，进入陶瓷纤维崔化管脱硝除尘，粉尘颗物被截留在纤维管的表面</w:t>
            </w:r>
            <w:r>
              <w:rPr>
                <w:rFonts w:hint="eastAsia"/>
                <w:bCs/>
                <w:color w:val="auto"/>
                <w:kern w:val="2"/>
                <w:sz w:val="21"/>
                <w:szCs w:val="21"/>
                <w:lang w:val="en-US" w:eastAsia="zh-CN" w:bidi="ar-SA"/>
              </w:rPr>
              <w:t>，</w:t>
            </w:r>
            <w:r>
              <w:rPr>
                <w:rFonts w:hint="default"/>
                <w:bCs/>
                <w:color w:val="auto"/>
                <w:kern w:val="2"/>
                <w:sz w:val="21"/>
                <w:szCs w:val="21"/>
                <w:lang w:val="en-US" w:eastAsia="zh-CN" w:bidi="ar-SA"/>
              </w:rPr>
              <w:t>经过除尘后的烟气穿过多孔的纤维膜元件</w:t>
            </w:r>
            <w:r>
              <w:rPr>
                <w:rFonts w:hint="eastAsia"/>
                <w:bCs/>
                <w:color w:val="auto"/>
                <w:kern w:val="2"/>
                <w:sz w:val="21"/>
                <w:szCs w:val="21"/>
                <w:lang w:val="en-US" w:eastAsia="zh-CN" w:bidi="ar-SA"/>
              </w:rPr>
              <w:t>，</w:t>
            </w:r>
            <w:r>
              <w:rPr>
                <w:rFonts w:hint="default"/>
                <w:bCs/>
                <w:color w:val="auto"/>
                <w:kern w:val="2"/>
                <w:sz w:val="21"/>
                <w:szCs w:val="21"/>
                <w:lang w:val="en-US" w:eastAsia="zh-CN" w:bidi="ar-SA"/>
              </w:rPr>
              <w:t>在催化剂作用下</w:t>
            </w:r>
            <w:r>
              <w:rPr>
                <w:rFonts w:hint="eastAsia"/>
                <w:bCs/>
                <w:color w:val="auto"/>
                <w:kern w:val="2"/>
                <w:sz w:val="21"/>
                <w:szCs w:val="21"/>
                <w:lang w:val="en-US" w:eastAsia="zh-CN" w:bidi="ar-SA"/>
              </w:rPr>
              <w:t>，</w:t>
            </w:r>
            <w:r>
              <w:rPr>
                <w:rFonts w:hint="default"/>
                <w:bCs/>
                <w:color w:val="auto"/>
                <w:kern w:val="2"/>
                <w:sz w:val="21"/>
                <w:szCs w:val="21"/>
                <w:lang w:val="en-US" w:eastAsia="zh-CN" w:bidi="ar-SA"/>
              </w:rPr>
              <w:t>烟气中的氮氧化物被还原为氮气</w:t>
            </w:r>
            <w:r>
              <w:rPr>
                <w:rFonts w:hint="eastAsia"/>
                <w:bCs/>
                <w:color w:val="auto"/>
                <w:kern w:val="2"/>
                <w:sz w:val="21"/>
                <w:szCs w:val="21"/>
                <w:lang w:val="en-US" w:eastAsia="zh-CN" w:bidi="ar-SA"/>
              </w:rPr>
              <w:t>，</w:t>
            </w:r>
            <w:r>
              <w:rPr>
                <w:rFonts w:hint="default"/>
                <w:bCs/>
                <w:color w:val="auto"/>
                <w:kern w:val="2"/>
                <w:sz w:val="21"/>
                <w:szCs w:val="21"/>
                <w:lang w:val="en-US" w:eastAsia="zh-CN" w:bidi="ar-SA"/>
              </w:rPr>
              <w:t>洁净.达标烟气经过余热热水锅炉经引风机排入烟囱</w:t>
            </w:r>
            <w:r>
              <w:rPr>
                <w:rFonts w:hint="eastAsia"/>
                <w:bCs/>
                <w:color w:val="auto"/>
                <w:kern w:val="2"/>
                <w:sz w:val="21"/>
                <w:szCs w:val="21"/>
                <w:lang w:val="en-US" w:eastAsia="zh-CN" w:bidi="ar-SA"/>
              </w:rPr>
              <w:t>，</w:t>
            </w:r>
            <w:r>
              <w:rPr>
                <w:rFonts w:hint="default"/>
                <w:bCs/>
                <w:color w:val="auto"/>
                <w:kern w:val="2"/>
                <w:sz w:val="21"/>
                <w:szCs w:val="21"/>
                <w:lang w:val="en-US" w:eastAsia="zh-CN" w:bidi="ar-SA"/>
              </w:rPr>
              <w:t>除掉旳粉尘经缷料器进入螺旋输送机集中通过气力输送进入储存仓统一储存，脱硝除尘器分为8个工作室</w:t>
            </w:r>
            <w:r>
              <w:rPr>
                <w:rFonts w:hint="eastAsia"/>
                <w:bCs/>
                <w:color w:val="auto"/>
                <w:kern w:val="2"/>
                <w:sz w:val="21"/>
                <w:szCs w:val="21"/>
                <w:lang w:val="en-US" w:eastAsia="zh-CN" w:bidi="ar-SA"/>
              </w:rPr>
              <w:t>、</w:t>
            </w:r>
            <w:r>
              <w:rPr>
                <w:rFonts w:hint="default"/>
                <w:bCs/>
                <w:color w:val="auto"/>
                <w:kern w:val="2"/>
                <w:sz w:val="21"/>
                <w:szCs w:val="21"/>
                <w:lang w:val="en-US" w:eastAsia="zh-CN" w:bidi="ar-SA"/>
              </w:rPr>
              <w:t>8个落灰斗</w:t>
            </w:r>
            <w:r>
              <w:rPr>
                <w:rFonts w:hint="eastAsia"/>
                <w:bCs/>
                <w:color w:val="auto"/>
                <w:kern w:val="2"/>
                <w:sz w:val="21"/>
                <w:szCs w:val="21"/>
                <w:lang w:val="en-US" w:eastAsia="zh-CN" w:bidi="ar-SA"/>
              </w:rPr>
              <w:t>（四用四备）</w:t>
            </w:r>
            <w:r>
              <w:rPr>
                <w:rFonts w:hint="default"/>
                <w:bCs/>
                <w:color w:val="auto"/>
                <w:kern w:val="2"/>
                <w:sz w:val="21"/>
                <w:szCs w:val="21"/>
                <w:lang w:val="en-US" w:eastAsia="zh-CN" w:bidi="ar-SA"/>
              </w:rPr>
              <w:t>。</w:t>
            </w:r>
          </w:p>
          <w:p w14:paraId="112C9097">
            <w:pPr>
              <w:pStyle w:val="84"/>
              <w:numPr>
                <w:ilvl w:val="0"/>
                <w:numId w:val="0"/>
              </w:numPr>
              <w:ind w:firstLine="420" w:firstLineChars="200"/>
              <w:rPr>
                <w:color w:val="auto"/>
                <w:lang w:val="en-US" w:eastAsia="zh-CN"/>
              </w:rPr>
            </w:pPr>
            <w:r>
              <w:rPr>
                <w:rFonts w:hint="eastAsia"/>
                <w:color w:val="auto"/>
                <w:lang w:val="en-US" w:eastAsia="zh-CN"/>
              </w:rPr>
              <w:t>熔窑废气采用天然气作为能源，天然气属于清洁能源，燃烧废气配套</w:t>
            </w:r>
            <w:r>
              <w:rPr>
                <w:rFonts w:hint="eastAsia" w:ascii="Times New Roman" w:hAnsi="Times New Roman" w:eastAsia="宋体" w:cs="Times New Roman"/>
                <w:bCs/>
                <w:color w:val="auto"/>
                <w:lang w:val="en-US" w:eastAsia="zh-CN"/>
              </w:rPr>
              <w:t>陶瓷纤维脱硝除尘一体烟气净化系统（调质脱硫塔+陶瓷滤筒脱硝除尘）</w:t>
            </w:r>
            <w:r>
              <w:rPr>
                <w:rFonts w:hint="eastAsia"/>
                <w:color w:val="auto"/>
                <w:lang w:val="en-US" w:eastAsia="zh-CN"/>
              </w:rPr>
              <w:t>处理后经55m排气筒（DA001）排放，颗粒物、二氧化硫、氮氧化物排放满足《玻璃工业大气污染物排放标准》(DB34/4295-2022)表1大气污染物排放限值要求排放限值要求。对照《排污许可证申请与核发技术规范 工业炉窑》（HJ1121-2020），烟尘经废气处理装置内置袋式除尘处理措施、二氧化硫防治措施采用低硫原料和燃料（燃料为天然气）、采用氢氧化钙干法脱硫属于可行技术，氮氧化物配套SCR脱硝处置措施属于现行氮氧化物处置可行技术。</w:t>
            </w:r>
          </w:p>
          <w:p w14:paraId="4A59A8E0">
            <w:pPr>
              <w:pStyle w:val="84"/>
              <w:rPr>
                <w:b/>
                <w:bCs w:val="0"/>
                <w:color w:val="auto"/>
                <w:lang w:val="en-US" w:eastAsia="zh-CN"/>
              </w:rPr>
            </w:pPr>
            <w:r>
              <w:rPr>
                <w:rFonts w:hint="eastAsia"/>
                <w:b/>
                <w:bCs w:val="0"/>
                <w:color w:val="auto"/>
                <w:lang w:val="en-US" w:eastAsia="zh-CN"/>
              </w:rPr>
              <w:t>3、</w:t>
            </w:r>
            <w:r>
              <w:rPr>
                <w:rFonts w:hint="eastAsia"/>
                <w:b/>
                <w:bCs w:val="0"/>
                <w:color w:val="auto"/>
                <w:lang w:val="en-US" w:eastAsia="zh-CN"/>
              </w:rPr>
              <w:t>非正常工况：</w:t>
            </w:r>
          </w:p>
          <w:p w14:paraId="08E4B0D5">
            <w:pPr>
              <w:pStyle w:val="84"/>
              <w:rPr>
                <w:rFonts w:hint="default"/>
                <w:color w:val="auto"/>
                <w:lang w:val="en-US" w:eastAsia="zh-CN"/>
              </w:rPr>
            </w:pPr>
            <w:r>
              <w:rPr>
                <w:rFonts w:hint="eastAsia"/>
                <w:color w:val="auto"/>
                <w:lang w:val="en-US" w:eastAsia="zh-CN"/>
              </w:rPr>
              <w:t>本次评价主要考虑废气污染物排放的非正常工况，项目非正常工况主要包括：生产过程中开停车（工、炉）、设备检修、工艺设备运转异常等非正常工况下的污染物排放，以及污染物排放控制措施达不到应有效率等情况下的排放。结合本项目主体生产工艺、</w:t>
            </w:r>
            <w:r>
              <w:rPr>
                <w:color w:val="auto"/>
                <w:lang w:val="en-US" w:eastAsia="zh-CN"/>
              </w:rPr>
              <w:t>相应污染防治措施</w:t>
            </w:r>
            <w:r>
              <w:rPr>
                <w:rFonts w:hint="eastAsia"/>
                <w:color w:val="auto"/>
                <w:lang w:val="en-US" w:eastAsia="zh-CN"/>
              </w:rPr>
              <w:t>，非</w:t>
            </w:r>
            <w:r>
              <w:rPr>
                <w:color w:val="auto"/>
                <w:lang w:val="en-US" w:eastAsia="zh-CN"/>
              </w:rPr>
              <w:t>正常工况情景主要</w:t>
            </w:r>
            <w:r>
              <w:rPr>
                <w:rFonts w:hint="eastAsia"/>
                <w:color w:val="auto"/>
                <w:lang w:val="en-US" w:eastAsia="zh-CN"/>
              </w:rPr>
              <w:t>设定</w:t>
            </w:r>
            <w:r>
              <w:rPr>
                <w:color w:val="auto"/>
                <w:lang w:val="en-US" w:eastAsia="zh-CN"/>
              </w:rPr>
              <w:t>为</w:t>
            </w:r>
            <w:r>
              <w:rPr>
                <w:rFonts w:hint="eastAsia"/>
                <w:color w:val="auto"/>
                <w:lang w:val="en-US" w:eastAsia="zh-CN"/>
              </w:rPr>
              <w:t>脱销装置催化剂失效、高温布袋除尘器破损，颗粒物处理效率为0。</w:t>
            </w:r>
          </w:p>
          <w:p w14:paraId="06415FD4">
            <w:pPr>
              <w:pStyle w:val="84"/>
              <w:rPr>
                <w:color w:val="auto"/>
                <w:lang w:val="en-US" w:eastAsia="zh-CN"/>
              </w:rPr>
            </w:pPr>
            <w:r>
              <w:rPr>
                <w:rFonts w:hint="eastAsia"/>
                <w:color w:val="auto"/>
                <w:lang w:val="en-US" w:eastAsia="zh-CN"/>
              </w:rPr>
              <w:t>项目非正常工况下的废气污染源强核算情况详见下表。</w:t>
            </w:r>
          </w:p>
          <w:p w14:paraId="592AB1A8">
            <w:pPr>
              <w:pStyle w:val="86"/>
              <w:spacing w:line="276" w:lineRule="auto"/>
              <w:rPr>
                <w:color w:val="auto"/>
              </w:rPr>
            </w:pPr>
            <w:r>
              <w:rPr>
                <w:rFonts w:hint="eastAsia"/>
                <w:color w:val="auto"/>
              </w:rPr>
              <w:t>表4-</w:t>
            </w:r>
            <w:r>
              <w:rPr>
                <w:color w:val="auto"/>
              </w:rPr>
              <w:t xml:space="preserve">6 </w:t>
            </w:r>
            <w:r>
              <w:rPr>
                <w:rFonts w:hint="eastAsia"/>
                <w:color w:val="auto"/>
              </w:rPr>
              <w:t xml:space="preserve"> 非正常工况下本项目各废气产生及排放情况汇总</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006"/>
              <w:gridCol w:w="1000"/>
              <w:gridCol w:w="1142"/>
              <w:gridCol w:w="856"/>
              <w:gridCol w:w="999"/>
              <w:gridCol w:w="1975"/>
            </w:tblGrid>
            <w:tr w14:paraId="23C9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noWrap w:val="0"/>
                  <w:vAlign w:val="center"/>
                </w:tcPr>
                <w:p w14:paraId="5C6C7D25">
                  <w:pPr>
                    <w:pStyle w:val="92"/>
                    <w:rPr>
                      <w:rFonts w:ascii="Times New Roman"/>
                      <w:color w:val="auto"/>
                      <w:sz w:val="18"/>
                      <w:szCs w:val="18"/>
                      <w:lang w:val="en-US" w:eastAsia="zh-CN"/>
                    </w:rPr>
                  </w:pPr>
                  <w:r>
                    <w:rPr>
                      <w:rFonts w:ascii="Times New Roman"/>
                      <w:color w:val="auto"/>
                      <w:sz w:val="18"/>
                      <w:szCs w:val="18"/>
                      <w:lang w:val="en-US" w:eastAsia="zh-CN" w:bidi="ar"/>
                    </w:rPr>
                    <w:t>排气筒编号</w:t>
                  </w:r>
                </w:p>
              </w:tc>
              <w:tc>
                <w:tcPr>
                  <w:tcW w:w="1006" w:type="dxa"/>
                  <w:noWrap w:val="0"/>
                  <w:vAlign w:val="center"/>
                </w:tcPr>
                <w:p w14:paraId="746E2D8A">
                  <w:pPr>
                    <w:pStyle w:val="92"/>
                    <w:rPr>
                      <w:rFonts w:ascii="Times New Roman"/>
                      <w:color w:val="auto"/>
                      <w:sz w:val="18"/>
                      <w:szCs w:val="18"/>
                      <w:lang w:val="en-US" w:eastAsia="zh-CN"/>
                    </w:rPr>
                  </w:pPr>
                  <w:r>
                    <w:rPr>
                      <w:rFonts w:ascii="Times New Roman"/>
                      <w:color w:val="auto"/>
                      <w:sz w:val="18"/>
                      <w:szCs w:val="18"/>
                      <w:lang w:val="en-US" w:eastAsia="zh-CN" w:bidi="ar"/>
                    </w:rPr>
                    <w:t>污染物</w:t>
                  </w:r>
                </w:p>
              </w:tc>
              <w:tc>
                <w:tcPr>
                  <w:tcW w:w="1000" w:type="dxa"/>
                  <w:noWrap w:val="0"/>
                  <w:vAlign w:val="center"/>
                </w:tcPr>
                <w:p w14:paraId="64AD49E5">
                  <w:pPr>
                    <w:pStyle w:val="92"/>
                    <w:rPr>
                      <w:rFonts w:ascii="Times New Roman"/>
                      <w:color w:val="auto"/>
                      <w:sz w:val="18"/>
                      <w:szCs w:val="18"/>
                      <w:lang w:val="en-US" w:eastAsia="zh-CN"/>
                    </w:rPr>
                  </w:pPr>
                  <w:r>
                    <w:rPr>
                      <w:rFonts w:ascii="Times New Roman"/>
                      <w:color w:val="auto"/>
                      <w:sz w:val="18"/>
                      <w:szCs w:val="18"/>
                      <w:lang w:val="en-US" w:eastAsia="zh-CN" w:bidi="ar"/>
                    </w:rPr>
                    <w:t>年发生频次/次</w:t>
                  </w:r>
                </w:p>
              </w:tc>
              <w:tc>
                <w:tcPr>
                  <w:tcW w:w="1142" w:type="dxa"/>
                  <w:noWrap w:val="0"/>
                  <w:vAlign w:val="center"/>
                </w:tcPr>
                <w:p w14:paraId="65DECCA0">
                  <w:pPr>
                    <w:pStyle w:val="92"/>
                    <w:rPr>
                      <w:rFonts w:ascii="Times New Roman"/>
                      <w:color w:val="auto"/>
                      <w:sz w:val="18"/>
                      <w:szCs w:val="18"/>
                      <w:lang w:val="en-US" w:eastAsia="zh-CN"/>
                    </w:rPr>
                  </w:pPr>
                  <w:r>
                    <w:rPr>
                      <w:rFonts w:ascii="Times New Roman"/>
                      <w:color w:val="auto"/>
                      <w:sz w:val="18"/>
                      <w:szCs w:val="18"/>
                      <w:lang w:val="en-US" w:eastAsia="zh-CN" w:bidi="ar"/>
                    </w:rPr>
                    <w:t>排放浓度mg/m</w:t>
                  </w:r>
                  <w:r>
                    <w:rPr>
                      <w:rFonts w:ascii="Times New Roman"/>
                      <w:color w:val="auto"/>
                      <w:sz w:val="18"/>
                      <w:szCs w:val="18"/>
                      <w:vertAlign w:val="superscript"/>
                      <w:lang w:val="en-US" w:eastAsia="zh-CN" w:bidi="ar"/>
                    </w:rPr>
                    <w:t>3</w:t>
                  </w:r>
                </w:p>
              </w:tc>
              <w:tc>
                <w:tcPr>
                  <w:tcW w:w="856" w:type="dxa"/>
                  <w:noWrap w:val="0"/>
                  <w:vAlign w:val="center"/>
                </w:tcPr>
                <w:p w14:paraId="1BDBB071">
                  <w:pPr>
                    <w:pStyle w:val="92"/>
                    <w:rPr>
                      <w:rFonts w:ascii="Times New Roman"/>
                      <w:color w:val="auto"/>
                      <w:sz w:val="18"/>
                      <w:szCs w:val="18"/>
                      <w:lang w:val="en-US" w:eastAsia="zh-CN"/>
                    </w:rPr>
                  </w:pPr>
                  <w:r>
                    <w:rPr>
                      <w:rFonts w:ascii="Times New Roman"/>
                      <w:color w:val="auto"/>
                      <w:sz w:val="18"/>
                      <w:szCs w:val="18"/>
                      <w:lang w:val="en-US" w:eastAsia="zh-CN" w:bidi="ar"/>
                    </w:rPr>
                    <w:t>排放量kg/a</w:t>
                  </w:r>
                </w:p>
              </w:tc>
              <w:tc>
                <w:tcPr>
                  <w:tcW w:w="999" w:type="dxa"/>
                  <w:noWrap w:val="0"/>
                  <w:vAlign w:val="center"/>
                </w:tcPr>
                <w:p w14:paraId="694FCFCE">
                  <w:pPr>
                    <w:pStyle w:val="92"/>
                    <w:rPr>
                      <w:rFonts w:ascii="Times New Roman"/>
                      <w:color w:val="auto"/>
                      <w:sz w:val="18"/>
                      <w:szCs w:val="18"/>
                      <w:lang w:val="en-US" w:eastAsia="zh-CN"/>
                    </w:rPr>
                  </w:pPr>
                  <w:r>
                    <w:rPr>
                      <w:rFonts w:ascii="Times New Roman"/>
                      <w:color w:val="auto"/>
                      <w:sz w:val="18"/>
                      <w:szCs w:val="18"/>
                      <w:lang w:val="en-US" w:eastAsia="zh-CN" w:bidi="ar"/>
                    </w:rPr>
                    <w:t>单次持续时间</w:t>
                  </w:r>
                </w:p>
              </w:tc>
              <w:tc>
                <w:tcPr>
                  <w:tcW w:w="1975" w:type="dxa"/>
                  <w:noWrap w:val="0"/>
                  <w:vAlign w:val="center"/>
                </w:tcPr>
                <w:p w14:paraId="7ECF22CE">
                  <w:pPr>
                    <w:pStyle w:val="92"/>
                    <w:rPr>
                      <w:rFonts w:ascii="Times New Roman"/>
                      <w:color w:val="auto"/>
                      <w:sz w:val="18"/>
                      <w:szCs w:val="18"/>
                      <w:lang w:val="en-US" w:eastAsia="zh-CN"/>
                    </w:rPr>
                  </w:pPr>
                  <w:r>
                    <w:rPr>
                      <w:rFonts w:ascii="Times New Roman"/>
                      <w:color w:val="auto"/>
                      <w:sz w:val="18"/>
                      <w:szCs w:val="18"/>
                      <w:lang w:val="en-US" w:eastAsia="zh-CN" w:bidi="ar"/>
                    </w:rPr>
                    <w:t>应对措施</w:t>
                  </w:r>
                </w:p>
              </w:tc>
            </w:tr>
            <w:tr w14:paraId="0D64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vMerge w:val="restart"/>
                  <w:noWrap w:val="0"/>
                  <w:vAlign w:val="center"/>
                </w:tcPr>
                <w:p w14:paraId="24AFA7D4">
                  <w:pPr>
                    <w:pStyle w:val="92"/>
                    <w:rPr>
                      <w:rFonts w:hint="default" w:ascii="Times New Roman"/>
                      <w:color w:val="auto"/>
                      <w:sz w:val="18"/>
                      <w:szCs w:val="18"/>
                      <w:lang w:val="en-US" w:eastAsia="zh-CN" w:bidi="ar"/>
                    </w:rPr>
                  </w:pPr>
                  <w:r>
                    <w:rPr>
                      <w:rFonts w:hint="eastAsia" w:ascii="Times New Roman"/>
                      <w:color w:val="auto"/>
                      <w:sz w:val="18"/>
                      <w:szCs w:val="18"/>
                      <w:lang w:val="en-US" w:eastAsia="zh-CN" w:bidi="ar"/>
                    </w:rPr>
                    <w:t>DA001</w:t>
                  </w:r>
                </w:p>
              </w:tc>
              <w:tc>
                <w:tcPr>
                  <w:tcW w:w="1006" w:type="dxa"/>
                  <w:noWrap w:val="0"/>
                  <w:vAlign w:val="center"/>
                </w:tcPr>
                <w:p w14:paraId="07596FC4">
                  <w:pPr>
                    <w:pStyle w:val="92"/>
                    <w:spacing w:line="240" w:lineRule="auto"/>
                    <w:ind w:right="0" w:rightChars="0"/>
                    <w:rPr>
                      <w:rFonts w:ascii="Times New Roman"/>
                      <w:color w:val="auto"/>
                      <w:sz w:val="18"/>
                      <w:szCs w:val="18"/>
                      <w:lang w:val="en-US" w:eastAsia="zh-CN" w:bidi="ar"/>
                    </w:rPr>
                  </w:pPr>
                  <w:r>
                    <w:rPr>
                      <w:rFonts w:ascii="Times New Roman"/>
                      <w:color w:val="auto"/>
                      <w:sz w:val="18"/>
                      <w:szCs w:val="18"/>
                      <w:lang w:val="en-US" w:eastAsia="zh-CN"/>
                    </w:rPr>
                    <w:t>SO</w:t>
                  </w:r>
                  <w:r>
                    <w:rPr>
                      <w:rFonts w:ascii="Times New Roman"/>
                      <w:color w:val="auto"/>
                      <w:sz w:val="18"/>
                      <w:szCs w:val="18"/>
                      <w:vertAlign w:val="subscript"/>
                      <w:lang w:val="en-US" w:eastAsia="zh-CN"/>
                    </w:rPr>
                    <w:t>2</w:t>
                  </w:r>
                </w:p>
              </w:tc>
              <w:tc>
                <w:tcPr>
                  <w:tcW w:w="1000" w:type="dxa"/>
                  <w:noWrap w:val="0"/>
                  <w:vAlign w:val="center"/>
                </w:tcPr>
                <w:p w14:paraId="3F71A9F9">
                  <w:pPr>
                    <w:pStyle w:val="92"/>
                    <w:ind w:right="0" w:rightChars="0"/>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551B408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Times New Roman"/>
                      <w:color w:val="auto"/>
                      <w:sz w:val="18"/>
                      <w:szCs w:val="18"/>
                      <w:lang w:val="en-US" w:eastAsia="zh-CN" w:bidi="ar"/>
                    </w:rPr>
                  </w:pPr>
                  <w:r>
                    <w:rPr>
                      <w:rFonts w:hint="eastAsia" w:eastAsia="等线"/>
                      <w:color w:val="auto"/>
                      <w:sz w:val="18"/>
                      <w:szCs w:val="18"/>
                      <w:lang w:val="en-US" w:eastAsia="zh-CN"/>
                    </w:rPr>
                    <w:t>60.25</w:t>
                  </w:r>
                </w:p>
              </w:tc>
              <w:tc>
                <w:tcPr>
                  <w:tcW w:w="856" w:type="dxa"/>
                  <w:noWrap w:val="0"/>
                  <w:vAlign w:val="center"/>
                </w:tcPr>
                <w:p w14:paraId="3C45AE1E">
                  <w:pPr>
                    <w:widowControl/>
                    <w:jc w:val="center"/>
                    <w:rPr>
                      <w:rFonts w:ascii="Times New Roman"/>
                      <w:color w:val="auto"/>
                      <w:sz w:val="18"/>
                      <w:szCs w:val="18"/>
                      <w:lang w:val="en-US" w:eastAsia="zh-CN" w:bidi="ar"/>
                    </w:rPr>
                  </w:pPr>
                  <w:r>
                    <w:rPr>
                      <w:rFonts w:hint="eastAsia" w:eastAsia="等线"/>
                      <w:color w:val="auto"/>
                      <w:sz w:val="18"/>
                      <w:szCs w:val="18"/>
                      <w:lang w:val="en-US" w:eastAsia="zh-CN"/>
                    </w:rPr>
                    <w:t>1.065</w:t>
                  </w:r>
                </w:p>
              </w:tc>
              <w:tc>
                <w:tcPr>
                  <w:tcW w:w="999" w:type="dxa"/>
                  <w:noWrap w:val="0"/>
                  <w:vAlign w:val="center"/>
                </w:tcPr>
                <w:p w14:paraId="6F84D53C">
                  <w:pPr>
                    <w:jc w:val="center"/>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restart"/>
                  <w:noWrap w:val="0"/>
                  <w:vAlign w:val="center"/>
                </w:tcPr>
                <w:p w14:paraId="6F63E983">
                  <w:pPr>
                    <w:pStyle w:val="9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Times New Roman"/>
                      <w:color w:val="auto"/>
                      <w:sz w:val="18"/>
                      <w:szCs w:val="18"/>
                      <w:lang w:val="en-US" w:eastAsia="zh-CN" w:bidi="ar"/>
                    </w:rPr>
                  </w:pPr>
                  <w:r>
                    <w:rPr>
                      <w:rFonts w:hint="eastAsia" w:ascii="Times New Roman" w:hAnsi="Times New Roman" w:eastAsia="宋体" w:cs="Times New Roman"/>
                      <w:bCs/>
                      <w:color w:val="auto"/>
                      <w:kern w:val="2"/>
                      <w:sz w:val="18"/>
                      <w:szCs w:val="18"/>
                      <w:lang w:val="en-US" w:eastAsia="zh-CN" w:bidi="ar-SA"/>
                    </w:rPr>
                    <w:t>立即进行排查，向上级部门报告，启用备用废气应急处理装置</w:t>
                  </w:r>
                </w:p>
              </w:tc>
            </w:tr>
            <w:tr w14:paraId="19C6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vMerge w:val="continue"/>
                  <w:noWrap w:val="0"/>
                  <w:vAlign w:val="center"/>
                </w:tcPr>
                <w:p w14:paraId="636573EE">
                  <w:pPr>
                    <w:pStyle w:val="92"/>
                    <w:rPr>
                      <w:rFonts w:ascii="Times New Roman"/>
                      <w:color w:val="auto"/>
                      <w:sz w:val="18"/>
                      <w:szCs w:val="18"/>
                      <w:lang w:val="en-US" w:eastAsia="zh-CN" w:bidi="ar"/>
                    </w:rPr>
                  </w:pPr>
                </w:p>
              </w:tc>
              <w:tc>
                <w:tcPr>
                  <w:tcW w:w="1006" w:type="dxa"/>
                  <w:noWrap w:val="0"/>
                  <w:vAlign w:val="center"/>
                </w:tcPr>
                <w:p w14:paraId="5F304DD9">
                  <w:pPr>
                    <w:pStyle w:val="92"/>
                    <w:spacing w:line="240" w:lineRule="auto"/>
                    <w:ind w:right="0" w:rightChars="0"/>
                    <w:rPr>
                      <w:rFonts w:ascii="Times New Roman"/>
                      <w:color w:val="auto"/>
                      <w:sz w:val="18"/>
                      <w:szCs w:val="18"/>
                      <w:lang w:val="en-US" w:eastAsia="zh-CN" w:bidi="ar"/>
                    </w:rPr>
                  </w:pPr>
                  <w:r>
                    <w:rPr>
                      <w:rFonts w:ascii="Times New Roman"/>
                      <w:color w:val="auto"/>
                      <w:sz w:val="18"/>
                      <w:szCs w:val="18"/>
                      <w:lang w:val="en-US" w:eastAsia="zh-CN"/>
                    </w:rPr>
                    <w:t>NOx</w:t>
                  </w:r>
                </w:p>
              </w:tc>
              <w:tc>
                <w:tcPr>
                  <w:tcW w:w="1000" w:type="dxa"/>
                  <w:noWrap w:val="0"/>
                  <w:vAlign w:val="center"/>
                </w:tcPr>
                <w:p w14:paraId="2364C81F">
                  <w:pPr>
                    <w:pStyle w:val="92"/>
                    <w:ind w:right="0" w:rightChars="0"/>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28AEB6E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Times New Roman"/>
                      <w:color w:val="auto"/>
                      <w:sz w:val="18"/>
                      <w:szCs w:val="18"/>
                      <w:lang w:val="en-US" w:eastAsia="zh-CN" w:bidi="ar"/>
                    </w:rPr>
                  </w:pPr>
                  <w:r>
                    <w:rPr>
                      <w:rFonts w:hint="eastAsia"/>
                      <w:color w:val="auto"/>
                      <w:sz w:val="18"/>
                      <w:szCs w:val="18"/>
                      <w:lang w:val="en-US" w:eastAsia="zh-CN"/>
                    </w:rPr>
                    <w:t>1095.22</w:t>
                  </w:r>
                </w:p>
              </w:tc>
              <w:tc>
                <w:tcPr>
                  <w:tcW w:w="856" w:type="dxa"/>
                  <w:noWrap w:val="0"/>
                  <w:vAlign w:val="center"/>
                </w:tcPr>
                <w:p w14:paraId="71F7C189">
                  <w:pPr>
                    <w:widowControl/>
                    <w:jc w:val="center"/>
                    <w:rPr>
                      <w:rFonts w:ascii="Times New Roman"/>
                      <w:color w:val="auto"/>
                      <w:sz w:val="18"/>
                      <w:szCs w:val="18"/>
                      <w:lang w:val="en-US" w:eastAsia="zh-CN" w:bidi="ar"/>
                    </w:rPr>
                  </w:pPr>
                  <w:r>
                    <w:rPr>
                      <w:rFonts w:hint="eastAsia" w:eastAsia="等线"/>
                      <w:color w:val="auto"/>
                      <w:sz w:val="18"/>
                      <w:szCs w:val="18"/>
                      <w:lang w:val="en-US" w:eastAsia="zh-CN"/>
                    </w:rPr>
                    <w:t>19.36</w:t>
                  </w:r>
                </w:p>
              </w:tc>
              <w:tc>
                <w:tcPr>
                  <w:tcW w:w="999" w:type="dxa"/>
                  <w:noWrap w:val="0"/>
                  <w:vAlign w:val="center"/>
                </w:tcPr>
                <w:p w14:paraId="30A4C462">
                  <w:pPr>
                    <w:jc w:val="center"/>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continue"/>
                  <w:noWrap w:val="0"/>
                  <w:vAlign w:val="center"/>
                </w:tcPr>
                <w:p w14:paraId="7C2C88CF">
                  <w:pPr>
                    <w:pStyle w:val="9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Times New Roman"/>
                      <w:color w:val="auto"/>
                      <w:sz w:val="18"/>
                      <w:szCs w:val="18"/>
                      <w:lang w:val="en-US" w:eastAsia="zh-CN" w:bidi="ar"/>
                    </w:rPr>
                  </w:pPr>
                </w:p>
              </w:tc>
            </w:tr>
            <w:tr w14:paraId="3C03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vMerge w:val="continue"/>
                  <w:noWrap w:val="0"/>
                  <w:vAlign w:val="center"/>
                </w:tcPr>
                <w:p w14:paraId="25DB2D34">
                  <w:pPr>
                    <w:pStyle w:val="92"/>
                    <w:rPr>
                      <w:rFonts w:ascii="Times New Roman"/>
                      <w:color w:val="auto"/>
                      <w:sz w:val="18"/>
                      <w:szCs w:val="18"/>
                      <w:lang w:val="en-US" w:eastAsia="zh-CN" w:bidi="ar"/>
                    </w:rPr>
                  </w:pPr>
                </w:p>
              </w:tc>
              <w:tc>
                <w:tcPr>
                  <w:tcW w:w="1006" w:type="dxa"/>
                  <w:noWrap w:val="0"/>
                  <w:vAlign w:val="center"/>
                </w:tcPr>
                <w:p w14:paraId="104D13E0">
                  <w:pPr>
                    <w:pStyle w:val="92"/>
                    <w:spacing w:line="240" w:lineRule="auto"/>
                    <w:ind w:right="0" w:rightChars="0"/>
                    <w:rPr>
                      <w:rFonts w:ascii="Times New Roman"/>
                      <w:color w:val="auto"/>
                      <w:sz w:val="18"/>
                      <w:szCs w:val="18"/>
                      <w:lang w:val="en-US" w:eastAsia="zh-CN" w:bidi="ar"/>
                    </w:rPr>
                  </w:pPr>
                  <w:r>
                    <w:rPr>
                      <w:rFonts w:ascii="Times New Roman"/>
                      <w:color w:val="auto"/>
                      <w:sz w:val="18"/>
                      <w:szCs w:val="18"/>
                      <w:lang w:val="en-US" w:eastAsia="zh-CN"/>
                    </w:rPr>
                    <w:t>烟尘</w:t>
                  </w:r>
                </w:p>
              </w:tc>
              <w:tc>
                <w:tcPr>
                  <w:tcW w:w="1000" w:type="dxa"/>
                  <w:noWrap w:val="0"/>
                  <w:vAlign w:val="center"/>
                </w:tcPr>
                <w:p w14:paraId="3BF9129A">
                  <w:pPr>
                    <w:pStyle w:val="92"/>
                    <w:ind w:right="0" w:rightChars="0"/>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5B4ECB1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Times New Roman"/>
                      <w:color w:val="auto"/>
                      <w:sz w:val="18"/>
                      <w:szCs w:val="18"/>
                      <w:lang w:val="en-US" w:eastAsia="zh-CN" w:bidi="ar"/>
                    </w:rPr>
                  </w:pPr>
                  <w:r>
                    <w:rPr>
                      <w:rFonts w:hint="eastAsia" w:eastAsia="等线"/>
                      <w:color w:val="auto"/>
                      <w:sz w:val="18"/>
                      <w:szCs w:val="18"/>
                      <w:lang w:val="en-US" w:eastAsia="zh-CN"/>
                    </w:rPr>
                    <w:t>38</w:t>
                  </w:r>
                  <w:r>
                    <w:rPr>
                      <w:rFonts w:eastAsia="等线"/>
                      <w:color w:val="auto"/>
                      <w:sz w:val="18"/>
                      <w:szCs w:val="18"/>
                    </w:rPr>
                    <w:t>.58</w:t>
                  </w:r>
                </w:p>
              </w:tc>
              <w:tc>
                <w:tcPr>
                  <w:tcW w:w="856" w:type="dxa"/>
                  <w:noWrap w:val="0"/>
                  <w:vAlign w:val="center"/>
                </w:tcPr>
                <w:p w14:paraId="67774840">
                  <w:pPr>
                    <w:widowControl/>
                    <w:jc w:val="center"/>
                    <w:rPr>
                      <w:rFonts w:ascii="Times New Roman"/>
                      <w:color w:val="auto"/>
                      <w:sz w:val="18"/>
                      <w:szCs w:val="18"/>
                      <w:lang w:val="en-US" w:eastAsia="zh-CN" w:bidi="ar"/>
                    </w:rPr>
                  </w:pPr>
                  <w:r>
                    <w:rPr>
                      <w:rFonts w:eastAsia="等线"/>
                      <w:color w:val="auto"/>
                      <w:sz w:val="18"/>
                      <w:szCs w:val="18"/>
                    </w:rPr>
                    <w:t>0.</w:t>
                  </w:r>
                  <w:r>
                    <w:rPr>
                      <w:rFonts w:hint="eastAsia" w:eastAsia="等线"/>
                      <w:color w:val="auto"/>
                      <w:sz w:val="18"/>
                      <w:szCs w:val="18"/>
                      <w:lang w:val="en-US" w:eastAsia="zh-CN"/>
                    </w:rPr>
                    <w:t>682</w:t>
                  </w:r>
                </w:p>
              </w:tc>
              <w:tc>
                <w:tcPr>
                  <w:tcW w:w="999" w:type="dxa"/>
                  <w:noWrap w:val="0"/>
                  <w:vAlign w:val="center"/>
                </w:tcPr>
                <w:p w14:paraId="2B8F5713">
                  <w:pPr>
                    <w:jc w:val="center"/>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continue"/>
                  <w:noWrap w:val="0"/>
                  <w:vAlign w:val="center"/>
                </w:tcPr>
                <w:p w14:paraId="0D7461B9">
                  <w:pPr>
                    <w:pStyle w:val="9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Times New Roman"/>
                      <w:color w:val="auto"/>
                      <w:sz w:val="18"/>
                      <w:szCs w:val="18"/>
                      <w:lang w:val="en-US" w:eastAsia="zh-CN" w:bidi="ar"/>
                    </w:rPr>
                  </w:pPr>
                </w:p>
              </w:tc>
            </w:tr>
            <w:tr w14:paraId="2BC0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vMerge w:val="continue"/>
                  <w:noWrap w:val="0"/>
                  <w:vAlign w:val="center"/>
                </w:tcPr>
                <w:p w14:paraId="09E68799">
                  <w:pPr>
                    <w:pStyle w:val="92"/>
                    <w:rPr>
                      <w:rFonts w:ascii="Times New Roman"/>
                      <w:color w:val="auto"/>
                      <w:sz w:val="18"/>
                      <w:szCs w:val="18"/>
                      <w:lang w:val="en-US" w:eastAsia="zh-CN" w:bidi="ar"/>
                    </w:rPr>
                  </w:pPr>
                </w:p>
              </w:tc>
              <w:tc>
                <w:tcPr>
                  <w:tcW w:w="1006" w:type="dxa"/>
                  <w:noWrap w:val="0"/>
                  <w:vAlign w:val="center"/>
                </w:tcPr>
                <w:p w14:paraId="1AA2C0E1">
                  <w:pPr>
                    <w:pStyle w:val="92"/>
                    <w:rPr>
                      <w:rFonts w:ascii="Times New Roman"/>
                      <w:color w:val="auto"/>
                      <w:sz w:val="18"/>
                      <w:szCs w:val="18"/>
                      <w:lang w:val="en-US" w:eastAsia="zh-CN" w:bidi="ar"/>
                    </w:rPr>
                  </w:pPr>
                  <w:r>
                    <w:rPr>
                      <w:rFonts w:hint="eastAsia"/>
                      <w:color w:val="auto"/>
                      <w:sz w:val="18"/>
                      <w:lang w:val="en-US" w:eastAsia="zh-CN"/>
                    </w:rPr>
                    <w:t>氨</w:t>
                  </w:r>
                </w:p>
              </w:tc>
              <w:tc>
                <w:tcPr>
                  <w:tcW w:w="1000" w:type="dxa"/>
                  <w:noWrap w:val="0"/>
                  <w:vAlign w:val="center"/>
                </w:tcPr>
                <w:p w14:paraId="3A6F6AF5">
                  <w:pPr>
                    <w:pStyle w:val="92"/>
                    <w:ind w:right="0" w:rightChars="0"/>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6D2904F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Times New Roman"/>
                      <w:color w:val="auto"/>
                      <w:sz w:val="18"/>
                      <w:szCs w:val="18"/>
                      <w:lang w:val="en-US" w:eastAsia="zh-CN" w:bidi="ar"/>
                    </w:rPr>
                  </w:pPr>
                  <w:r>
                    <w:rPr>
                      <w:rFonts w:hint="eastAsia" w:eastAsia="等线"/>
                      <w:color w:val="auto"/>
                      <w:sz w:val="18"/>
                      <w:szCs w:val="18"/>
                      <w:lang w:val="en-US" w:eastAsia="zh-CN"/>
                    </w:rPr>
                    <w:t>2.82</w:t>
                  </w:r>
                </w:p>
              </w:tc>
              <w:tc>
                <w:tcPr>
                  <w:tcW w:w="856" w:type="dxa"/>
                  <w:noWrap w:val="0"/>
                  <w:vAlign w:val="center"/>
                </w:tcPr>
                <w:p w14:paraId="4A4E8C8B">
                  <w:pPr>
                    <w:widowControl/>
                    <w:jc w:val="center"/>
                    <w:rPr>
                      <w:rFonts w:ascii="Times New Roman"/>
                      <w:color w:val="auto"/>
                      <w:sz w:val="18"/>
                      <w:szCs w:val="18"/>
                      <w:lang w:val="en-US" w:eastAsia="zh-CN" w:bidi="ar"/>
                    </w:rPr>
                  </w:pPr>
                  <w:r>
                    <w:rPr>
                      <w:rFonts w:hint="eastAsia" w:eastAsia="等线"/>
                      <w:color w:val="auto"/>
                      <w:sz w:val="18"/>
                      <w:szCs w:val="18"/>
                      <w:lang w:val="en-US" w:eastAsia="zh-CN"/>
                    </w:rPr>
                    <w:t>0.05</w:t>
                  </w:r>
                </w:p>
              </w:tc>
              <w:tc>
                <w:tcPr>
                  <w:tcW w:w="999" w:type="dxa"/>
                  <w:noWrap w:val="0"/>
                  <w:vAlign w:val="center"/>
                </w:tcPr>
                <w:p w14:paraId="12539B9A">
                  <w:pPr>
                    <w:jc w:val="center"/>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continue"/>
                  <w:noWrap w:val="0"/>
                  <w:vAlign w:val="center"/>
                </w:tcPr>
                <w:p w14:paraId="4C663A38">
                  <w:pPr>
                    <w:pStyle w:val="9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Times New Roman"/>
                      <w:color w:val="auto"/>
                      <w:sz w:val="18"/>
                      <w:szCs w:val="18"/>
                      <w:lang w:val="en-US" w:eastAsia="zh-CN" w:bidi="ar"/>
                    </w:rPr>
                  </w:pPr>
                </w:p>
              </w:tc>
            </w:tr>
            <w:tr w14:paraId="5E0C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noWrap w:val="0"/>
                  <w:vAlign w:val="center"/>
                </w:tcPr>
                <w:p w14:paraId="70690C5F">
                  <w:pPr>
                    <w:pStyle w:val="92"/>
                    <w:rPr>
                      <w:rFonts w:ascii="Times New Roman"/>
                      <w:color w:val="auto"/>
                      <w:sz w:val="18"/>
                      <w:szCs w:val="18"/>
                      <w:lang w:val="en-US" w:eastAsia="zh-CN" w:bidi="ar"/>
                    </w:rPr>
                  </w:pPr>
                  <w:r>
                    <w:rPr>
                      <w:rFonts w:ascii="Times New Roman"/>
                      <w:color w:val="auto"/>
                      <w:sz w:val="18"/>
                      <w:szCs w:val="18"/>
                      <w:lang w:val="en-US" w:eastAsia="zh-CN"/>
                    </w:rPr>
                    <w:t>DA002</w:t>
                  </w:r>
                </w:p>
              </w:tc>
              <w:tc>
                <w:tcPr>
                  <w:tcW w:w="1006" w:type="dxa"/>
                  <w:noWrap w:val="0"/>
                  <w:vAlign w:val="center"/>
                </w:tcPr>
                <w:p w14:paraId="3038259F">
                  <w:pPr>
                    <w:pStyle w:val="92"/>
                    <w:rPr>
                      <w:rFonts w:ascii="Times New Roman"/>
                      <w:color w:val="auto"/>
                      <w:sz w:val="18"/>
                      <w:szCs w:val="18"/>
                      <w:lang w:val="en-US" w:eastAsia="zh-CN" w:bidi="ar"/>
                    </w:rPr>
                  </w:pPr>
                  <w:r>
                    <w:rPr>
                      <w:rFonts w:hint="eastAsia" w:ascii="Times New Roman"/>
                      <w:color w:val="auto"/>
                      <w:sz w:val="18"/>
                      <w:szCs w:val="18"/>
                      <w:lang w:val="en-US" w:eastAsia="zh-CN"/>
                    </w:rPr>
                    <w:t>颗粒物</w:t>
                  </w:r>
                </w:p>
              </w:tc>
              <w:tc>
                <w:tcPr>
                  <w:tcW w:w="1000" w:type="dxa"/>
                  <w:noWrap w:val="0"/>
                  <w:vAlign w:val="center"/>
                </w:tcPr>
                <w:p w14:paraId="0DA41A50">
                  <w:pPr>
                    <w:pStyle w:val="92"/>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017608A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color w:val="auto"/>
                      <w:sz w:val="18"/>
                      <w:szCs w:val="18"/>
                      <w:lang w:val="en-US" w:eastAsia="zh-CN" w:bidi="ar"/>
                    </w:rPr>
                  </w:pPr>
                  <w:r>
                    <w:rPr>
                      <w:rFonts w:hint="eastAsia" w:eastAsia="等线"/>
                      <w:color w:val="auto"/>
                      <w:kern w:val="0"/>
                      <w:sz w:val="18"/>
                      <w:szCs w:val="18"/>
                      <w:lang w:val="en-US" w:eastAsia="zh-CN"/>
                    </w:rPr>
                    <w:t>148.33</w:t>
                  </w:r>
                </w:p>
              </w:tc>
              <w:tc>
                <w:tcPr>
                  <w:tcW w:w="856" w:type="dxa"/>
                  <w:noWrap w:val="0"/>
                  <w:vAlign w:val="center"/>
                </w:tcPr>
                <w:p w14:paraId="617673A1">
                  <w:pPr>
                    <w:widowControl/>
                    <w:jc w:val="center"/>
                    <w:rPr>
                      <w:rFonts w:hint="default" w:ascii="Times New Roman"/>
                      <w:color w:val="auto"/>
                      <w:sz w:val="18"/>
                      <w:szCs w:val="18"/>
                      <w:lang w:val="en-US" w:eastAsia="zh-CN" w:bidi="ar"/>
                    </w:rPr>
                  </w:pPr>
                  <w:r>
                    <w:rPr>
                      <w:rFonts w:hint="eastAsia" w:eastAsia="等线"/>
                      <w:color w:val="auto"/>
                      <w:kern w:val="0"/>
                      <w:sz w:val="18"/>
                      <w:szCs w:val="18"/>
                      <w:lang w:val="en-US" w:eastAsia="zh-CN"/>
                    </w:rPr>
                    <w:t>0.445</w:t>
                  </w:r>
                </w:p>
              </w:tc>
              <w:tc>
                <w:tcPr>
                  <w:tcW w:w="999" w:type="dxa"/>
                  <w:noWrap w:val="0"/>
                  <w:vAlign w:val="center"/>
                </w:tcPr>
                <w:p w14:paraId="2AEFC4AE">
                  <w:pPr>
                    <w:pStyle w:val="92"/>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restart"/>
                  <w:noWrap w:val="0"/>
                  <w:vAlign w:val="center"/>
                </w:tcPr>
                <w:p w14:paraId="54016B70">
                  <w:pPr>
                    <w:pStyle w:val="9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Times New Roman"/>
                      <w:color w:val="auto"/>
                      <w:sz w:val="18"/>
                      <w:szCs w:val="18"/>
                      <w:lang w:val="en-US" w:eastAsia="zh-CN" w:bidi="ar"/>
                    </w:rPr>
                  </w:pPr>
                  <w:r>
                    <w:rPr>
                      <w:rFonts w:ascii="Times New Roman"/>
                      <w:color w:val="auto"/>
                      <w:sz w:val="18"/>
                      <w:szCs w:val="18"/>
                      <w:lang w:val="en-US" w:eastAsia="zh-CN" w:bidi="ar"/>
                    </w:rPr>
                    <w:t>立即停止相关产污环节生产，维修设备或更换</w:t>
                  </w:r>
                  <w:r>
                    <w:rPr>
                      <w:rFonts w:hint="eastAsia" w:ascii="Times New Roman"/>
                      <w:color w:val="auto"/>
                      <w:sz w:val="18"/>
                      <w:szCs w:val="18"/>
                      <w:lang w:val="en-US" w:eastAsia="zh-CN" w:bidi="ar"/>
                    </w:rPr>
                    <w:t>除尘器部件</w:t>
                  </w:r>
                </w:p>
              </w:tc>
            </w:tr>
            <w:tr w14:paraId="1117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2" w:type="dxa"/>
                  <w:noWrap w:val="0"/>
                  <w:vAlign w:val="center"/>
                </w:tcPr>
                <w:p w14:paraId="40ECFCEA">
                  <w:pPr>
                    <w:pStyle w:val="92"/>
                    <w:rPr>
                      <w:rFonts w:ascii="Times New Roman"/>
                      <w:color w:val="auto"/>
                      <w:sz w:val="18"/>
                      <w:szCs w:val="18"/>
                      <w:lang w:val="en-US" w:eastAsia="zh-CN"/>
                    </w:rPr>
                  </w:pPr>
                  <w:r>
                    <w:rPr>
                      <w:rFonts w:hint="eastAsia" w:ascii="Times New Roman"/>
                      <w:color w:val="auto"/>
                      <w:sz w:val="18"/>
                      <w:szCs w:val="18"/>
                      <w:lang w:val="en-US" w:eastAsia="zh-CN"/>
                    </w:rPr>
                    <w:t>D</w:t>
                  </w:r>
                  <w:r>
                    <w:rPr>
                      <w:rFonts w:ascii="Times New Roman"/>
                      <w:color w:val="auto"/>
                      <w:sz w:val="18"/>
                      <w:szCs w:val="18"/>
                      <w:lang w:val="en-US" w:eastAsia="zh-CN"/>
                    </w:rPr>
                    <w:t>A003</w:t>
                  </w:r>
                </w:p>
              </w:tc>
              <w:tc>
                <w:tcPr>
                  <w:tcW w:w="1006" w:type="dxa"/>
                  <w:noWrap w:val="0"/>
                  <w:vAlign w:val="center"/>
                </w:tcPr>
                <w:p w14:paraId="646E342A">
                  <w:pPr>
                    <w:pStyle w:val="92"/>
                    <w:rPr>
                      <w:rFonts w:hint="eastAsia" w:ascii="Times New Roman"/>
                      <w:color w:val="auto"/>
                      <w:sz w:val="18"/>
                      <w:szCs w:val="18"/>
                      <w:lang w:val="en-US" w:eastAsia="zh-CN"/>
                    </w:rPr>
                  </w:pPr>
                  <w:r>
                    <w:rPr>
                      <w:rFonts w:hint="eastAsia" w:ascii="Times New Roman"/>
                      <w:color w:val="auto"/>
                      <w:sz w:val="18"/>
                      <w:szCs w:val="18"/>
                      <w:lang w:val="en-US" w:eastAsia="zh-CN"/>
                    </w:rPr>
                    <w:t>颗粒物</w:t>
                  </w:r>
                </w:p>
              </w:tc>
              <w:tc>
                <w:tcPr>
                  <w:tcW w:w="1000" w:type="dxa"/>
                  <w:noWrap w:val="0"/>
                  <w:vAlign w:val="center"/>
                </w:tcPr>
                <w:p w14:paraId="43EBCA46">
                  <w:pPr>
                    <w:pStyle w:val="92"/>
                    <w:rPr>
                      <w:rFonts w:ascii="Times New Roman"/>
                      <w:color w:val="auto"/>
                      <w:sz w:val="18"/>
                      <w:szCs w:val="18"/>
                      <w:lang w:val="en-US" w:eastAsia="zh-CN" w:bidi="ar"/>
                    </w:rPr>
                  </w:pPr>
                  <w:r>
                    <w:rPr>
                      <w:rFonts w:ascii="Times New Roman"/>
                      <w:color w:val="auto"/>
                      <w:sz w:val="18"/>
                      <w:szCs w:val="18"/>
                      <w:lang w:val="en-US" w:eastAsia="zh-CN" w:bidi="ar"/>
                    </w:rPr>
                    <w:t>1</w:t>
                  </w:r>
                </w:p>
              </w:tc>
              <w:tc>
                <w:tcPr>
                  <w:tcW w:w="1142" w:type="dxa"/>
                  <w:noWrap w:val="0"/>
                  <w:vAlign w:val="center"/>
                </w:tcPr>
                <w:p w14:paraId="441076A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eastAsia="等线"/>
                      <w:color w:val="auto"/>
                      <w:sz w:val="18"/>
                      <w:szCs w:val="18"/>
                      <w:lang w:val="en-US" w:eastAsia="zh-CN"/>
                    </w:rPr>
                  </w:pPr>
                  <w:r>
                    <w:rPr>
                      <w:rFonts w:hint="eastAsia" w:eastAsia="等线"/>
                      <w:color w:val="auto"/>
                      <w:kern w:val="0"/>
                      <w:sz w:val="18"/>
                      <w:szCs w:val="18"/>
                      <w:lang w:val="en-US" w:eastAsia="zh-CN"/>
                    </w:rPr>
                    <w:t>2336.45</w:t>
                  </w:r>
                </w:p>
              </w:tc>
              <w:tc>
                <w:tcPr>
                  <w:tcW w:w="856" w:type="dxa"/>
                  <w:noWrap w:val="0"/>
                  <w:vAlign w:val="center"/>
                </w:tcPr>
                <w:p w14:paraId="3959FF9F">
                  <w:pPr>
                    <w:widowControl/>
                    <w:jc w:val="center"/>
                    <w:rPr>
                      <w:rFonts w:ascii="Times New Roman" w:eastAsia="等线"/>
                      <w:color w:val="auto"/>
                      <w:sz w:val="18"/>
                      <w:szCs w:val="18"/>
                      <w:lang w:val="en-US" w:eastAsia="zh-CN"/>
                    </w:rPr>
                  </w:pPr>
                  <w:r>
                    <w:rPr>
                      <w:rFonts w:hint="eastAsia" w:eastAsia="等线"/>
                      <w:color w:val="auto"/>
                      <w:kern w:val="0"/>
                      <w:sz w:val="18"/>
                      <w:szCs w:val="18"/>
                      <w:lang w:val="en-US" w:eastAsia="zh-CN"/>
                    </w:rPr>
                    <w:t>1.237</w:t>
                  </w:r>
                </w:p>
              </w:tc>
              <w:tc>
                <w:tcPr>
                  <w:tcW w:w="999" w:type="dxa"/>
                  <w:noWrap w:val="0"/>
                  <w:vAlign w:val="center"/>
                </w:tcPr>
                <w:p w14:paraId="4B27361A">
                  <w:pPr>
                    <w:pStyle w:val="92"/>
                    <w:rPr>
                      <w:rFonts w:ascii="Times New Roman"/>
                      <w:color w:val="auto"/>
                      <w:sz w:val="18"/>
                      <w:szCs w:val="18"/>
                      <w:lang w:val="en-US" w:eastAsia="zh-CN" w:bidi="ar"/>
                    </w:rPr>
                  </w:pPr>
                  <w:r>
                    <w:rPr>
                      <w:rFonts w:ascii="Times New Roman"/>
                      <w:color w:val="auto"/>
                      <w:sz w:val="18"/>
                      <w:szCs w:val="18"/>
                      <w:lang w:val="en-US" w:eastAsia="zh-CN" w:bidi="ar"/>
                    </w:rPr>
                    <w:t>30min</w:t>
                  </w:r>
                </w:p>
              </w:tc>
              <w:tc>
                <w:tcPr>
                  <w:tcW w:w="1975" w:type="dxa"/>
                  <w:vMerge w:val="continue"/>
                  <w:noWrap w:val="0"/>
                  <w:vAlign w:val="center"/>
                </w:tcPr>
                <w:p w14:paraId="5FD2063C">
                  <w:pPr>
                    <w:pStyle w:val="92"/>
                    <w:rPr>
                      <w:rFonts w:ascii="Times New Roman"/>
                      <w:color w:val="auto"/>
                      <w:sz w:val="18"/>
                      <w:szCs w:val="18"/>
                      <w:lang w:val="en-US" w:eastAsia="zh-CN" w:bidi="ar"/>
                    </w:rPr>
                  </w:pPr>
                </w:p>
              </w:tc>
            </w:tr>
          </w:tbl>
          <w:p w14:paraId="74D2FB38">
            <w:pPr>
              <w:pStyle w:val="84"/>
              <w:rPr>
                <w:color w:val="auto"/>
                <w:lang w:val="en-US" w:eastAsia="zh-CN"/>
              </w:rPr>
            </w:pPr>
            <w:r>
              <w:rPr>
                <w:rFonts w:hint="eastAsia"/>
                <w:color w:val="auto"/>
                <w:lang w:val="en-US" w:eastAsia="zh-CN"/>
              </w:rPr>
              <w:t>本项目新建</w:t>
            </w:r>
            <w:r>
              <w:rPr>
                <w:rFonts w:hint="eastAsia" w:ascii="Times New Roman" w:hAnsi="Times New Roman" w:eastAsia="宋体" w:cs="Times New Roman"/>
                <w:bCs/>
                <w:color w:val="auto"/>
                <w:lang w:val="en-US" w:eastAsia="zh-CN"/>
              </w:rPr>
              <w:t>陶瓷纤维脱硝除尘一体烟气净化系统（调质脱硫塔+陶瓷滤筒脱硝除尘）按照一用一备进行设置，正常状态下烟气进入废气处理装置内处理，应急阀门关闭，废气处置装置异常，启动应急装置。</w:t>
            </w:r>
            <w:r>
              <w:rPr>
                <w:rFonts w:hint="eastAsia"/>
                <w:color w:val="auto"/>
                <w:lang w:val="en-US" w:eastAsia="zh-CN"/>
              </w:rPr>
              <w:t>有上表可知，非正常排放情况下，熔窑废气（氮氧化物、烟尘）、混料投料粉尘均排放不满足《玻璃工业大气污染物排放标准》（DB34/4295-2022）中表1大气污染物排放限值要求。非正常工况下会对周边环境产生一定的影响。本次评价</w:t>
            </w:r>
            <w:r>
              <w:rPr>
                <w:color w:val="auto"/>
                <w:lang w:val="en-US" w:eastAsia="zh-CN"/>
              </w:rPr>
              <w:t>要求企业</w:t>
            </w:r>
            <w:r>
              <w:rPr>
                <w:rFonts w:hint="eastAsia"/>
                <w:color w:val="auto"/>
                <w:lang w:val="en-US" w:eastAsia="zh-CN"/>
              </w:rPr>
              <w:t>应</w:t>
            </w:r>
            <w:r>
              <w:rPr>
                <w:color w:val="auto"/>
                <w:lang w:val="en-US" w:eastAsia="zh-CN"/>
              </w:rPr>
              <w:t>定期检查尾气处理装置，严格管理，避免</w:t>
            </w:r>
            <w:r>
              <w:rPr>
                <w:rFonts w:hint="eastAsia"/>
                <w:color w:val="auto"/>
                <w:lang w:val="en-US" w:eastAsia="zh-CN"/>
              </w:rPr>
              <w:t>非正常</w:t>
            </w:r>
            <w:r>
              <w:rPr>
                <w:color w:val="auto"/>
                <w:lang w:val="en-US" w:eastAsia="zh-CN"/>
              </w:rPr>
              <w:t>工况发生。</w:t>
            </w:r>
          </w:p>
          <w:p w14:paraId="652DA7C1">
            <w:pPr>
              <w:pStyle w:val="84"/>
              <w:ind w:firstLine="422"/>
              <w:rPr>
                <w:b/>
                <w:bCs w:val="0"/>
                <w:color w:val="auto"/>
                <w:lang w:val="en-US" w:eastAsia="zh-CN"/>
              </w:rPr>
            </w:pPr>
            <w:r>
              <w:rPr>
                <w:rFonts w:hint="eastAsia"/>
                <w:b/>
                <w:bCs w:val="0"/>
                <w:color w:val="auto"/>
                <w:lang w:val="en-US" w:eastAsia="zh-CN"/>
              </w:rPr>
              <w:t>4、</w:t>
            </w:r>
            <w:r>
              <w:rPr>
                <w:rFonts w:hint="eastAsia"/>
                <w:b/>
                <w:bCs w:val="0"/>
                <w:color w:val="auto"/>
                <w:lang w:val="en-US" w:eastAsia="zh-CN"/>
              </w:rPr>
              <w:t>大气环境防护距离：</w:t>
            </w:r>
          </w:p>
          <w:p w14:paraId="57F8F085">
            <w:pPr>
              <w:pStyle w:val="84"/>
              <w:rPr>
                <w:rFonts w:hint="eastAsia"/>
                <w:color w:val="auto"/>
                <w:lang w:val="en-US" w:eastAsia="zh-CN"/>
              </w:rPr>
            </w:pPr>
            <w:r>
              <w:rPr>
                <w:rFonts w:hint="eastAsia"/>
                <w:color w:val="auto"/>
                <w:lang w:val="en-US" w:eastAsia="zh-CN"/>
              </w:rPr>
              <w:t>本项目无需设置大气环境影响专题，未进行大气环境防护距离的计算。项目废气收集处理后均达标排放，对周边环境影响较小，无需设置大气环境防护距离。</w:t>
            </w:r>
          </w:p>
          <w:p w14:paraId="1697C3EE">
            <w:pPr>
              <w:pStyle w:val="84"/>
              <w:ind w:firstLine="422"/>
              <w:rPr>
                <w:b/>
                <w:bCs w:val="0"/>
                <w:color w:val="auto"/>
                <w:lang w:val="en-US" w:eastAsia="zh-CN"/>
              </w:rPr>
            </w:pPr>
            <w:r>
              <w:rPr>
                <w:rFonts w:hint="eastAsia"/>
                <w:b/>
                <w:bCs w:val="0"/>
                <w:color w:val="auto"/>
                <w:lang w:val="en-US" w:eastAsia="zh-CN"/>
              </w:rPr>
              <w:t>5、</w:t>
            </w:r>
            <w:r>
              <w:rPr>
                <w:rFonts w:hint="eastAsia"/>
                <w:b/>
                <w:bCs w:val="0"/>
                <w:color w:val="auto"/>
                <w:lang w:val="en-US" w:eastAsia="zh-CN"/>
              </w:rPr>
              <w:t>大气环境影响分析：</w:t>
            </w:r>
          </w:p>
          <w:p w14:paraId="028C77D9">
            <w:pPr>
              <w:pStyle w:val="84"/>
              <w:rPr>
                <w:b/>
                <w:color w:val="auto"/>
                <w:lang w:val="en-US" w:eastAsia="zh-CN"/>
              </w:rPr>
            </w:pPr>
            <w:r>
              <w:rPr>
                <w:rFonts w:hint="eastAsia"/>
                <w:color w:val="auto"/>
                <w:lang w:val="en-US" w:eastAsia="zh-CN"/>
              </w:rPr>
              <w:t>根据淮南市生态环境局公布的《2023年淮南市生态环境状况公报》，项目所在区域为不达标区</w:t>
            </w:r>
            <w:r>
              <w:rPr>
                <w:color w:val="auto"/>
                <w:lang w:val="en-US" w:eastAsia="zh-CN"/>
              </w:rPr>
              <w:t>。</w:t>
            </w:r>
            <w:r>
              <w:rPr>
                <w:rFonts w:hint="eastAsia"/>
                <w:bCs/>
                <w:color w:val="auto"/>
                <w:sz w:val="21"/>
                <w:szCs w:val="21"/>
              </w:rPr>
              <w:t>项目所在区域各基本污染物除</w:t>
            </w:r>
            <w:r>
              <w:rPr>
                <w:color w:val="auto"/>
                <w:sz w:val="21"/>
                <w:szCs w:val="21"/>
              </w:rPr>
              <w:t>PM</w:t>
            </w:r>
            <w:r>
              <w:rPr>
                <w:color w:val="auto"/>
                <w:sz w:val="21"/>
                <w:szCs w:val="21"/>
                <w:vertAlign w:val="subscript"/>
              </w:rPr>
              <w:t>2.5</w:t>
            </w:r>
            <w:r>
              <w:rPr>
                <w:color w:val="auto"/>
                <w:sz w:val="21"/>
                <w:szCs w:val="21"/>
              </w:rPr>
              <w:t>年平均浓度</w:t>
            </w:r>
            <w:r>
              <w:rPr>
                <w:rFonts w:hint="eastAsia"/>
                <w:color w:val="auto"/>
                <w:sz w:val="21"/>
                <w:szCs w:val="21"/>
              </w:rPr>
              <w:t>超标外，其他基本污染物</w:t>
            </w:r>
            <w:r>
              <w:rPr>
                <w:rFonts w:hint="eastAsia"/>
                <w:bCs/>
                <w:color w:val="auto"/>
                <w:sz w:val="21"/>
                <w:szCs w:val="21"/>
              </w:rPr>
              <w:t>质量浓度均满足《环境空气质量标准》（GB3095-2012）中的二级标准要求。</w:t>
            </w:r>
            <w:r>
              <w:rPr>
                <w:color w:val="auto"/>
                <w:lang w:val="en-US" w:eastAsia="zh-CN"/>
              </w:rPr>
              <w:t>说明项目区域大气环境质量现状较好。</w:t>
            </w:r>
          </w:p>
          <w:p w14:paraId="168BDA2C">
            <w:pPr>
              <w:pStyle w:val="84"/>
              <w:ind w:firstLine="422"/>
              <w:rPr>
                <w:b/>
                <w:bCs w:val="0"/>
                <w:color w:val="auto"/>
                <w:lang w:val="en-US" w:eastAsia="zh-CN"/>
              </w:rPr>
            </w:pPr>
            <w:r>
              <w:rPr>
                <w:rFonts w:hint="eastAsia"/>
                <w:b/>
                <w:bCs w:val="0"/>
                <w:color w:val="auto"/>
                <w:lang w:val="en-US" w:eastAsia="zh-CN"/>
              </w:rPr>
              <w:t>6、</w:t>
            </w:r>
            <w:r>
              <w:rPr>
                <w:rFonts w:hint="eastAsia"/>
                <w:b/>
                <w:bCs w:val="0"/>
                <w:color w:val="auto"/>
                <w:lang w:val="en-US" w:eastAsia="zh-CN"/>
              </w:rPr>
              <w:t>废气治理措施及其可行性分析：</w:t>
            </w:r>
          </w:p>
          <w:p w14:paraId="52CD1B61">
            <w:pPr>
              <w:pStyle w:val="84"/>
              <w:rPr>
                <w:color w:val="auto"/>
                <w:lang w:val="en-US" w:eastAsia="zh-CN"/>
              </w:rPr>
            </w:pPr>
            <w:r>
              <w:rPr>
                <w:rFonts w:hint="eastAsia"/>
                <w:color w:val="auto"/>
                <w:lang w:val="en-US" w:eastAsia="zh-CN"/>
              </w:rPr>
              <w:t>工程玻璃熔窑采用天然气加热，天然气属于清洁能源，天然气燃烧废气经</w:t>
            </w:r>
            <w:r>
              <w:rPr>
                <w:rFonts w:hint="eastAsia" w:ascii="Times New Roman"/>
                <w:color w:val="auto"/>
                <w:sz w:val="21"/>
                <w:szCs w:val="21"/>
                <w:lang w:val="en-US" w:eastAsia="zh-CN"/>
              </w:rPr>
              <w:t>密闭收集+陶瓷纤维脱硝除尘一体烟气净化系统（调质脱硫塔+陶瓷滤筒脱硝除尘）处理后经过</w:t>
            </w:r>
            <w:r>
              <w:rPr>
                <w:rFonts w:hint="eastAsia"/>
                <w:color w:val="auto"/>
                <w:lang w:val="en-US" w:eastAsia="zh-CN"/>
              </w:rPr>
              <w:t>55</w:t>
            </w:r>
            <w:r>
              <w:rPr>
                <w:color w:val="auto"/>
                <w:lang w:val="en-US" w:eastAsia="zh-CN"/>
              </w:rPr>
              <w:t>m</w:t>
            </w:r>
            <w:r>
              <w:rPr>
                <w:rFonts w:hint="eastAsia"/>
                <w:color w:val="auto"/>
                <w:lang w:val="en-US" w:eastAsia="zh-CN"/>
              </w:rPr>
              <w:t>高排气筒（D</w:t>
            </w:r>
            <w:r>
              <w:rPr>
                <w:color w:val="auto"/>
                <w:lang w:val="en-US" w:eastAsia="zh-CN"/>
              </w:rPr>
              <w:t>A001</w:t>
            </w:r>
            <w:r>
              <w:rPr>
                <w:rFonts w:hint="eastAsia"/>
                <w:color w:val="auto"/>
                <w:lang w:val="en-US" w:eastAsia="zh-CN"/>
              </w:rPr>
              <w:t>），烟尘、二氧化硫、氮氧化物、氨排放满足《玻璃工业大气污染物排放标准》（DB34/4295-2022）中表1大气污染物排放限值要求。混料、搅拌粉尘经密闭料仓边设吸风管收集后，由布袋除尘器处理后分别</w:t>
            </w:r>
            <w:r>
              <w:rPr>
                <w:color w:val="auto"/>
                <w:lang w:val="en-US" w:eastAsia="zh-CN"/>
              </w:rPr>
              <w:t>通过</w:t>
            </w:r>
            <w:r>
              <w:rPr>
                <w:rFonts w:hint="eastAsia"/>
                <w:color w:val="auto"/>
                <w:lang w:val="en-US" w:eastAsia="zh-CN"/>
              </w:rPr>
              <w:t>1</w:t>
            </w:r>
            <w:r>
              <w:rPr>
                <w:color w:val="auto"/>
                <w:lang w:val="en-US" w:eastAsia="zh-CN"/>
              </w:rPr>
              <w:t>根15m高</w:t>
            </w:r>
            <w:r>
              <w:rPr>
                <w:rFonts w:hint="eastAsia"/>
                <w:color w:val="auto"/>
                <w:lang w:val="en-US" w:eastAsia="zh-CN"/>
              </w:rPr>
              <w:t>排气筒</w:t>
            </w:r>
            <w:r>
              <w:rPr>
                <w:color w:val="auto"/>
                <w:lang w:val="en-US" w:eastAsia="zh-CN"/>
              </w:rPr>
              <w:t>排放</w:t>
            </w:r>
            <w:r>
              <w:rPr>
                <w:rFonts w:hint="eastAsia"/>
                <w:color w:val="auto"/>
                <w:lang w:val="en-US" w:eastAsia="zh-CN"/>
              </w:rPr>
              <w:t>（D</w:t>
            </w:r>
            <w:r>
              <w:rPr>
                <w:color w:val="auto"/>
                <w:lang w:val="en-US" w:eastAsia="zh-CN"/>
              </w:rPr>
              <w:t>A002</w:t>
            </w:r>
            <w:r>
              <w:rPr>
                <w:rFonts w:hint="eastAsia"/>
                <w:color w:val="auto"/>
                <w:lang w:val="en-US" w:eastAsia="zh-CN"/>
              </w:rPr>
              <w:t>）；投料环节配套集气罩收集，收集后采用布袋除尘器处理，经15m排气筒（DA003）排放；废气处理装置利用废气处理设施利用现有设施，玻璃熔窑废气烟尘、氮氧化物采用现有处理方式参照《排污许可证申请与核发技术规范 玻璃行业-平板玻璃》（HJ856-2017）属于可行性技术，针对二氧化硫产生量选用低硫燃料天然气，根据现有工程实测结果显示满足排放达标要求。本项目熔窑烟气投加氢氧化钙主要用于烟气调质，去除烟气中水分，因此不属于干法脱硫淘汰工艺。颗粒物排放满足《《玻璃工业大气污染物排放标准》（DB34/4295-2022）中表1大气污染物排放限值要求。针对企业周边大气敏感目标，主要通过加强废气收集效率，选用可行技术，厂区洒水抑尘等措施，减少对周边大气环境的影响。</w:t>
            </w:r>
          </w:p>
          <w:p w14:paraId="52C61CE7">
            <w:pPr>
              <w:pStyle w:val="84"/>
              <w:jc w:val="both"/>
              <w:rPr>
                <w:color w:val="auto"/>
                <w:lang w:val="en-US" w:eastAsia="zh-CN"/>
              </w:rPr>
            </w:pPr>
            <w:r>
              <w:rPr>
                <w:rFonts w:hint="eastAsia"/>
                <w:color w:val="auto"/>
                <w:lang w:val="en-US" w:eastAsia="zh-CN"/>
              </w:rPr>
              <w:t>本工程采取可行的污染治理措施，经采取相应的治理措施后，污染物的排放能够满足相应的排放标准要求，对周边环境影响不大。</w:t>
            </w:r>
          </w:p>
          <w:p w14:paraId="3B9548F3">
            <w:pPr>
              <w:pStyle w:val="84"/>
              <w:ind w:firstLine="422"/>
              <w:rPr>
                <w:b/>
                <w:bCs w:val="0"/>
                <w:color w:val="auto"/>
                <w:lang w:val="en-US" w:eastAsia="zh-CN"/>
              </w:rPr>
            </w:pPr>
            <w:r>
              <w:rPr>
                <w:b/>
                <w:bCs w:val="0"/>
                <w:color w:val="auto"/>
                <w:lang w:val="en-US" w:eastAsia="zh-CN"/>
              </w:rPr>
              <w:t>2</w:t>
            </w:r>
            <w:r>
              <w:rPr>
                <w:rFonts w:hint="eastAsia"/>
                <w:b/>
                <w:bCs w:val="0"/>
                <w:color w:val="auto"/>
                <w:lang w:val="en-US" w:eastAsia="zh-CN"/>
              </w:rPr>
              <w:t>、废水</w:t>
            </w:r>
          </w:p>
          <w:p w14:paraId="12144BE7">
            <w:pPr>
              <w:pStyle w:val="84"/>
              <w:rPr>
                <w:rFonts w:hint="eastAsia" w:hAnsi="宋体"/>
                <w:bCs w:val="0"/>
                <w:color w:val="auto"/>
                <w:spacing w:val="-10"/>
              </w:rPr>
            </w:pPr>
            <w:bookmarkStart w:id="20" w:name="_Hlk14336597"/>
            <w:bookmarkStart w:id="21" w:name="_Hlk96370207"/>
            <w:r>
              <w:rPr>
                <w:rFonts w:hint="eastAsia"/>
                <w:color w:val="auto"/>
                <w:lang w:val="en-US" w:eastAsia="zh-CN"/>
              </w:rPr>
              <w:t>本次技改前后废水排放情况不变。技改项目不新增废水排放。</w:t>
            </w:r>
            <w:bookmarkEnd w:id="20"/>
            <w:bookmarkEnd w:id="21"/>
          </w:p>
        </w:tc>
      </w:tr>
    </w:tbl>
    <w:p w14:paraId="6CD70055">
      <w:pPr>
        <w:pStyle w:val="30"/>
        <w:ind w:firstLine="600"/>
        <w:jc w:val="center"/>
        <w:outlineLvl w:val="0"/>
        <w:rPr>
          <w:rFonts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871D277">
      <w:pPr>
        <w:pStyle w:val="84"/>
        <w:ind w:firstLine="422"/>
        <w:rPr>
          <w:b/>
          <w:color w:val="auto"/>
        </w:rPr>
      </w:pPr>
      <w:r>
        <w:rPr>
          <w:rFonts w:hint="eastAsia"/>
          <w:b/>
          <w:color w:val="auto"/>
        </w:rPr>
        <w:t>3</w:t>
      </w:r>
      <w:r>
        <w:rPr>
          <w:b/>
          <w:color w:val="auto"/>
        </w:rPr>
        <w:t>、噪声</w:t>
      </w:r>
    </w:p>
    <w:p w14:paraId="133A3ABE">
      <w:pPr>
        <w:pStyle w:val="84"/>
        <w:ind w:firstLine="422"/>
        <w:rPr>
          <w:rFonts w:hint="eastAsia"/>
          <w:b/>
          <w:color w:val="auto"/>
        </w:rPr>
      </w:pPr>
      <w:r>
        <w:rPr>
          <w:rFonts w:hint="eastAsia"/>
          <w:b/>
          <w:color w:val="auto"/>
        </w:rPr>
        <w:t>（1）噪声源强及防治措施</w:t>
      </w:r>
    </w:p>
    <w:p w14:paraId="0D4F372B">
      <w:pPr>
        <w:pStyle w:val="84"/>
        <w:rPr>
          <w:color w:val="auto"/>
        </w:rPr>
      </w:pPr>
      <w:r>
        <w:rPr>
          <w:color w:val="auto"/>
        </w:rPr>
        <w:t>噪声主要是机械的撞击、磨擦、转动等运动而引起的机械噪声以及由于气流的起伏运动或气动力引起的空气动力性噪声，</w:t>
      </w:r>
      <w:r>
        <w:rPr>
          <w:rFonts w:hint="eastAsia"/>
          <w:color w:val="auto"/>
          <w:lang w:val="en-US" w:eastAsia="zh-CN"/>
        </w:rPr>
        <w:t>现有工程设备位置基本不变，技改项目新增</w:t>
      </w:r>
      <w:r>
        <w:rPr>
          <w:color w:val="auto"/>
        </w:rPr>
        <w:t>主要噪声源有：</w:t>
      </w:r>
      <w:r>
        <w:rPr>
          <w:rFonts w:hint="eastAsia"/>
          <w:color w:val="auto"/>
          <w:lang w:val="en-US" w:eastAsia="zh-CN"/>
        </w:rPr>
        <w:t>皮带机、供料机、行车、压机、空压机、池炉</w:t>
      </w:r>
      <w:r>
        <w:rPr>
          <w:color w:val="auto"/>
        </w:rPr>
        <w:t>等</w:t>
      </w:r>
      <w:r>
        <w:rPr>
          <w:rFonts w:hint="eastAsia"/>
          <w:color w:val="auto"/>
          <w:lang w:eastAsia="zh-CN"/>
        </w:rPr>
        <w:t>，</w:t>
      </w:r>
      <w:r>
        <w:rPr>
          <w:rFonts w:hint="eastAsia"/>
          <w:color w:val="auto"/>
          <w:lang w:val="en-US" w:eastAsia="zh-CN"/>
        </w:rPr>
        <w:t>建立坐标系，以西厂界和南厂界交点做原点，正东、正北方向为X、Y轴方向</w:t>
      </w:r>
      <w:r>
        <w:rPr>
          <w:color w:val="auto"/>
        </w:rPr>
        <w:t>。源强为</w:t>
      </w:r>
      <w:r>
        <w:rPr>
          <w:rFonts w:hint="eastAsia"/>
          <w:color w:val="auto"/>
          <w:lang w:val="en-US" w:eastAsia="zh-CN"/>
        </w:rPr>
        <w:t>7</w:t>
      </w:r>
      <w:r>
        <w:rPr>
          <w:color w:val="auto"/>
        </w:rPr>
        <w:t>5</w:t>
      </w:r>
      <w:r>
        <w:rPr>
          <w:rFonts w:hint="eastAsia"/>
          <w:color w:val="auto"/>
        </w:rPr>
        <w:t>-</w:t>
      </w:r>
      <w:r>
        <w:rPr>
          <w:color w:val="auto"/>
        </w:rPr>
        <w:t>95dB(A)，具体噪声源强详见下表：</w:t>
      </w:r>
    </w:p>
    <w:p w14:paraId="4C17A74A">
      <w:pPr>
        <w:pStyle w:val="136"/>
        <w:ind w:firstLine="422"/>
        <w:jc w:val="center"/>
        <w:rPr>
          <w:b/>
          <w:bCs/>
          <w:color w:val="auto"/>
        </w:rPr>
      </w:pPr>
      <w:r>
        <w:rPr>
          <w:rFonts w:hint="eastAsia"/>
          <w:b/>
          <w:bCs/>
          <w:color w:val="auto"/>
        </w:rPr>
        <w:t>表</w:t>
      </w:r>
      <w:r>
        <w:rPr>
          <w:color w:val="auto"/>
        </w:rPr>
        <w:t>4-11</w:t>
      </w:r>
      <w:r>
        <w:rPr>
          <w:b/>
          <w:bCs/>
          <w:color w:val="auto"/>
        </w:rPr>
        <w:t xml:space="preserve">   </w:t>
      </w:r>
      <w:r>
        <w:rPr>
          <w:rFonts w:hint="eastAsia"/>
          <w:b/>
          <w:bCs/>
          <w:color w:val="auto"/>
        </w:rPr>
        <w:t>厂区新增噪声源源强调查清单（室内声源）  单位：dB（A）</w:t>
      </w:r>
    </w:p>
    <w:tbl>
      <w:tblPr>
        <w:tblStyle w:val="35"/>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787"/>
        <w:gridCol w:w="1158"/>
        <w:gridCol w:w="1293"/>
        <w:gridCol w:w="693"/>
        <w:gridCol w:w="888"/>
        <w:gridCol w:w="782"/>
        <w:gridCol w:w="803"/>
        <w:gridCol w:w="631"/>
        <w:gridCol w:w="980"/>
        <w:gridCol w:w="970"/>
        <w:gridCol w:w="1214"/>
        <w:gridCol w:w="1067"/>
        <w:gridCol w:w="916"/>
        <w:gridCol w:w="1033"/>
      </w:tblGrid>
      <w:tr w14:paraId="69B3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vMerge w:val="restart"/>
            <w:noWrap w:val="0"/>
            <w:vAlign w:val="center"/>
          </w:tcPr>
          <w:p w14:paraId="2CC95B29">
            <w:pPr>
              <w:pStyle w:val="16"/>
              <w:spacing w:before="0" w:after="0" w:line="240" w:lineRule="auto"/>
              <w:ind w:right="0"/>
              <w:jc w:val="center"/>
              <w:rPr>
                <w:color w:val="auto"/>
                <w:szCs w:val="18"/>
                <w:lang w:val="en-US" w:eastAsia="zh-CN"/>
              </w:rPr>
            </w:pPr>
            <w:r>
              <w:rPr>
                <w:color w:val="auto"/>
                <w:szCs w:val="18"/>
                <w:lang w:val="en-US" w:eastAsia="zh-CN"/>
              </w:rPr>
              <w:t>序号</w:t>
            </w:r>
          </w:p>
        </w:tc>
        <w:tc>
          <w:tcPr>
            <w:tcW w:w="787" w:type="dxa"/>
            <w:vMerge w:val="restart"/>
            <w:noWrap w:val="0"/>
            <w:vAlign w:val="center"/>
          </w:tcPr>
          <w:p w14:paraId="561F3BF7">
            <w:pPr>
              <w:pStyle w:val="16"/>
              <w:spacing w:before="0" w:after="0" w:line="240" w:lineRule="auto"/>
              <w:ind w:right="0"/>
              <w:jc w:val="center"/>
              <w:rPr>
                <w:color w:val="auto"/>
                <w:szCs w:val="18"/>
                <w:lang w:val="en-US" w:eastAsia="zh-CN"/>
              </w:rPr>
            </w:pPr>
            <w:r>
              <w:rPr>
                <w:color w:val="auto"/>
                <w:szCs w:val="18"/>
                <w:lang w:val="en-US" w:eastAsia="zh-CN"/>
              </w:rPr>
              <w:t>建筑物名称</w:t>
            </w:r>
          </w:p>
        </w:tc>
        <w:tc>
          <w:tcPr>
            <w:tcW w:w="1158" w:type="dxa"/>
            <w:vMerge w:val="restart"/>
            <w:noWrap w:val="0"/>
            <w:vAlign w:val="center"/>
          </w:tcPr>
          <w:p w14:paraId="33686CA5">
            <w:pPr>
              <w:pStyle w:val="16"/>
              <w:spacing w:before="0" w:after="0" w:line="240" w:lineRule="auto"/>
              <w:ind w:right="0"/>
              <w:jc w:val="center"/>
              <w:rPr>
                <w:color w:val="auto"/>
                <w:szCs w:val="18"/>
                <w:lang w:val="en-US" w:eastAsia="zh-CN"/>
              </w:rPr>
            </w:pPr>
            <w:r>
              <w:rPr>
                <w:color w:val="auto"/>
                <w:szCs w:val="18"/>
                <w:lang w:val="en-US" w:eastAsia="zh-CN"/>
              </w:rPr>
              <w:t>声源名称</w:t>
            </w:r>
          </w:p>
        </w:tc>
        <w:tc>
          <w:tcPr>
            <w:tcW w:w="1293" w:type="dxa"/>
            <w:vMerge w:val="restart"/>
            <w:noWrap w:val="0"/>
            <w:vAlign w:val="center"/>
          </w:tcPr>
          <w:p w14:paraId="2F5AD4CB">
            <w:pPr>
              <w:pStyle w:val="16"/>
              <w:spacing w:before="0" w:after="0" w:line="240" w:lineRule="auto"/>
              <w:ind w:right="0"/>
              <w:jc w:val="center"/>
              <w:rPr>
                <w:color w:val="auto"/>
                <w:szCs w:val="18"/>
                <w:lang w:val="en-US" w:eastAsia="zh-CN"/>
              </w:rPr>
            </w:pPr>
            <w:r>
              <w:rPr>
                <w:rFonts w:hint="eastAsia"/>
                <w:color w:val="auto"/>
                <w:szCs w:val="18"/>
                <w:lang w:val="en-US" w:eastAsia="zh-CN"/>
              </w:rPr>
              <w:t>单台</w:t>
            </w:r>
            <w:r>
              <w:rPr>
                <w:color w:val="auto"/>
                <w:szCs w:val="18"/>
                <w:lang w:val="en-US" w:eastAsia="zh-CN"/>
              </w:rPr>
              <w:t>声压级/距声源距离dB(A)/m</w:t>
            </w:r>
          </w:p>
        </w:tc>
        <w:tc>
          <w:tcPr>
            <w:tcW w:w="693" w:type="dxa"/>
            <w:vMerge w:val="restart"/>
            <w:noWrap w:val="0"/>
            <w:vAlign w:val="center"/>
          </w:tcPr>
          <w:p w14:paraId="52C56C2D">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台数</w:t>
            </w:r>
          </w:p>
        </w:tc>
        <w:tc>
          <w:tcPr>
            <w:tcW w:w="888" w:type="dxa"/>
            <w:vMerge w:val="restart"/>
            <w:noWrap w:val="0"/>
            <w:vAlign w:val="center"/>
          </w:tcPr>
          <w:p w14:paraId="6D878E56">
            <w:pPr>
              <w:pStyle w:val="16"/>
              <w:spacing w:before="0" w:after="0" w:line="240" w:lineRule="auto"/>
              <w:ind w:right="0"/>
              <w:jc w:val="center"/>
              <w:rPr>
                <w:color w:val="auto"/>
                <w:szCs w:val="18"/>
                <w:lang w:val="en-US" w:eastAsia="zh-CN"/>
              </w:rPr>
            </w:pPr>
            <w:r>
              <w:rPr>
                <w:color w:val="auto"/>
                <w:szCs w:val="18"/>
                <w:lang w:val="en-US" w:eastAsia="zh-CN"/>
              </w:rPr>
              <w:t>声源控制措施</w:t>
            </w:r>
          </w:p>
          <w:p w14:paraId="6B721F43">
            <w:pPr>
              <w:pStyle w:val="16"/>
              <w:spacing w:before="0" w:after="0" w:line="240" w:lineRule="auto"/>
              <w:ind w:right="0"/>
              <w:jc w:val="center"/>
              <w:rPr>
                <w:color w:val="auto"/>
                <w:szCs w:val="18"/>
                <w:lang w:val="en-US" w:eastAsia="zh-CN"/>
              </w:rPr>
            </w:pPr>
          </w:p>
        </w:tc>
        <w:tc>
          <w:tcPr>
            <w:tcW w:w="2216" w:type="dxa"/>
            <w:gridSpan w:val="3"/>
            <w:noWrap w:val="0"/>
            <w:vAlign w:val="center"/>
          </w:tcPr>
          <w:p w14:paraId="06511619">
            <w:pPr>
              <w:pStyle w:val="16"/>
              <w:spacing w:before="0" w:after="0" w:line="240" w:lineRule="auto"/>
              <w:ind w:right="0"/>
              <w:jc w:val="center"/>
              <w:rPr>
                <w:color w:val="auto"/>
                <w:szCs w:val="18"/>
                <w:lang w:val="en-US" w:eastAsia="zh-CN"/>
              </w:rPr>
            </w:pPr>
            <w:r>
              <w:rPr>
                <w:color w:val="auto"/>
                <w:szCs w:val="18"/>
                <w:lang w:val="en-US" w:eastAsia="zh-CN"/>
              </w:rPr>
              <w:t>空间相对位置/m</w:t>
            </w:r>
          </w:p>
        </w:tc>
        <w:tc>
          <w:tcPr>
            <w:tcW w:w="980" w:type="dxa"/>
            <w:vMerge w:val="restart"/>
            <w:noWrap w:val="0"/>
            <w:vAlign w:val="center"/>
          </w:tcPr>
          <w:p w14:paraId="7745A34C">
            <w:pPr>
              <w:pStyle w:val="16"/>
              <w:spacing w:before="0" w:after="0" w:line="240" w:lineRule="auto"/>
              <w:ind w:right="0"/>
              <w:jc w:val="center"/>
              <w:rPr>
                <w:color w:val="auto"/>
                <w:szCs w:val="18"/>
                <w:lang w:val="en-US" w:eastAsia="zh-CN"/>
              </w:rPr>
            </w:pPr>
            <w:r>
              <w:rPr>
                <w:color w:val="auto"/>
                <w:szCs w:val="18"/>
                <w:lang w:val="en-US" w:eastAsia="zh-CN"/>
              </w:rPr>
              <w:t>距室内边界距离/m</w:t>
            </w:r>
          </w:p>
        </w:tc>
        <w:tc>
          <w:tcPr>
            <w:tcW w:w="970" w:type="dxa"/>
            <w:vMerge w:val="restart"/>
            <w:noWrap w:val="0"/>
            <w:vAlign w:val="center"/>
          </w:tcPr>
          <w:p w14:paraId="4331AA09">
            <w:pPr>
              <w:pStyle w:val="16"/>
              <w:spacing w:before="0" w:after="0" w:line="240" w:lineRule="auto"/>
              <w:ind w:right="0"/>
              <w:jc w:val="center"/>
              <w:rPr>
                <w:color w:val="auto"/>
                <w:szCs w:val="18"/>
                <w:lang w:val="en-US" w:eastAsia="zh-CN"/>
              </w:rPr>
            </w:pPr>
            <w:r>
              <w:rPr>
                <w:color w:val="auto"/>
                <w:szCs w:val="18"/>
                <w:lang w:val="en-US" w:eastAsia="zh-CN"/>
              </w:rPr>
              <w:t>室内边界声级/dB（A）</w:t>
            </w:r>
          </w:p>
        </w:tc>
        <w:tc>
          <w:tcPr>
            <w:tcW w:w="1214" w:type="dxa"/>
            <w:vMerge w:val="restart"/>
            <w:noWrap w:val="0"/>
            <w:vAlign w:val="center"/>
          </w:tcPr>
          <w:p w14:paraId="416AFD0E">
            <w:pPr>
              <w:pStyle w:val="16"/>
              <w:spacing w:before="0" w:after="0" w:line="240" w:lineRule="auto"/>
              <w:ind w:right="0"/>
              <w:jc w:val="center"/>
              <w:rPr>
                <w:color w:val="auto"/>
                <w:szCs w:val="18"/>
                <w:lang w:val="en-US" w:eastAsia="zh-CN"/>
              </w:rPr>
            </w:pPr>
            <w:r>
              <w:rPr>
                <w:color w:val="auto"/>
                <w:szCs w:val="18"/>
                <w:lang w:val="en-US" w:eastAsia="zh-CN"/>
              </w:rPr>
              <w:t>运行时段</w:t>
            </w:r>
          </w:p>
        </w:tc>
        <w:tc>
          <w:tcPr>
            <w:tcW w:w="1067" w:type="dxa"/>
            <w:vMerge w:val="restart"/>
            <w:noWrap w:val="0"/>
            <w:vAlign w:val="center"/>
          </w:tcPr>
          <w:p w14:paraId="4C3D2B97">
            <w:pPr>
              <w:pStyle w:val="16"/>
              <w:spacing w:before="0" w:after="0" w:line="240" w:lineRule="auto"/>
              <w:ind w:right="0"/>
              <w:jc w:val="center"/>
              <w:rPr>
                <w:color w:val="auto"/>
                <w:szCs w:val="18"/>
                <w:lang w:val="en-US" w:eastAsia="zh-CN"/>
              </w:rPr>
            </w:pPr>
            <w:r>
              <w:rPr>
                <w:color w:val="auto"/>
                <w:szCs w:val="18"/>
                <w:lang w:val="en-US" w:eastAsia="zh-CN"/>
              </w:rPr>
              <w:t>建筑物插入损失/dB（A）</w:t>
            </w:r>
          </w:p>
        </w:tc>
        <w:tc>
          <w:tcPr>
            <w:tcW w:w="1949" w:type="dxa"/>
            <w:gridSpan w:val="2"/>
            <w:noWrap w:val="0"/>
            <w:vAlign w:val="center"/>
          </w:tcPr>
          <w:p w14:paraId="1F205317">
            <w:pPr>
              <w:pStyle w:val="16"/>
              <w:spacing w:before="0" w:after="0" w:line="240" w:lineRule="auto"/>
              <w:ind w:right="0"/>
              <w:jc w:val="center"/>
              <w:rPr>
                <w:color w:val="auto"/>
                <w:szCs w:val="18"/>
                <w:lang w:val="en-US" w:eastAsia="zh-CN"/>
              </w:rPr>
            </w:pPr>
            <w:r>
              <w:rPr>
                <w:color w:val="auto"/>
                <w:szCs w:val="18"/>
                <w:lang w:val="en-US" w:eastAsia="zh-CN"/>
              </w:rPr>
              <w:t>建筑物外噪声</w:t>
            </w:r>
          </w:p>
        </w:tc>
      </w:tr>
      <w:tr w14:paraId="5802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vMerge w:val="continue"/>
            <w:noWrap w:val="0"/>
            <w:vAlign w:val="center"/>
          </w:tcPr>
          <w:p w14:paraId="3B3C18B9">
            <w:pPr>
              <w:pStyle w:val="16"/>
              <w:spacing w:before="0" w:after="0" w:line="240" w:lineRule="auto"/>
              <w:ind w:right="0"/>
              <w:jc w:val="center"/>
              <w:rPr>
                <w:color w:val="auto"/>
                <w:szCs w:val="18"/>
                <w:lang w:val="en-US" w:eastAsia="zh-CN"/>
              </w:rPr>
            </w:pPr>
          </w:p>
        </w:tc>
        <w:tc>
          <w:tcPr>
            <w:tcW w:w="787" w:type="dxa"/>
            <w:vMerge w:val="continue"/>
            <w:noWrap w:val="0"/>
            <w:vAlign w:val="center"/>
          </w:tcPr>
          <w:p w14:paraId="7973B1B2">
            <w:pPr>
              <w:pStyle w:val="16"/>
              <w:spacing w:before="0" w:after="0" w:line="240" w:lineRule="auto"/>
              <w:ind w:right="0"/>
              <w:jc w:val="center"/>
              <w:rPr>
                <w:color w:val="auto"/>
                <w:szCs w:val="18"/>
                <w:lang w:val="en-US" w:eastAsia="zh-CN"/>
              </w:rPr>
            </w:pPr>
          </w:p>
        </w:tc>
        <w:tc>
          <w:tcPr>
            <w:tcW w:w="1158" w:type="dxa"/>
            <w:vMerge w:val="continue"/>
            <w:noWrap w:val="0"/>
            <w:vAlign w:val="center"/>
          </w:tcPr>
          <w:p w14:paraId="75098026">
            <w:pPr>
              <w:pStyle w:val="16"/>
              <w:spacing w:before="0" w:after="0" w:line="240" w:lineRule="auto"/>
              <w:ind w:right="0"/>
              <w:jc w:val="center"/>
              <w:rPr>
                <w:color w:val="auto"/>
                <w:szCs w:val="18"/>
                <w:lang w:val="en-US" w:eastAsia="zh-CN"/>
              </w:rPr>
            </w:pPr>
          </w:p>
        </w:tc>
        <w:tc>
          <w:tcPr>
            <w:tcW w:w="1293" w:type="dxa"/>
            <w:vMerge w:val="continue"/>
            <w:noWrap w:val="0"/>
            <w:vAlign w:val="center"/>
          </w:tcPr>
          <w:p w14:paraId="073972D5">
            <w:pPr>
              <w:pStyle w:val="16"/>
              <w:spacing w:before="0" w:after="0" w:line="240" w:lineRule="auto"/>
              <w:ind w:right="0"/>
              <w:jc w:val="center"/>
              <w:rPr>
                <w:color w:val="auto"/>
                <w:szCs w:val="18"/>
                <w:lang w:val="en-US" w:eastAsia="zh-CN"/>
              </w:rPr>
            </w:pPr>
          </w:p>
        </w:tc>
        <w:tc>
          <w:tcPr>
            <w:tcW w:w="693" w:type="dxa"/>
            <w:vMerge w:val="continue"/>
            <w:noWrap w:val="0"/>
            <w:vAlign w:val="center"/>
          </w:tcPr>
          <w:p w14:paraId="0EF4A8C1">
            <w:pPr>
              <w:pStyle w:val="16"/>
              <w:spacing w:before="0" w:after="0" w:line="240" w:lineRule="auto"/>
              <w:ind w:right="0"/>
              <w:jc w:val="center"/>
              <w:rPr>
                <w:color w:val="auto"/>
                <w:szCs w:val="18"/>
                <w:lang w:val="en-US" w:eastAsia="zh-CN"/>
              </w:rPr>
            </w:pPr>
          </w:p>
        </w:tc>
        <w:tc>
          <w:tcPr>
            <w:tcW w:w="888" w:type="dxa"/>
            <w:vMerge w:val="continue"/>
            <w:noWrap w:val="0"/>
            <w:vAlign w:val="center"/>
          </w:tcPr>
          <w:p w14:paraId="2C52F604">
            <w:pPr>
              <w:pStyle w:val="16"/>
              <w:spacing w:before="0" w:after="0" w:line="240" w:lineRule="auto"/>
              <w:ind w:right="0"/>
              <w:jc w:val="center"/>
              <w:rPr>
                <w:color w:val="auto"/>
                <w:szCs w:val="18"/>
                <w:lang w:val="en-US" w:eastAsia="zh-CN"/>
              </w:rPr>
            </w:pPr>
          </w:p>
        </w:tc>
        <w:tc>
          <w:tcPr>
            <w:tcW w:w="782" w:type="dxa"/>
            <w:noWrap w:val="0"/>
            <w:vAlign w:val="center"/>
          </w:tcPr>
          <w:p w14:paraId="260D4C70">
            <w:pPr>
              <w:pStyle w:val="16"/>
              <w:spacing w:before="0" w:after="0" w:line="240" w:lineRule="auto"/>
              <w:ind w:right="0"/>
              <w:jc w:val="center"/>
              <w:rPr>
                <w:color w:val="auto"/>
                <w:szCs w:val="18"/>
                <w:lang w:val="en-US" w:eastAsia="zh-CN"/>
              </w:rPr>
            </w:pPr>
            <w:r>
              <w:rPr>
                <w:color w:val="auto"/>
                <w:szCs w:val="18"/>
                <w:lang w:val="en-US" w:eastAsia="zh-CN"/>
              </w:rPr>
              <w:t>X</w:t>
            </w:r>
          </w:p>
        </w:tc>
        <w:tc>
          <w:tcPr>
            <w:tcW w:w="803" w:type="dxa"/>
            <w:noWrap w:val="0"/>
            <w:vAlign w:val="center"/>
          </w:tcPr>
          <w:p w14:paraId="776125F0">
            <w:pPr>
              <w:pStyle w:val="16"/>
              <w:spacing w:before="0" w:after="0" w:line="240" w:lineRule="auto"/>
              <w:ind w:right="0"/>
              <w:jc w:val="center"/>
              <w:rPr>
                <w:color w:val="auto"/>
                <w:szCs w:val="18"/>
                <w:lang w:val="en-US" w:eastAsia="zh-CN"/>
              </w:rPr>
            </w:pPr>
            <w:r>
              <w:rPr>
                <w:color w:val="auto"/>
                <w:szCs w:val="18"/>
                <w:lang w:val="en-US" w:eastAsia="zh-CN"/>
              </w:rPr>
              <w:t>Y</w:t>
            </w:r>
          </w:p>
        </w:tc>
        <w:tc>
          <w:tcPr>
            <w:tcW w:w="631" w:type="dxa"/>
            <w:noWrap w:val="0"/>
            <w:vAlign w:val="center"/>
          </w:tcPr>
          <w:p w14:paraId="13478A18">
            <w:pPr>
              <w:pStyle w:val="16"/>
              <w:spacing w:before="0" w:after="0" w:line="240" w:lineRule="auto"/>
              <w:ind w:right="0"/>
              <w:jc w:val="center"/>
              <w:rPr>
                <w:color w:val="auto"/>
                <w:szCs w:val="18"/>
                <w:lang w:val="en-US" w:eastAsia="zh-CN"/>
              </w:rPr>
            </w:pPr>
            <w:r>
              <w:rPr>
                <w:color w:val="auto"/>
                <w:szCs w:val="18"/>
                <w:lang w:val="en-US" w:eastAsia="zh-CN"/>
              </w:rPr>
              <w:t>Z</w:t>
            </w:r>
          </w:p>
        </w:tc>
        <w:tc>
          <w:tcPr>
            <w:tcW w:w="980" w:type="dxa"/>
            <w:vMerge w:val="continue"/>
            <w:noWrap w:val="0"/>
            <w:vAlign w:val="center"/>
          </w:tcPr>
          <w:p w14:paraId="223431F3">
            <w:pPr>
              <w:pStyle w:val="16"/>
              <w:spacing w:before="0" w:after="0" w:line="240" w:lineRule="auto"/>
              <w:ind w:right="0"/>
              <w:jc w:val="center"/>
              <w:rPr>
                <w:color w:val="auto"/>
                <w:szCs w:val="18"/>
                <w:lang w:val="en-US" w:eastAsia="zh-CN"/>
              </w:rPr>
            </w:pPr>
          </w:p>
        </w:tc>
        <w:tc>
          <w:tcPr>
            <w:tcW w:w="970" w:type="dxa"/>
            <w:vMerge w:val="continue"/>
            <w:noWrap w:val="0"/>
            <w:vAlign w:val="center"/>
          </w:tcPr>
          <w:p w14:paraId="5E6C7A8D">
            <w:pPr>
              <w:pStyle w:val="16"/>
              <w:spacing w:before="0" w:after="0" w:line="240" w:lineRule="auto"/>
              <w:ind w:right="0"/>
              <w:jc w:val="center"/>
              <w:rPr>
                <w:color w:val="auto"/>
                <w:szCs w:val="18"/>
                <w:lang w:val="en-US" w:eastAsia="zh-CN"/>
              </w:rPr>
            </w:pPr>
          </w:p>
        </w:tc>
        <w:tc>
          <w:tcPr>
            <w:tcW w:w="1214" w:type="dxa"/>
            <w:vMerge w:val="continue"/>
            <w:noWrap w:val="0"/>
            <w:vAlign w:val="center"/>
          </w:tcPr>
          <w:p w14:paraId="50FF5F20">
            <w:pPr>
              <w:pStyle w:val="16"/>
              <w:spacing w:before="0" w:after="0" w:line="240" w:lineRule="auto"/>
              <w:ind w:right="0"/>
              <w:jc w:val="center"/>
              <w:rPr>
                <w:color w:val="auto"/>
                <w:szCs w:val="18"/>
                <w:lang w:val="en-US" w:eastAsia="zh-CN"/>
              </w:rPr>
            </w:pPr>
          </w:p>
        </w:tc>
        <w:tc>
          <w:tcPr>
            <w:tcW w:w="1067" w:type="dxa"/>
            <w:vMerge w:val="continue"/>
            <w:noWrap w:val="0"/>
            <w:vAlign w:val="center"/>
          </w:tcPr>
          <w:p w14:paraId="3EBA8A82">
            <w:pPr>
              <w:pStyle w:val="16"/>
              <w:spacing w:before="0" w:after="0" w:line="240" w:lineRule="auto"/>
              <w:ind w:right="0"/>
              <w:jc w:val="center"/>
              <w:rPr>
                <w:color w:val="auto"/>
                <w:szCs w:val="18"/>
                <w:lang w:val="en-US" w:eastAsia="zh-CN"/>
              </w:rPr>
            </w:pPr>
          </w:p>
        </w:tc>
        <w:tc>
          <w:tcPr>
            <w:tcW w:w="916" w:type="dxa"/>
            <w:noWrap w:val="0"/>
            <w:vAlign w:val="center"/>
          </w:tcPr>
          <w:p w14:paraId="5316BD68">
            <w:pPr>
              <w:pStyle w:val="16"/>
              <w:spacing w:before="0" w:after="0" w:line="240" w:lineRule="auto"/>
              <w:ind w:right="0"/>
              <w:jc w:val="center"/>
              <w:rPr>
                <w:color w:val="auto"/>
                <w:szCs w:val="18"/>
                <w:lang w:val="en-US" w:eastAsia="zh-CN"/>
              </w:rPr>
            </w:pPr>
            <w:r>
              <w:rPr>
                <w:color w:val="auto"/>
                <w:szCs w:val="18"/>
                <w:lang w:val="en-US" w:eastAsia="zh-CN"/>
              </w:rPr>
              <w:t>声压级dB（A）</w:t>
            </w:r>
          </w:p>
        </w:tc>
        <w:tc>
          <w:tcPr>
            <w:tcW w:w="1033" w:type="dxa"/>
            <w:noWrap w:val="0"/>
            <w:vAlign w:val="center"/>
          </w:tcPr>
          <w:p w14:paraId="62B40B72">
            <w:pPr>
              <w:pStyle w:val="16"/>
              <w:spacing w:before="0" w:after="0" w:line="240" w:lineRule="auto"/>
              <w:ind w:right="0"/>
              <w:jc w:val="center"/>
              <w:rPr>
                <w:color w:val="auto"/>
                <w:szCs w:val="18"/>
                <w:lang w:val="en-US" w:eastAsia="zh-CN"/>
              </w:rPr>
            </w:pPr>
            <w:r>
              <w:rPr>
                <w:color w:val="auto"/>
                <w:szCs w:val="18"/>
                <w:lang w:val="en-US" w:eastAsia="zh-CN"/>
              </w:rPr>
              <w:t>建筑物外距离m</w:t>
            </w:r>
          </w:p>
        </w:tc>
      </w:tr>
      <w:tr w14:paraId="18E7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7E974C4B">
            <w:pPr>
              <w:pStyle w:val="16"/>
              <w:spacing w:before="0" w:after="0" w:line="240" w:lineRule="auto"/>
              <w:ind w:right="0"/>
              <w:jc w:val="center"/>
              <w:rPr>
                <w:color w:val="auto"/>
                <w:szCs w:val="18"/>
                <w:lang w:val="en-US" w:eastAsia="zh-CN"/>
              </w:rPr>
            </w:pPr>
            <w:r>
              <w:rPr>
                <w:color w:val="auto"/>
                <w:szCs w:val="18"/>
                <w:lang w:val="en-US" w:eastAsia="zh-CN"/>
              </w:rPr>
              <w:t>1</w:t>
            </w:r>
          </w:p>
        </w:tc>
        <w:tc>
          <w:tcPr>
            <w:tcW w:w="787" w:type="dxa"/>
            <w:vMerge w:val="restart"/>
            <w:noWrap w:val="0"/>
            <w:vAlign w:val="center"/>
          </w:tcPr>
          <w:p w14:paraId="43045255">
            <w:pPr>
              <w:pStyle w:val="16"/>
              <w:spacing w:before="0" w:after="0" w:line="240" w:lineRule="auto"/>
              <w:ind w:right="0"/>
              <w:jc w:val="center"/>
              <w:rPr>
                <w:color w:val="auto"/>
                <w:szCs w:val="18"/>
                <w:lang w:val="en-US" w:eastAsia="zh-CN"/>
              </w:rPr>
            </w:pPr>
            <w:r>
              <w:rPr>
                <w:color w:val="auto"/>
                <w:szCs w:val="18"/>
                <w:lang w:val="en-US" w:eastAsia="zh-CN"/>
              </w:rPr>
              <w:t>厂房</w:t>
            </w:r>
          </w:p>
        </w:tc>
        <w:tc>
          <w:tcPr>
            <w:tcW w:w="1158" w:type="dxa"/>
            <w:noWrap w:val="0"/>
            <w:vAlign w:val="center"/>
          </w:tcPr>
          <w:p w14:paraId="76E8B384">
            <w:pPr>
              <w:pStyle w:val="16"/>
              <w:spacing w:before="0" w:after="0" w:line="240" w:lineRule="auto"/>
              <w:ind w:right="0"/>
              <w:jc w:val="center"/>
              <w:rPr>
                <w:color w:val="auto"/>
                <w:szCs w:val="18"/>
                <w:lang w:val="en-US" w:eastAsia="zh-CN"/>
              </w:rPr>
            </w:pPr>
            <w:r>
              <w:rPr>
                <w:rFonts w:hint="eastAsia"/>
                <w:color w:val="auto"/>
                <w:szCs w:val="18"/>
                <w:lang w:val="en-US" w:eastAsia="zh-CN"/>
              </w:rPr>
              <w:t>皮带机</w:t>
            </w:r>
          </w:p>
        </w:tc>
        <w:tc>
          <w:tcPr>
            <w:tcW w:w="1293" w:type="dxa"/>
            <w:noWrap w:val="0"/>
            <w:vAlign w:val="center"/>
          </w:tcPr>
          <w:p w14:paraId="0E510CB4">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75</w:t>
            </w:r>
          </w:p>
        </w:tc>
        <w:tc>
          <w:tcPr>
            <w:tcW w:w="693" w:type="dxa"/>
            <w:noWrap w:val="0"/>
            <w:vAlign w:val="center"/>
          </w:tcPr>
          <w:p w14:paraId="4284E227">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w:t>
            </w:r>
          </w:p>
        </w:tc>
        <w:tc>
          <w:tcPr>
            <w:tcW w:w="888" w:type="dxa"/>
            <w:vMerge w:val="restart"/>
            <w:noWrap w:val="0"/>
            <w:vAlign w:val="center"/>
          </w:tcPr>
          <w:p w14:paraId="36634375">
            <w:pPr>
              <w:pStyle w:val="16"/>
              <w:spacing w:before="0" w:after="0" w:line="240" w:lineRule="auto"/>
              <w:ind w:right="0"/>
              <w:jc w:val="center"/>
              <w:rPr>
                <w:color w:val="auto"/>
                <w:szCs w:val="18"/>
                <w:lang w:val="en-US" w:eastAsia="zh-CN"/>
              </w:rPr>
            </w:pPr>
            <w:r>
              <w:rPr>
                <w:color w:val="auto"/>
                <w:szCs w:val="18"/>
                <w:lang w:val="en-US" w:eastAsia="zh-CN"/>
              </w:rPr>
              <w:t>基础</w:t>
            </w:r>
          </w:p>
          <w:p w14:paraId="36F118BD">
            <w:pPr>
              <w:pStyle w:val="16"/>
              <w:spacing w:before="0" w:after="0" w:line="240" w:lineRule="auto"/>
              <w:ind w:right="0"/>
              <w:jc w:val="center"/>
              <w:rPr>
                <w:color w:val="auto"/>
                <w:szCs w:val="18"/>
                <w:lang w:val="en-US" w:eastAsia="zh-CN"/>
              </w:rPr>
            </w:pPr>
            <w:r>
              <w:rPr>
                <w:color w:val="auto"/>
                <w:szCs w:val="18"/>
                <w:lang w:val="en-US" w:eastAsia="zh-CN"/>
              </w:rPr>
              <w:t>减震</w:t>
            </w:r>
          </w:p>
        </w:tc>
        <w:tc>
          <w:tcPr>
            <w:tcW w:w="782" w:type="dxa"/>
            <w:noWrap w:val="0"/>
            <w:vAlign w:val="center"/>
          </w:tcPr>
          <w:p w14:paraId="0F297A92">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60</w:t>
            </w:r>
          </w:p>
        </w:tc>
        <w:tc>
          <w:tcPr>
            <w:tcW w:w="803" w:type="dxa"/>
            <w:noWrap w:val="0"/>
            <w:vAlign w:val="center"/>
          </w:tcPr>
          <w:p w14:paraId="42202FF4">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-2</w:t>
            </w:r>
          </w:p>
        </w:tc>
        <w:tc>
          <w:tcPr>
            <w:tcW w:w="631" w:type="dxa"/>
            <w:noWrap w:val="0"/>
            <w:vAlign w:val="center"/>
          </w:tcPr>
          <w:p w14:paraId="44C012CF">
            <w:pPr>
              <w:pStyle w:val="16"/>
              <w:spacing w:before="0" w:after="0" w:line="240" w:lineRule="auto"/>
              <w:ind w:right="0"/>
              <w:jc w:val="center"/>
              <w:rPr>
                <w:color w:val="auto"/>
                <w:szCs w:val="18"/>
                <w:lang w:val="en-US" w:eastAsia="zh-CN"/>
              </w:rPr>
            </w:pPr>
            <w:r>
              <w:rPr>
                <w:color w:val="auto"/>
                <w:szCs w:val="18"/>
                <w:lang w:val="en-US" w:eastAsia="zh-CN"/>
              </w:rPr>
              <w:t>1.2</w:t>
            </w:r>
          </w:p>
        </w:tc>
        <w:tc>
          <w:tcPr>
            <w:tcW w:w="980" w:type="dxa"/>
            <w:noWrap w:val="0"/>
            <w:vAlign w:val="center"/>
          </w:tcPr>
          <w:p w14:paraId="71B8A061">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10</w:t>
            </w:r>
          </w:p>
        </w:tc>
        <w:tc>
          <w:tcPr>
            <w:tcW w:w="970" w:type="dxa"/>
            <w:noWrap w:val="0"/>
            <w:vAlign w:val="center"/>
          </w:tcPr>
          <w:p w14:paraId="2DB3DB00">
            <w:pPr>
              <w:pStyle w:val="16"/>
              <w:spacing w:before="0" w:after="0" w:line="240" w:lineRule="auto"/>
              <w:ind w:right="0"/>
              <w:jc w:val="center"/>
              <w:rPr>
                <w:color w:val="auto"/>
                <w:szCs w:val="18"/>
                <w:lang w:val="en-US" w:eastAsia="zh-CN"/>
              </w:rPr>
            </w:pPr>
            <w:r>
              <w:rPr>
                <w:rFonts w:hint="eastAsia" w:eastAsia="等线"/>
                <w:color w:val="auto"/>
                <w:szCs w:val="18"/>
                <w:lang w:val="en-US" w:eastAsia="zh-CN"/>
              </w:rPr>
              <w:t>55</w:t>
            </w:r>
            <w:r>
              <w:rPr>
                <w:rFonts w:eastAsia="等线"/>
                <w:color w:val="auto"/>
                <w:szCs w:val="18"/>
                <w:lang w:val="en-US" w:eastAsia="zh-CN"/>
              </w:rPr>
              <w:t xml:space="preserve">.0 </w:t>
            </w:r>
          </w:p>
        </w:tc>
        <w:tc>
          <w:tcPr>
            <w:tcW w:w="1214" w:type="dxa"/>
            <w:vMerge w:val="restart"/>
            <w:noWrap w:val="0"/>
            <w:vAlign w:val="center"/>
          </w:tcPr>
          <w:p w14:paraId="0FE2A1FD">
            <w:pPr>
              <w:pStyle w:val="16"/>
              <w:spacing w:before="0" w:after="0" w:line="240" w:lineRule="auto"/>
              <w:ind w:right="0"/>
              <w:jc w:val="center"/>
              <w:rPr>
                <w:color w:val="auto"/>
                <w:szCs w:val="18"/>
                <w:lang w:val="en-US" w:eastAsia="zh-CN"/>
              </w:rPr>
            </w:pPr>
            <w:r>
              <w:rPr>
                <w:color w:val="auto"/>
                <w:szCs w:val="18"/>
                <w:lang w:val="en-US" w:eastAsia="zh-CN"/>
              </w:rPr>
              <w:t>昼间、夜间间断运行</w:t>
            </w:r>
          </w:p>
        </w:tc>
        <w:tc>
          <w:tcPr>
            <w:tcW w:w="1067" w:type="dxa"/>
            <w:noWrap w:val="0"/>
            <w:vAlign w:val="center"/>
          </w:tcPr>
          <w:p w14:paraId="3A351E6B">
            <w:pPr>
              <w:pStyle w:val="16"/>
              <w:spacing w:before="0" w:after="0" w:line="240" w:lineRule="auto"/>
              <w:ind w:right="0"/>
              <w:jc w:val="center"/>
              <w:rPr>
                <w:color w:val="auto"/>
                <w:szCs w:val="18"/>
                <w:lang w:val="en-US" w:eastAsia="zh-CN"/>
              </w:rPr>
            </w:pPr>
            <w:r>
              <w:rPr>
                <w:color w:val="auto"/>
                <w:szCs w:val="18"/>
                <w:lang w:val="en-US" w:eastAsia="zh-CN"/>
              </w:rPr>
              <w:t>15</w:t>
            </w:r>
          </w:p>
        </w:tc>
        <w:tc>
          <w:tcPr>
            <w:tcW w:w="916" w:type="dxa"/>
            <w:noWrap w:val="0"/>
            <w:vAlign w:val="center"/>
          </w:tcPr>
          <w:p w14:paraId="59B01524">
            <w:pPr>
              <w:pStyle w:val="16"/>
              <w:spacing w:before="0" w:after="0" w:line="240" w:lineRule="auto"/>
              <w:ind w:right="0"/>
              <w:jc w:val="center"/>
              <w:rPr>
                <w:color w:val="auto"/>
                <w:szCs w:val="18"/>
                <w:lang w:val="en-US" w:eastAsia="zh-CN"/>
              </w:rPr>
            </w:pPr>
            <w:r>
              <w:rPr>
                <w:rFonts w:hint="eastAsia" w:eastAsia="等线"/>
                <w:color w:val="auto"/>
                <w:szCs w:val="18"/>
                <w:lang w:val="en-US" w:eastAsia="zh-CN"/>
              </w:rPr>
              <w:t>40</w:t>
            </w:r>
            <w:r>
              <w:rPr>
                <w:rFonts w:eastAsia="等线"/>
                <w:color w:val="auto"/>
                <w:szCs w:val="18"/>
                <w:lang w:val="en-US" w:eastAsia="zh-CN"/>
              </w:rPr>
              <w:t xml:space="preserve">.0 </w:t>
            </w:r>
          </w:p>
        </w:tc>
        <w:tc>
          <w:tcPr>
            <w:tcW w:w="1033" w:type="dxa"/>
            <w:noWrap w:val="0"/>
            <w:vAlign w:val="center"/>
          </w:tcPr>
          <w:p w14:paraId="556A293E">
            <w:pPr>
              <w:pStyle w:val="16"/>
              <w:spacing w:before="0" w:after="0" w:line="240" w:lineRule="auto"/>
              <w:ind w:right="0"/>
              <w:jc w:val="center"/>
              <w:rPr>
                <w:color w:val="auto"/>
                <w:szCs w:val="18"/>
                <w:lang w:val="en-US" w:eastAsia="zh-CN"/>
              </w:rPr>
            </w:pPr>
            <w:r>
              <w:rPr>
                <w:color w:val="auto"/>
                <w:szCs w:val="18"/>
                <w:lang w:val="en-US" w:eastAsia="zh-CN"/>
              </w:rPr>
              <w:t>1</w:t>
            </w:r>
          </w:p>
        </w:tc>
      </w:tr>
      <w:tr w14:paraId="10A5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324AC7DF">
            <w:pPr>
              <w:pStyle w:val="16"/>
              <w:spacing w:before="0" w:after="0" w:line="240" w:lineRule="auto"/>
              <w:ind w:right="0"/>
              <w:jc w:val="center"/>
              <w:rPr>
                <w:color w:val="auto"/>
                <w:szCs w:val="18"/>
                <w:lang w:val="en-US" w:eastAsia="zh-CN"/>
              </w:rPr>
            </w:pPr>
            <w:r>
              <w:rPr>
                <w:rFonts w:hint="eastAsia"/>
                <w:color w:val="auto"/>
                <w:szCs w:val="18"/>
                <w:lang w:val="en-US" w:eastAsia="zh-CN"/>
              </w:rPr>
              <w:t>2</w:t>
            </w:r>
          </w:p>
        </w:tc>
        <w:tc>
          <w:tcPr>
            <w:tcW w:w="787" w:type="dxa"/>
            <w:vMerge w:val="continue"/>
            <w:noWrap w:val="0"/>
            <w:vAlign w:val="center"/>
          </w:tcPr>
          <w:p w14:paraId="614BA955">
            <w:pPr>
              <w:pStyle w:val="16"/>
              <w:spacing w:before="0" w:after="0" w:line="240" w:lineRule="auto"/>
              <w:ind w:right="0"/>
              <w:jc w:val="center"/>
              <w:rPr>
                <w:color w:val="auto"/>
                <w:szCs w:val="18"/>
                <w:lang w:val="en-US" w:eastAsia="zh-CN"/>
              </w:rPr>
            </w:pPr>
          </w:p>
        </w:tc>
        <w:tc>
          <w:tcPr>
            <w:tcW w:w="1158" w:type="dxa"/>
            <w:noWrap w:val="0"/>
            <w:vAlign w:val="center"/>
          </w:tcPr>
          <w:p w14:paraId="174F074F">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供料机</w:t>
            </w:r>
          </w:p>
        </w:tc>
        <w:tc>
          <w:tcPr>
            <w:tcW w:w="1293" w:type="dxa"/>
            <w:noWrap w:val="0"/>
            <w:vAlign w:val="center"/>
          </w:tcPr>
          <w:p w14:paraId="55B53B1D">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80</w:t>
            </w:r>
          </w:p>
        </w:tc>
        <w:tc>
          <w:tcPr>
            <w:tcW w:w="693" w:type="dxa"/>
            <w:noWrap w:val="0"/>
            <w:vAlign w:val="center"/>
          </w:tcPr>
          <w:p w14:paraId="7A811854">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3</w:t>
            </w:r>
          </w:p>
        </w:tc>
        <w:tc>
          <w:tcPr>
            <w:tcW w:w="888" w:type="dxa"/>
            <w:vMerge w:val="continue"/>
            <w:noWrap w:val="0"/>
            <w:vAlign w:val="center"/>
          </w:tcPr>
          <w:p w14:paraId="26BF1A2F">
            <w:pPr>
              <w:pStyle w:val="16"/>
              <w:spacing w:before="0" w:after="0" w:line="240" w:lineRule="auto"/>
              <w:ind w:right="0"/>
              <w:jc w:val="center"/>
              <w:rPr>
                <w:color w:val="auto"/>
                <w:szCs w:val="18"/>
                <w:lang w:val="en-US" w:eastAsia="zh-CN"/>
              </w:rPr>
            </w:pPr>
          </w:p>
        </w:tc>
        <w:tc>
          <w:tcPr>
            <w:tcW w:w="782" w:type="dxa"/>
            <w:noWrap w:val="0"/>
            <w:vAlign w:val="center"/>
          </w:tcPr>
          <w:p w14:paraId="4560AEDF">
            <w:pPr>
              <w:pStyle w:val="16"/>
              <w:spacing w:before="0" w:after="0" w:line="240" w:lineRule="auto"/>
              <w:ind w:right="0"/>
              <w:jc w:val="center"/>
              <w:rPr>
                <w:color w:val="auto"/>
                <w:szCs w:val="18"/>
                <w:lang w:val="en-US" w:eastAsia="zh-CN"/>
              </w:rPr>
            </w:pPr>
            <w:r>
              <w:rPr>
                <w:color w:val="auto"/>
                <w:szCs w:val="18"/>
                <w:lang w:val="en-US" w:eastAsia="zh-CN"/>
              </w:rPr>
              <w:t>110</w:t>
            </w:r>
          </w:p>
        </w:tc>
        <w:tc>
          <w:tcPr>
            <w:tcW w:w="803" w:type="dxa"/>
            <w:noWrap w:val="0"/>
            <w:vAlign w:val="center"/>
          </w:tcPr>
          <w:p w14:paraId="32A0C9F8">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8</w:t>
            </w:r>
          </w:p>
        </w:tc>
        <w:tc>
          <w:tcPr>
            <w:tcW w:w="631" w:type="dxa"/>
            <w:noWrap w:val="0"/>
            <w:vAlign w:val="center"/>
          </w:tcPr>
          <w:p w14:paraId="630DD301">
            <w:pPr>
              <w:pStyle w:val="16"/>
              <w:spacing w:before="0" w:after="0" w:line="240" w:lineRule="auto"/>
              <w:ind w:right="0"/>
              <w:jc w:val="center"/>
              <w:rPr>
                <w:color w:val="auto"/>
                <w:szCs w:val="18"/>
                <w:lang w:val="en-US" w:eastAsia="zh-CN"/>
              </w:rPr>
            </w:pPr>
            <w:r>
              <w:rPr>
                <w:color w:val="auto"/>
                <w:szCs w:val="18"/>
                <w:lang w:val="en-US" w:eastAsia="zh-CN"/>
              </w:rPr>
              <w:t>1.2</w:t>
            </w:r>
          </w:p>
        </w:tc>
        <w:tc>
          <w:tcPr>
            <w:tcW w:w="980" w:type="dxa"/>
            <w:noWrap w:val="0"/>
            <w:vAlign w:val="center"/>
          </w:tcPr>
          <w:p w14:paraId="55F6FF12">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40</w:t>
            </w:r>
          </w:p>
        </w:tc>
        <w:tc>
          <w:tcPr>
            <w:tcW w:w="970" w:type="dxa"/>
            <w:noWrap w:val="0"/>
            <w:vAlign w:val="center"/>
          </w:tcPr>
          <w:p w14:paraId="2C3D7DBD">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52.7</w:t>
            </w:r>
          </w:p>
        </w:tc>
        <w:tc>
          <w:tcPr>
            <w:tcW w:w="1214" w:type="dxa"/>
            <w:vMerge w:val="continue"/>
            <w:noWrap w:val="0"/>
            <w:vAlign w:val="center"/>
          </w:tcPr>
          <w:p w14:paraId="7C52B0D0">
            <w:pPr>
              <w:pStyle w:val="16"/>
              <w:spacing w:before="0" w:after="0" w:line="240" w:lineRule="auto"/>
              <w:ind w:right="0"/>
              <w:jc w:val="center"/>
              <w:rPr>
                <w:color w:val="auto"/>
                <w:szCs w:val="18"/>
                <w:lang w:val="en-US" w:eastAsia="zh-CN"/>
              </w:rPr>
            </w:pPr>
          </w:p>
        </w:tc>
        <w:tc>
          <w:tcPr>
            <w:tcW w:w="1067" w:type="dxa"/>
            <w:noWrap w:val="0"/>
            <w:vAlign w:val="center"/>
          </w:tcPr>
          <w:p w14:paraId="6BBC4E7A">
            <w:pPr>
              <w:pStyle w:val="16"/>
              <w:spacing w:before="0" w:after="0" w:line="240" w:lineRule="auto"/>
              <w:ind w:right="0"/>
              <w:jc w:val="center"/>
              <w:rPr>
                <w:color w:val="auto"/>
                <w:szCs w:val="18"/>
                <w:lang w:val="en-US" w:eastAsia="zh-CN"/>
              </w:rPr>
            </w:pPr>
            <w:r>
              <w:rPr>
                <w:color w:val="auto"/>
                <w:szCs w:val="18"/>
                <w:lang w:val="en-US" w:eastAsia="zh-CN"/>
              </w:rPr>
              <w:t>15</w:t>
            </w:r>
          </w:p>
        </w:tc>
        <w:tc>
          <w:tcPr>
            <w:tcW w:w="916" w:type="dxa"/>
            <w:noWrap w:val="0"/>
            <w:vAlign w:val="center"/>
          </w:tcPr>
          <w:p w14:paraId="53C39837">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37.7</w:t>
            </w:r>
          </w:p>
        </w:tc>
        <w:tc>
          <w:tcPr>
            <w:tcW w:w="1033" w:type="dxa"/>
            <w:noWrap w:val="0"/>
            <w:vAlign w:val="center"/>
          </w:tcPr>
          <w:p w14:paraId="3FEC0A6B">
            <w:pPr>
              <w:pStyle w:val="16"/>
              <w:spacing w:before="0" w:after="0" w:line="240" w:lineRule="auto"/>
              <w:ind w:right="0"/>
              <w:jc w:val="center"/>
              <w:rPr>
                <w:color w:val="auto"/>
                <w:szCs w:val="18"/>
                <w:lang w:val="en-US" w:eastAsia="zh-CN"/>
              </w:rPr>
            </w:pPr>
            <w:r>
              <w:rPr>
                <w:color w:val="auto"/>
                <w:szCs w:val="18"/>
                <w:lang w:val="en-US" w:eastAsia="zh-CN"/>
              </w:rPr>
              <w:t>1</w:t>
            </w:r>
          </w:p>
        </w:tc>
      </w:tr>
      <w:tr w14:paraId="5F07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1CFCAB83">
            <w:pPr>
              <w:pStyle w:val="16"/>
              <w:spacing w:before="0" w:after="0" w:line="240" w:lineRule="auto"/>
              <w:ind w:right="0"/>
              <w:jc w:val="center"/>
              <w:rPr>
                <w:color w:val="auto"/>
                <w:szCs w:val="18"/>
                <w:lang w:val="en-US" w:eastAsia="zh-CN"/>
              </w:rPr>
            </w:pPr>
            <w:r>
              <w:rPr>
                <w:rFonts w:hint="eastAsia"/>
                <w:color w:val="auto"/>
                <w:szCs w:val="18"/>
                <w:lang w:val="en-US" w:eastAsia="zh-CN"/>
              </w:rPr>
              <w:t>3</w:t>
            </w:r>
          </w:p>
        </w:tc>
        <w:tc>
          <w:tcPr>
            <w:tcW w:w="787" w:type="dxa"/>
            <w:vMerge w:val="continue"/>
            <w:noWrap w:val="0"/>
            <w:vAlign w:val="center"/>
          </w:tcPr>
          <w:p w14:paraId="0D5C469C">
            <w:pPr>
              <w:pStyle w:val="16"/>
              <w:spacing w:before="0" w:after="0" w:line="240" w:lineRule="auto"/>
              <w:ind w:right="0"/>
              <w:jc w:val="center"/>
              <w:rPr>
                <w:color w:val="auto"/>
                <w:szCs w:val="18"/>
                <w:lang w:val="en-US" w:eastAsia="zh-CN"/>
              </w:rPr>
            </w:pPr>
          </w:p>
        </w:tc>
        <w:tc>
          <w:tcPr>
            <w:tcW w:w="1158" w:type="dxa"/>
            <w:noWrap w:val="0"/>
            <w:vAlign w:val="center"/>
          </w:tcPr>
          <w:p w14:paraId="62C045C8">
            <w:pPr>
              <w:pStyle w:val="16"/>
              <w:spacing w:before="0" w:after="0" w:line="240" w:lineRule="auto"/>
              <w:ind w:right="0"/>
              <w:jc w:val="center"/>
              <w:rPr>
                <w:color w:val="auto"/>
                <w:szCs w:val="18"/>
                <w:lang w:val="en-US" w:eastAsia="zh-CN"/>
              </w:rPr>
            </w:pPr>
            <w:r>
              <w:rPr>
                <w:rFonts w:hint="eastAsia"/>
                <w:color w:val="auto"/>
                <w:szCs w:val="18"/>
                <w:lang w:val="en-US" w:eastAsia="zh-CN"/>
              </w:rPr>
              <w:t>行车</w:t>
            </w:r>
          </w:p>
        </w:tc>
        <w:tc>
          <w:tcPr>
            <w:tcW w:w="1293" w:type="dxa"/>
            <w:noWrap w:val="0"/>
            <w:vAlign w:val="center"/>
          </w:tcPr>
          <w:p w14:paraId="2026A3EA">
            <w:pPr>
              <w:pStyle w:val="16"/>
              <w:spacing w:before="0" w:after="0" w:line="240" w:lineRule="auto"/>
              <w:ind w:right="0"/>
              <w:jc w:val="center"/>
              <w:rPr>
                <w:color w:val="auto"/>
                <w:szCs w:val="18"/>
                <w:lang w:val="en-US" w:eastAsia="zh-CN"/>
              </w:rPr>
            </w:pPr>
            <w:r>
              <w:rPr>
                <w:rFonts w:hint="eastAsia"/>
                <w:color w:val="auto"/>
                <w:szCs w:val="18"/>
                <w:lang w:val="en-US" w:eastAsia="zh-CN"/>
              </w:rPr>
              <w:t>8</w:t>
            </w:r>
            <w:r>
              <w:rPr>
                <w:color w:val="auto"/>
                <w:szCs w:val="18"/>
                <w:lang w:val="en-US" w:eastAsia="zh-CN"/>
              </w:rPr>
              <w:t>0</w:t>
            </w:r>
          </w:p>
        </w:tc>
        <w:tc>
          <w:tcPr>
            <w:tcW w:w="693" w:type="dxa"/>
            <w:noWrap w:val="0"/>
            <w:vAlign w:val="center"/>
          </w:tcPr>
          <w:p w14:paraId="44721C2C">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w:t>
            </w:r>
          </w:p>
        </w:tc>
        <w:tc>
          <w:tcPr>
            <w:tcW w:w="888" w:type="dxa"/>
            <w:vMerge w:val="continue"/>
            <w:noWrap w:val="0"/>
            <w:vAlign w:val="center"/>
          </w:tcPr>
          <w:p w14:paraId="67CCFA45">
            <w:pPr>
              <w:pStyle w:val="16"/>
              <w:spacing w:before="0" w:after="0" w:line="240" w:lineRule="auto"/>
              <w:ind w:right="0"/>
              <w:jc w:val="center"/>
              <w:rPr>
                <w:color w:val="auto"/>
                <w:szCs w:val="18"/>
                <w:lang w:val="en-US" w:eastAsia="zh-CN"/>
              </w:rPr>
            </w:pPr>
          </w:p>
        </w:tc>
        <w:tc>
          <w:tcPr>
            <w:tcW w:w="782" w:type="dxa"/>
            <w:noWrap w:val="0"/>
            <w:vAlign w:val="center"/>
          </w:tcPr>
          <w:p w14:paraId="2B6957D5">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160</w:t>
            </w:r>
          </w:p>
        </w:tc>
        <w:tc>
          <w:tcPr>
            <w:tcW w:w="803" w:type="dxa"/>
            <w:noWrap w:val="0"/>
            <w:vAlign w:val="center"/>
          </w:tcPr>
          <w:p w14:paraId="41EA47DF">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50</w:t>
            </w:r>
          </w:p>
        </w:tc>
        <w:tc>
          <w:tcPr>
            <w:tcW w:w="631" w:type="dxa"/>
            <w:noWrap w:val="0"/>
            <w:vAlign w:val="center"/>
          </w:tcPr>
          <w:p w14:paraId="3A6CF2CE">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10</w:t>
            </w:r>
          </w:p>
        </w:tc>
        <w:tc>
          <w:tcPr>
            <w:tcW w:w="980" w:type="dxa"/>
            <w:noWrap w:val="0"/>
            <w:vAlign w:val="center"/>
          </w:tcPr>
          <w:p w14:paraId="0144F6B2">
            <w:pPr>
              <w:pStyle w:val="16"/>
              <w:spacing w:before="0" w:after="0" w:line="240" w:lineRule="auto"/>
              <w:ind w:right="0"/>
              <w:jc w:val="center"/>
              <w:rPr>
                <w:color w:val="auto"/>
                <w:szCs w:val="18"/>
                <w:lang w:val="en-US" w:eastAsia="zh-CN"/>
              </w:rPr>
            </w:pPr>
            <w:r>
              <w:rPr>
                <w:rFonts w:hint="eastAsia"/>
                <w:color w:val="auto"/>
                <w:szCs w:val="18"/>
                <w:lang w:val="en-US" w:eastAsia="zh-CN"/>
              </w:rPr>
              <w:t>5</w:t>
            </w:r>
          </w:p>
        </w:tc>
        <w:tc>
          <w:tcPr>
            <w:tcW w:w="970" w:type="dxa"/>
            <w:noWrap w:val="0"/>
            <w:vAlign w:val="center"/>
          </w:tcPr>
          <w:p w14:paraId="5A53FA7B">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66.0</w:t>
            </w:r>
          </w:p>
        </w:tc>
        <w:tc>
          <w:tcPr>
            <w:tcW w:w="1214" w:type="dxa"/>
            <w:vMerge w:val="continue"/>
            <w:noWrap w:val="0"/>
            <w:vAlign w:val="center"/>
          </w:tcPr>
          <w:p w14:paraId="10697D7E">
            <w:pPr>
              <w:pStyle w:val="16"/>
              <w:spacing w:before="0" w:after="0" w:line="240" w:lineRule="auto"/>
              <w:ind w:right="0"/>
              <w:jc w:val="center"/>
              <w:rPr>
                <w:color w:val="auto"/>
                <w:szCs w:val="18"/>
                <w:lang w:val="en-US" w:eastAsia="zh-CN"/>
              </w:rPr>
            </w:pPr>
          </w:p>
        </w:tc>
        <w:tc>
          <w:tcPr>
            <w:tcW w:w="1067" w:type="dxa"/>
            <w:noWrap w:val="0"/>
            <w:vAlign w:val="center"/>
          </w:tcPr>
          <w:p w14:paraId="2D870AE9">
            <w:pPr>
              <w:pStyle w:val="16"/>
              <w:spacing w:before="0" w:after="0" w:line="240" w:lineRule="auto"/>
              <w:ind w:right="0"/>
              <w:jc w:val="center"/>
              <w:rPr>
                <w:color w:val="auto"/>
                <w:szCs w:val="18"/>
                <w:lang w:val="en-US" w:eastAsia="zh-CN"/>
              </w:rPr>
            </w:pPr>
            <w:r>
              <w:rPr>
                <w:color w:val="auto"/>
                <w:szCs w:val="18"/>
                <w:lang w:val="en-US" w:eastAsia="zh-CN"/>
              </w:rPr>
              <w:t>15</w:t>
            </w:r>
          </w:p>
        </w:tc>
        <w:tc>
          <w:tcPr>
            <w:tcW w:w="916" w:type="dxa"/>
            <w:noWrap w:val="0"/>
            <w:vAlign w:val="center"/>
          </w:tcPr>
          <w:p w14:paraId="10318DFB">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41.0</w:t>
            </w:r>
          </w:p>
        </w:tc>
        <w:tc>
          <w:tcPr>
            <w:tcW w:w="1033" w:type="dxa"/>
            <w:noWrap w:val="0"/>
            <w:vAlign w:val="center"/>
          </w:tcPr>
          <w:p w14:paraId="0CC799BF">
            <w:pPr>
              <w:pStyle w:val="16"/>
              <w:spacing w:before="0" w:after="0" w:line="240" w:lineRule="auto"/>
              <w:ind w:right="0"/>
              <w:jc w:val="center"/>
              <w:rPr>
                <w:color w:val="auto"/>
                <w:szCs w:val="18"/>
                <w:lang w:val="en-US" w:eastAsia="zh-CN"/>
              </w:rPr>
            </w:pPr>
            <w:r>
              <w:rPr>
                <w:color w:val="auto"/>
                <w:szCs w:val="18"/>
                <w:lang w:val="en-US" w:eastAsia="zh-CN"/>
              </w:rPr>
              <w:t>1</w:t>
            </w:r>
          </w:p>
        </w:tc>
      </w:tr>
      <w:tr w14:paraId="6176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0D9E0545">
            <w:pPr>
              <w:pStyle w:val="16"/>
              <w:spacing w:before="0" w:after="0" w:line="240" w:lineRule="auto"/>
              <w:ind w:right="0"/>
              <w:jc w:val="center"/>
              <w:rPr>
                <w:color w:val="auto"/>
                <w:szCs w:val="18"/>
                <w:lang w:val="en-US" w:eastAsia="zh-CN"/>
              </w:rPr>
            </w:pPr>
            <w:r>
              <w:rPr>
                <w:rFonts w:hint="eastAsia"/>
                <w:color w:val="auto"/>
                <w:szCs w:val="18"/>
                <w:lang w:val="en-US" w:eastAsia="zh-CN"/>
              </w:rPr>
              <w:t>4</w:t>
            </w:r>
          </w:p>
        </w:tc>
        <w:tc>
          <w:tcPr>
            <w:tcW w:w="787" w:type="dxa"/>
            <w:vMerge w:val="continue"/>
            <w:noWrap w:val="0"/>
            <w:vAlign w:val="center"/>
          </w:tcPr>
          <w:p w14:paraId="1497948F">
            <w:pPr>
              <w:pStyle w:val="16"/>
              <w:spacing w:before="0" w:after="0" w:line="240" w:lineRule="auto"/>
              <w:ind w:right="0"/>
              <w:jc w:val="center"/>
              <w:rPr>
                <w:color w:val="auto"/>
                <w:szCs w:val="18"/>
                <w:lang w:val="en-US" w:eastAsia="zh-CN"/>
              </w:rPr>
            </w:pPr>
          </w:p>
        </w:tc>
        <w:tc>
          <w:tcPr>
            <w:tcW w:w="1158" w:type="dxa"/>
            <w:noWrap w:val="0"/>
            <w:vAlign w:val="center"/>
          </w:tcPr>
          <w:p w14:paraId="092A6177">
            <w:pPr>
              <w:pStyle w:val="16"/>
              <w:spacing w:before="0" w:after="0" w:line="240" w:lineRule="auto"/>
              <w:ind w:right="0"/>
              <w:jc w:val="center"/>
              <w:rPr>
                <w:color w:val="auto"/>
                <w:szCs w:val="18"/>
                <w:lang w:val="en-US" w:eastAsia="zh-CN"/>
              </w:rPr>
            </w:pPr>
            <w:r>
              <w:rPr>
                <w:rFonts w:hint="eastAsia"/>
                <w:color w:val="auto"/>
                <w:szCs w:val="18"/>
                <w:lang w:val="en-US" w:eastAsia="zh-CN"/>
              </w:rPr>
              <w:t>压机</w:t>
            </w:r>
          </w:p>
        </w:tc>
        <w:tc>
          <w:tcPr>
            <w:tcW w:w="1293" w:type="dxa"/>
            <w:noWrap w:val="0"/>
            <w:vAlign w:val="center"/>
          </w:tcPr>
          <w:p w14:paraId="14A33A56">
            <w:pPr>
              <w:pStyle w:val="16"/>
              <w:spacing w:before="0" w:after="0" w:line="240" w:lineRule="auto"/>
              <w:ind w:right="0"/>
              <w:jc w:val="center"/>
              <w:rPr>
                <w:color w:val="auto"/>
                <w:szCs w:val="18"/>
                <w:lang w:val="en-US" w:eastAsia="zh-CN"/>
              </w:rPr>
            </w:pPr>
            <w:r>
              <w:rPr>
                <w:rFonts w:hint="eastAsia"/>
                <w:color w:val="auto"/>
                <w:szCs w:val="18"/>
                <w:lang w:val="en-US" w:eastAsia="zh-CN"/>
              </w:rPr>
              <w:t>8</w:t>
            </w:r>
            <w:r>
              <w:rPr>
                <w:color w:val="auto"/>
                <w:szCs w:val="18"/>
                <w:lang w:val="en-US" w:eastAsia="zh-CN"/>
              </w:rPr>
              <w:t>0</w:t>
            </w:r>
          </w:p>
        </w:tc>
        <w:tc>
          <w:tcPr>
            <w:tcW w:w="693" w:type="dxa"/>
            <w:noWrap w:val="0"/>
            <w:vAlign w:val="center"/>
          </w:tcPr>
          <w:p w14:paraId="1159F2F5">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3</w:t>
            </w:r>
          </w:p>
        </w:tc>
        <w:tc>
          <w:tcPr>
            <w:tcW w:w="888" w:type="dxa"/>
            <w:vMerge w:val="continue"/>
            <w:noWrap w:val="0"/>
            <w:vAlign w:val="center"/>
          </w:tcPr>
          <w:p w14:paraId="4CB48421">
            <w:pPr>
              <w:pStyle w:val="16"/>
              <w:spacing w:before="0" w:after="0" w:line="240" w:lineRule="auto"/>
              <w:ind w:right="0"/>
              <w:jc w:val="center"/>
              <w:rPr>
                <w:color w:val="auto"/>
                <w:szCs w:val="18"/>
                <w:lang w:val="en-US" w:eastAsia="zh-CN"/>
              </w:rPr>
            </w:pPr>
          </w:p>
        </w:tc>
        <w:tc>
          <w:tcPr>
            <w:tcW w:w="782" w:type="dxa"/>
            <w:noWrap w:val="0"/>
            <w:vAlign w:val="center"/>
          </w:tcPr>
          <w:p w14:paraId="5554BFA7">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113</w:t>
            </w:r>
          </w:p>
        </w:tc>
        <w:tc>
          <w:tcPr>
            <w:tcW w:w="803" w:type="dxa"/>
            <w:noWrap w:val="0"/>
            <w:vAlign w:val="center"/>
          </w:tcPr>
          <w:p w14:paraId="31C766D4">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50</w:t>
            </w:r>
          </w:p>
        </w:tc>
        <w:tc>
          <w:tcPr>
            <w:tcW w:w="631" w:type="dxa"/>
            <w:noWrap w:val="0"/>
            <w:vAlign w:val="center"/>
          </w:tcPr>
          <w:p w14:paraId="14424101">
            <w:pPr>
              <w:pStyle w:val="16"/>
              <w:spacing w:before="0" w:after="0" w:line="240" w:lineRule="auto"/>
              <w:ind w:right="0"/>
              <w:jc w:val="center"/>
              <w:rPr>
                <w:color w:val="auto"/>
                <w:szCs w:val="18"/>
                <w:lang w:val="en-US" w:eastAsia="zh-CN"/>
              </w:rPr>
            </w:pPr>
            <w:r>
              <w:rPr>
                <w:color w:val="auto"/>
                <w:szCs w:val="18"/>
                <w:lang w:val="en-US" w:eastAsia="zh-CN"/>
              </w:rPr>
              <w:t>1.2</w:t>
            </w:r>
          </w:p>
        </w:tc>
        <w:tc>
          <w:tcPr>
            <w:tcW w:w="980" w:type="dxa"/>
            <w:noWrap w:val="0"/>
            <w:vAlign w:val="center"/>
          </w:tcPr>
          <w:p w14:paraId="2A6C4DDF">
            <w:pPr>
              <w:pStyle w:val="16"/>
              <w:spacing w:before="0" w:after="0" w:line="240" w:lineRule="auto"/>
              <w:ind w:right="0"/>
              <w:jc w:val="center"/>
              <w:rPr>
                <w:color w:val="auto"/>
                <w:szCs w:val="18"/>
                <w:lang w:val="en-US" w:eastAsia="zh-CN"/>
              </w:rPr>
            </w:pPr>
            <w:r>
              <w:rPr>
                <w:color w:val="auto"/>
                <w:szCs w:val="18"/>
                <w:lang w:val="en-US" w:eastAsia="zh-CN"/>
              </w:rPr>
              <w:t>20</w:t>
            </w:r>
          </w:p>
        </w:tc>
        <w:tc>
          <w:tcPr>
            <w:tcW w:w="970" w:type="dxa"/>
            <w:noWrap w:val="0"/>
            <w:vAlign w:val="center"/>
          </w:tcPr>
          <w:p w14:paraId="3679A086">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58.7</w:t>
            </w:r>
          </w:p>
        </w:tc>
        <w:tc>
          <w:tcPr>
            <w:tcW w:w="1214" w:type="dxa"/>
            <w:vMerge w:val="continue"/>
            <w:noWrap w:val="0"/>
            <w:vAlign w:val="center"/>
          </w:tcPr>
          <w:p w14:paraId="35BC153D">
            <w:pPr>
              <w:pStyle w:val="16"/>
              <w:spacing w:before="0" w:after="0" w:line="240" w:lineRule="auto"/>
              <w:ind w:right="0"/>
              <w:jc w:val="center"/>
              <w:rPr>
                <w:color w:val="auto"/>
                <w:szCs w:val="18"/>
                <w:lang w:val="en-US" w:eastAsia="zh-CN"/>
              </w:rPr>
            </w:pPr>
          </w:p>
        </w:tc>
        <w:tc>
          <w:tcPr>
            <w:tcW w:w="1067" w:type="dxa"/>
            <w:noWrap w:val="0"/>
            <w:vAlign w:val="center"/>
          </w:tcPr>
          <w:p w14:paraId="401C9B88">
            <w:pPr>
              <w:pStyle w:val="16"/>
              <w:spacing w:before="0" w:after="0" w:line="240" w:lineRule="auto"/>
              <w:ind w:right="0"/>
              <w:jc w:val="center"/>
              <w:rPr>
                <w:color w:val="auto"/>
                <w:szCs w:val="18"/>
                <w:lang w:val="en-US" w:eastAsia="zh-CN"/>
              </w:rPr>
            </w:pPr>
            <w:r>
              <w:rPr>
                <w:color w:val="auto"/>
                <w:szCs w:val="18"/>
                <w:lang w:val="en-US" w:eastAsia="zh-CN"/>
              </w:rPr>
              <w:t>15</w:t>
            </w:r>
          </w:p>
        </w:tc>
        <w:tc>
          <w:tcPr>
            <w:tcW w:w="916" w:type="dxa"/>
            <w:noWrap w:val="0"/>
            <w:vAlign w:val="center"/>
          </w:tcPr>
          <w:p w14:paraId="5F59531B">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43.7</w:t>
            </w:r>
          </w:p>
        </w:tc>
        <w:tc>
          <w:tcPr>
            <w:tcW w:w="1033" w:type="dxa"/>
            <w:noWrap w:val="0"/>
            <w:vAlign w:val="center"/>
          </w:tcPr>
          <w:p w14:paraId="3377C2AD">
            <w:pPr>
              <w:pStyle w:val="16"/>
              <w:spacing w:before="0" w:after="0" w:line="240" w:lineRule="auto"/>
              <w:ind w:right="0"/>
              <w:jc w:val="center"/>
              <w:rPr>
                <w:color w:val="auto"/>
                <w:szCs w:val="18"/>
                <w:lang w:val="en-US" w:eastAsia="zh-CN"/>
              </w:rPr>
            </w:pPr>
            <w:r>
              <w:rPr>
                <w:color w:val="auto"/>
                <w:szCs w:val="18"/>
                <w:lang w:val="en-US" w:eastAsia="zh-CN"/>
              </w:rPr>
              <w:t>1</w:t>
            </w:r>
          </w:p>
        </w:tc>
      </w:tr>
      <w:tr w14:paraId="4B0C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72D135AB">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5</w:t>
            </w:r>
          </w:p>
        </w:tc>
        <w:tc>
          <w:tcPr>
            <w:tcW w:w="787" w:type="dxa"/>
            <w:vMerge w:val="continue"/>
            <w:noWrap w:val="0"/>
            <w:vAlign w:val="center"/>
          </w:tcPr>
          <w:p w14:paraId="07D93707">
            <w:pPr>
              <w:pStyle w:val="16"/>
              <w:spacing w:before="0" w:after="0" w:line="240" w:lineRule="auto"/>
              <w:ind w:right="0"/>
              <w:jc w:val="center"/>
              <w:rPr>
                <w:color w:val="auto"/>
                <w:szCs w:val="18"/>
                <w:lang w:val="en-US" w:eastAsia="zh-CN"/>
              </w:rPr>
            </w:pPr>
          </w:p>
        </w:tc>
        <w:tc>
          <w:tcPr>
            <w:tcW w:w="1158" w:type="dxa"/>
            <w:noWrap w:val="0"/>
            <w:vAlign w:val="center"/>
          </w:tcPr>
          <w:p w14:paraId="4CD160A4">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制氧机</w:t>
            </w:r>
          </w:p>
        </w:tc>
        <w:tc>
          <w:tcPr>
            <w:tcW w:w="1293" w:type="dxa"/>
            <w:noWrap w:val="0"/>
            <w:vAlign w:val="center"/>
          </w:tcPr>
          <w:p w14:paraId="31D714C7">
            <w:pPr>
              <w:pStyle w:val="16"/>
              <w:spacing w:before="0" w:after="0" w:line="240" w:lineRule="auto"/>
              <w:ind w:right="0" w:rightChars="0"/>
              <w:jc w:val="center"/>
              <w:rPr>
                <w:rFonts w:hint="default"/>
                <w:color w:val="auto"/>
                <w:szCs w:val="18"/>
                <w:lang w:val="en-US" w:eastAsia="zh-CN"/>
              </w:rPr>
            </w:pPr>
            <w:r>
              <w:rPr>
                <w:rFonts w:hint="eastAsia"/>
                <w:color w:val="auto"/>
                <w:szCs w:val="18"/>
                <w:lang w:val="en-US" w:eastAsia="zh-CN"/>
              </w:rPr>
              <w:t>85</w:t>
            </w:r>
          </w:p>
        </w:tc>
        <w:tc>
          <w:tcPr>
            <w:tcW w:w="693" w:type="dxa"/>
            <w:noWrap w:val="0"/>
            <w:vAlign w:val="center"/>
          </w:tcPr>
          <w:p w14:paraId="38D1735C">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1</w:t>
            </w:r>
          </w:p>
        </w:tc>
        <w:tc>
          <w:tcPr>
            <w:tcW w:w="888" w:type="dxa"/>
            <w:vMerge w:val="continue"/>
            <w:noWrap w:val="0"/>
            <w:vAlign w:val="center"/>
          </w:tcPr>
          <w:p w14:paraId="05541ABE">
            <w:pPr>
              <w:pStyle w:val="16"/>
              <w:spacing w:before="0" w:after="0" w:line="240" w:lineRule="auto"/>
              <w:ind w:right="0"/>
              <w:jc w:val="center"/>
              <w:rPr>
                <w:color w:val="auto"/>
                <w:szCs w:val="18"/>
                <w:lang w:val="en-US" w:eastAsia="zh-CN"/>
              </w:rPr>
            </w:pPr>
          </w:p>
        </w:tc>
        <w:tc>
          <w:tcPr>
            <w:tcW w:w="782" w:type="dxa"/>
            <w:noWrap w:val="0"/>
            <w:vAlign w:val="center"/>
          </w:tcPr>
          <w:p w14:paraId="7933A165">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90</w:t>
            </w:r>
          </w:p>
        </w:tc>
        <w:tc>
          <w:tcPr>
            <w:tcW w:w="803" w:type="dxa"/>
            <w:noWrap w:val="0"/>
            <w:vAlign w:val="center"/>
          </w:tcPr>
          <w:p w14:paraId="181F5E86">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97</w:t>
            </w:r>
          </w:p>
        </w:tc>
        <w:tc>
          <w:tcPr>
            <w:tcW w:w="631" w:type="dxa"/>
            <w:noWrap w:val="0"/>
            <w:vAlign w:val="center"/>
          </w:tcPr>
          <w:p w14:paraId="660298B4">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w:t>
            </w:r>
          </w:p>
        </w:tc>
        <w:tc>
          <w:tcPr>
            <w:tcW w:w="980" w:type="dxa"/>
            <w:noWrap w:val="0"/>
            <w:vAlign w:val="center"/>
          </w:tcPr>
          <w:p w14:paraId="1113ACF7">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5</w:t>
            </w:r>
          </w:p>
        </w:tc>
        <w:tc>
          <w:tcPr>
            <w:tcW w:w="970" w:type="dxa"/>
            <w:noWrap w:val="0"/>
            <w:vAlign w:val="center"/>
          </w:tcPr>
          <w:p w14:paraId="198FB326">
            <w:pPr>
              <w:pStyle w:val="16"/>
              <w:spacing w:before="0" w:after="0" w:line="240" w:lineRule="auto"/>
              <w:ind w:right="0"/>
              <w:jc w:val="center"/>
              <w:rPr>
                <w:rFonts w:hint="default" w:eastAsia="等线"/>
                <w:color w:val="auto"/>
                <w:szCs w:val="18"/>
                <w:lang w:val="en-US" w:eastAsia="zh-CN"/>
              </w:rPr>
            </w:pPr>
            <w:r>
              <w:rPr>
                <w:rFonts w:hint="eastAsia" w:eastAsia="等线"/>
                <w:color w:val="auto"/>
                <w:szCs w:val="18"/>
                <w:lang w:val="en-US" w:eastAsia="zh-CN"/>
              </w:rPr>
              <w:t>66.0</w:t>
            </w:r>
          </w:p>
        </w:tc>
        <w:tc>
          <w:tcPr>
            <w:tcW w:w="1214" w:type="dxa"/>
            <w:vMerge w:val="continue"/>
            <w:noWrap w:val="0"/>
            <w:vAlign w:val="center"/>
          </w:tcPr>
          <w:p w14:paraId="3D559A16">
            <w:pPr>
              <w:pStyle w:val="16"/>
              <w:spacing w:before="0" w:after="0" w:line="240" w:lineRule="auto"/>
              <w:ind w:right="0"/>
              <w:jc w:val="center"/>
              <w:rPr>
                <w:color w:val="auto"/>
                <w:szCs w:val="18"/>
                <w:lang w:val="en-US" w:eastAsia="zh-CN"/>
              </w:rPr>
            </w:pPr>
          </w:p>
        </w:tc>
        <w:tc>
          <w:tcPr>
            <w:tcW w:w="1067" w:type="dxa"/>
            <w:noWrap w:val="0"/>
            <w:vAlign w:val="center"/>
          </w:tcPr>
          <w:p w14:paraId="79657890">
            <w:pPr>
              <w:pStyle w:val="16"/>
              <w:spacing w:before="0" w:after="0" w:line="240" w:lineRule="auto"/>
              <w:ind w:right="0" w:rightChars="0"/>
              <w:jc w:val="center"/>
              <w:rPr>
                <w:color w:val="auto"/>
                <w:szCs w:val="18"/>
                <w:lang w:val="en-US" w:eastAsia="zh-CN"/>
              </w:rPr>
            </w:pPr>
            <w:r>
              <w:rPr>
                <w:color w:val="auto"/>
                <w:szCs w:val="18"/>
                <w:lang w:val="en-US" w:eastAsia="zh-CN"/>
              </w:rPr>
              <w:t>15</w:t>
            </w:r>
          </w:p>
        </w:tc>
        <w:tc>
          <w:tcPr>
            <w:tcW w:w="916" w:type="dxa"/>
            <w:noWrap w:val="0"/>
            <w:vAlign w:val="center"/>
          </w:tcPr>
          <w:p w14:paraId="46DE4B9A">
            <w:pPr>
              <w:pStyle w:val="16"/>
              <w:spacing w:before="0" w:after="0" w:line="240" w:lineRule="auto"/>
              <w:ind w:right="0" w:rightChars="0"/>
              <w:jc w:val="center"/>
              <w:rPr>
                <w:rFonts w:hint="eastAsia" w:eastAsia="等线"/>
                <w:color w:val="auto"/>
                <w:szCs w:val="18"/>
                <w:lang w:val="en-US" w:eastAsia="zh-CN"/>
              </w:rPr>
            </w:pPr>
            <w:r>
              <w:rPr>
                <w:rFonts w:hint="eastAsia" w:eastAsia="等线"/>
                <w:color w:val="auto"/>
                <w:szCs w:val="18"/>
                <w:lang w:val="en-US" w:eastAsia="zh-CN"/>
              </w:rPr>
              <w:t>41.0</w:t>
            </w:r>
          </w:p>
        </w:tc>
        <w:tc>
          <w:tcPr>
            <w:tcW w:w="1033" w:type="dxa"/>
            <w:noWrap w:val="0"/>
            <w:vAlign w:val="center"/>
          </w:tcPr>
          <w:p w14:paraId="0511FF13">
            <w:pPr>
              <w:pStyle w:val="16"/>
              <w:spacing w:before="0" w:after="0" w:line="240" w:lineRule="auto"/>
              <w:ind w:right="0" w:rightChars="0"/>
              <w:jc w:val="center"/>
              <w:rPr>
                <w:color w:val="auto"/>
                <w:szCs w:val="18"/>
                <w:lang w:val="en-US" w:eastAsia="zh-CN"/>
              </w:rPr>
            </w:pPr>
            <w:r>
              <w:rPr>
                <w:color w:val="auto"/>
                <w:szCs w:val="18"/>
                <w:lang w:val="en-US" w:eastAsia="zh-CN"/>
              </w:rPr>
              <w:t>1</w:t>
            </w:r>
          </w:p>
        </w:tc>
      </w:tr>
      <w:tr w14:paraId="4695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45E15AF3">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6</w:t>
            </w:r>
          </w:p>
        </w:tc>
        <w:tc>
          <w:tcPr>
            <w:tcW w:w="787" w:type="dxa"/>
            <w:vMerge w:val="continue"/>
            <w:noWrap w:val="0"/>
            <w:vAlign w:val="center"/>
          </w:tcPr>
          <w:p w14:paraId="2E9CD34B">
            <w:pPr>
              <w:pStyle w:val="16"/>
              <w:spacing w:before="0" w:after="0" w:line="240" w:lineRule="auto"/>
              <w:ind w:right="0"/>
              <w:jc w:val="center"/>
              <w:rPr>
                <w:color w:val="auto"/>
                <w:szCs w:val="18"/>
                <w:lang w:val="en-US" w:eastAsia="zh-CN"/>
              </w:rPr>
            </w:pPr>
          </w:p>
        </w:tc>
        <w:tc>
          <w:tcPr>
            <w:tcW w:w="1158" w:type="dxa"/>
            <w:noWrap w:val="0"/>
            <w:vAlign w:val="center"/>
          </w:tcPr>
          <w:p w14:paraId="74C7BC41">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池炉</w:t>
            </w:r>
          </w:p>
        </w:tc>
        <w:tc>
          <w:tcPr>
            <w:tcW w:w="1293" w:type="dxa"/>
            <w:noWrap w:val="0"/>
            <w:vAlign w:val="center"/>
          </w:tcPr>
          <w:p w14:paraId="6146B3F0">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90</w:t>
            </w:r>
          </w:p>
        </w:tc>
        <w:tc>
          <w:tcPr>
            <w:tcW w:w="693" w:type="dxa"/>
            <w:noWrap w:val="0"/>
            <w:vAlign w:val="center"/>
          </w:tcPr>
          <w:p w14:paraId="5A202B4E">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1</w:t>
            </w:r>
          </w:p>
        </w:tc>
        <w:tc>
          <w:tcPr>
            <w:tcW w:w="888" w:type="dxa"/>
            <w:vMerge w:val="continue"/>
            <w:noWrap w:val="0"/>
            <w:vAlign w:val="center"/>
          </w:tcPr>
          <w:p w14:paraId="6AA2670D">
            <w:pPr>
              <w:pStyle w:val="16"/>
              <w:spacing w:before="0" w:after="0" w:line="240" w:lineRule="auto"/>
              <w:ind w:right="0"/>
              <w:jc w:val="center"/>
              <w:rPr>
                <w:color w:val="auto"/>
                <w:szCs w:val="18"/>
                <w:lang w:val="en-US" w:eastAsia="zh-CN"/>
              </w:rPr>
            </w:pPr>
          </w:p>
        </w:tc>
        <w:tc>
          <w:tcPr>
            <w:tcW w:w="782" w:type="dxa"/>
            <w:noWrap w:val="0"/>
            <w:vAlign w:val="center"/>
          </w:tcPr>
          <w:p w14:paraId="11B74AC9">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138</w:t>
            </w:r>
          </w:p>
        </w:tc>
        <w:tc>
          <w:tcPr>
            <w:tcW w:w="803" w:type="dxa"/>
            <w:noWrap w:val="0"/>
            <w:vAlign w:val="center"/>
          </w:tcPr>
          <w:p w14:paraId="352E4472">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40</w:t>
            </w:r>
          </w:p>
        </w:tc>
        <w:tc>
          <w:tcPr>
            <w:tcW w:w="631" w:type="dxa"/>
            <w:noWrap w:val="0"/>
            <w:vAlign w:val="center"/>
          </w:tcPr>
          <w:p w14:paraId="5A6AE85A">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10</w:t>
            </w:r>
          </w:p>
        </w:tc>
        <w:tc>
          <w:tcPr>
            <w:tcW w:w="980" w:type="dxa"/>
            <w:noWrap w:val="0"/>
            <w:vAlign w:val="center"/>
          </w:tcPr>
          <w:p w14:paraId="3F519A8C">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20</w:t>
            </w:r>
          </w:p>
        </w:tc>
        <w:tc>
          <w:tcPr>
            <w:tcW w:w="970" w:type="dxa"/>
            <w:noWrap w:val="0"/>
            <w:vAlign w:val="center"/>
          </w:tcPr>
          <w:p w14:paraId="01C471CF">
            <w:pPr>
              <w:pStyle w:val="16"/>
              <w:spacing w:before="0" w:after="0" w:line="240" w:lineRule="auto"/>
              <w:ind w:right="0"/>
              <w:jc w:val="center"/>
              <w:rPr>
                <w:rFonts w:hint="default" w:eastAsia="等线"/>
                <w:color w:val="auto"/>
                <w:szCs w:val="18"/>
                <w:lang w:val="en-US" w:eastAsia="zh-CN"/>
              </w:rPr>
            </w:pPr>
            <w:r>
              <w:rPr>
                <w:rFonts w:hint="eastAsia" w:eastAsia="等线"/>
                <w:color w:val="auto"/>
                <w:szCs w:val="18"/>
                <w:lang w:val="en-US" w:eastAsia="zh-CN"/>
              </w:rPr>
              <w:t>64.0</w:t>
            </w:r>
          </w:p>
        </w:tc>
        <w:tc>
          <w:tcPr>
            <w:tcW w:w="1214" w:type="dxa"/>
            <w:vMerge w:val="continue"/>
            <w:noWrap w:val="0"/>
            <w:vAlign w:val="center"/>
          </w:tcPr>
          <w:p w14:paraId="6A1C72F9">
            <w:pPr>
              <w:pStyle w:val="16"/>
              <w:spacing w:before="0" w:after="0" w:line="240" w:lineRule="auto"/>
              <w:ind w:right="0"/>
              <w:jc w:val="center"/>
              <w:rPr>
                <w:color w:val="auto"/>
                <w:szCs w:val="18"/>
                <w:lang w:val="en-US" w:eastAsia="zh-CN"/>
              </w:rPr>
            </w:pPr>
          </w:p>
        </w:tc>
        <w:tc>
          <w:tcPr>
            <w:tcW w:w="1067" w:type="dxa"/>
            <w:noWrap w:val="0"/>
            <w:vAlign w:val="center"/>
          </w:tcPr>
          <w:p w14:paraId="41DA8975">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15</w:t>
            </w:r>
          </w:p>
        </w:tc>
        <w:tc>
          <w:tcPr>
            <w:tcW w:w="916" w:type="dxa"/>
            <w:noWrap w:val="0"/>
            <w:vAlign w:val="center"/>
          </w:tcPr>
          <w:p w14:paraId="420742A6">
            <w:pPr>
              <w:pStyle w:val="16"/>
              <w:spacing w:before="0" w:after="0" w:line="240" w:lineRule="auto"/>
              <w:ind w:right="0"/>
              <w:jc w:val="center"/>
              <w:rPr>
                <w:rFonts w:hint="default" w:eastAsia="等线"/>
                <w:color w:val="auto"/>
                <w:szCs w:val="18"/>
                <w:lang w:val="en-US" w:eastAsia="zh-CN"/>
              </w:rPr>
            </w:pPr>
            <w:r>
              <w:rPr>
                <w:rFonts w:hint="eastAsia" w:eastAsia="等线"/>
                <w:color w:val="auto"/>
                <w:szCs w:val="18"/>
                <w:lang w:val="en-US" w:eastAsia="zh-CN"/>
              </w:rPr>
              <w:t>49</w:t>
            </w:r>
          </w:p>
        </w:tc>
        <w:tc>
          <w:tcPr>
            <w:tcW w:w="1033" w:type="dxa"/>
            <w:noWrap w:val="0"/>
            <w:vAlign w:val="center"/>
          </w:tcPr>
          <w:p w14:paraId="2E167739">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w:t>
            </w:r>
          </w:p>
        </w:tc>
      </w:tr>
      <w:tr w14:paraId="6D68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3C419A1C">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7</w:t>
            </w:r>
          </w:p>
        </w:tc>
        <w:tc>
          <w:tcPr>
            <w:tcW w:w="787" w:type="dxa"/>
            <w:vMerge w:val="continue"/>
            <w:noWrap w:val="0"/>
            <w:vAlign w:val="center"/>
          </w:tcPr>
          <w:p w14:paraId="57A05899">
            <w:pPr>
              <w:pStyle w:val="16"/>
              <w:spacing w:before="0" w:after="0" w:line="240" w:lineRule="auto"/>
              <w:ind w:right="0"/>
              <w:jc w:val="center"/>
              <w:rPr>
                <w:color w:val="auto"/>
                <w:szCs w:val="18"/>
                <w:lang w:val="en-US" w:eastAsia="zh-CN"/>
              </w:rPr>
            </w:pPr>
          </w:p>
        </w:tc>
        <w:tc>
          <w:tcPr>
            <w:tcW w:w="1158" w:type="dxa"/>
            <w:noWrap w:val="0"/>
            <w:vAlign w:val="center"/>
          </w:tcPr>
          <w:p w14:paraId="5935389C">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退火炉</w:t>
            </w:r>
          </w:p>
        </w:tc>
        <w:tc>
          <w:tcPr>
            <w:tcW w:w="1293" w:type="dxa"/>
            <w:noWrap w:val="0"/>
            <w:vAlign w:val="center"/>
          </w:tcPr>
          <w:p w14:paraId="77013B4F">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80</w:t>
            </w:r>
          </w:p>
        </w:tc>
        <w:tc>
          <w:tcPr>
            <w:tcW w:w="693" w:type="dxa"/>
            <w:noWrap w:val="0"/>
            <w:vAlign w:val="center"/>
          </w:tcPr>
          <w:p w14:paraId="2E04A86F">
            <w:pPr>
              <w:pStyle w:val="16"/>
              <w:spacing w:before="0" w:after="0" w:line="240" w:lineRule="auto"/>
              <w:ind w:right="0" w:rightChars="0"/>
              <w:jc w:val="center"/>
              <w:rPr>
                <w:rFonts w:hint="eastAsia"/>
                <w:color w:val="auto"/>
                <w:szCs w:val="18"/>
                <w:lang w:val="en-US" w:eastAsia="zh-CN"/>
              </w:rPr>
            </w:pPr>
            <w:r>
              <w:rPr>
                <w:rFonts w:hint="eastAsia"/>
                <w:color w:val="auto"/>
                <w:szCs w:val="18"/>
                <w:lang w:val="en-US" w:eastAsia="zh-CN"/>
              </w:rPr>
              <w:t>2</w:t>
            </w:r>
          </w:p>
        </w:tc>
        <w:tc>
          <w:tcPr>
            <w:tcW w:w="888" w:type="dxa"/>
            <w:vMerge w:val="continue"/>
            <w:noWrap w:val="0"/>
            <w:vAlign w:val="center"/>
          </w:tcPr>
          <w:p w14:paraId="2458D02F">
            <w:pPr>
              <w:pStyle w:val="16"/>
              <w:spacing w:before="0" w:after="0" w:line="240" w:lineRule="auto"/>
              <w:ind w:right="0"/>
              <w:jc w:val="center"/>
              <w:rPr>
                <w:color w:val="auto"/>
                <w:szCs w:val="18"/>
                <w:lang w:val="en-US" w:eastAsia="zh-CN"/>
              </w:rPr>
            </w:pPr>
          </w:p>
        </w:tc>
        <w:tc>
          <w:tcPr>
            <w:tcW w:w="782" w:type="dxa"/>
            <w:noWrap w:val="0"/>
            <w:vAlign w:val="center"/>
          </w:tcPr>
          <w:p w14:paraId="521F0B8A">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128</w:t>
            </w:r>
          </w:p>
        </w:tc>
        <w:tc>
          <w:tcPr>
            <w:tcW w:w="803" w:type="dxa"/>
            <w:noWrap w:val="0"/>
            <w:vAlign w:val="center"/>
          </w:tcPr>
          <w:p w14:paraId="7FBCC3F7">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50</w:t>
            </w:r>
          </w:p>
        </w:tc>
        <w:tc>
          <w:tcPr>
            <w:tcW w:w="631" w:type="dxa"/>
            <w:noWrap w:val="0"/>
            <w:vAlign w:val="center"/>
          </w:tcPr>
          <w:p w14:paraId="5CC0BB6A">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w:t>
            </w:r>
          </w:p>
        </w:tc>
        <w:tc>
          <w:tcPr>
            <w:tcW w:w="980" w:type="dxa"/>
            <w:noWrap w:val="0"/>
            <w:vAlign w:val="center"/>
          </w:tcPr>
          <w:p w14:paraId="6ECD89B7">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20</w:t>
            </w:r>
          </w:p>
        </w:tc>
        <w:tc>
          <w:tcPr>
            <w:tcW w:w="970" w:type="dxa"/>
            <w:noWrap w:val="0"/>
            <w:vAlign w:val="center"/>
          </w:tcPr>
          <w:p w14:paraId="79AEDACE">
            <w:pPr>
              <w:pStyle w:val="16"/>
              <w:spacing w:before="0" w:after="0" w:line="240" w:lineRule="auto"/>
              <w:ind w:right="0"/>
              <w:jc w:val="center"/>
              <w:rPr>
                <w:rFonts w:hint="default" w:eastAsia="等线"/>
                <w:color w:val="auto"/>
                <w:szCs w:val="18"/>
                <w:lang w:val="en-US" w:eastAsia="zh-CN"/>
              </w:rPr>
            </w:pPr>
            <w:r>
              <w:rPr>
                <w:rFonts w:hint="eastAsia" w:eastAsia="等线"/>
                <w:color w:val="auto"/>
                <w:szCs w:val="18"/>
                <w:lang w:val="en-US" w:eastAsia="zh-CN"/>
              </w:rPr>
              <w:t>54.0</w:t>
            </w:r>
          </w:p>
        </w:tc>
        <w:tc>
          <w:tcPr>
            <w:tcW w:w="1214" w:type="dxa"/>
            <w:vMerge w:val="continue"/>
            <w:noWrap w:val="0"/>
            <w:vAlign w:val="center"/>
          </w:tcPr>
          <w:p w14:paraId="27A89614">
            <w:pPr>
              <w:pStyle w:val="16"/>
              <w:spacing w:before="0" w:after="0" w:line="240" w:lineRule="auto"/>
              <w:ind w:right="0"/>
              <w:jc w:val="center"/>
              <w:rPr>
                <w:color w:val="auto"/>
                <w:szCs w:val="18"/>
                <w:lang w:val="en-US" w:eastAsia="zh-CN"/>
              </w:rPr>
            </w:pPr>
          </w:p>
        </w:tc>
        <w:tc>
          <w:tcPr>
            <w:tcW w:w="1067" w:type="dxa"/>
            <w:noWrap w:val="0"/>
            <w:vAlign w:val="center"/>
          </w:tcPr>
          <w:p w14:paraId="0C43703A">
            <w:pPr>
              <w:pStyle w:val="16"/>
              <w:spacing w:before="0" w:after="0" w:line="240" w:lineRule="auto"/>
              <w:ind w:right="0" w:rightChars="0"/>
              <w:jc w:val="center"/>
              <w:rPr>
                <w:color w:val="auto"/>
                <w:szCs w:val="18"/>
                <w:lang w:val="en-US" w:eastAsia="zh-CN"/>
              </w:rPr>
            </w:pPr>
            <w:r>
              <w:rPr>
                <w:rFonts w:hint="eastAsia"/>
                <w:color w:val="auto"/>
                <w:szCs w:val="18"/>
                <w:lang w:val="en-US" w:eastAsia="zh-CN"/>
              </w:rPr>
              <w:t>15</w:t>
            </w:r>
          </w:p>
        </w:tc>
        <w:tc>
          <w:tcPr>
            <w:tcW w:w="916" w:type="dxa"/>
            <w:noWrap w:val="0"/>
            <w:vAlign w:val="center"/>
          </w:tcPr>
          <w:p w14:paraId="573D96E2">
            <w:pPr>
              <w:pStyle w:val="16"/>
              <w:spacing w:before="0" w:after="0" w:line="240" w:lineRule="auto"/>
              <w:ind w:right="0" w:rightChars="0"/>
              <w:jc w:val="center"/>
              <w:rPr>
                <w:rFonts w:hint="default" w:eastAsia="等线"/>
                <w:color w:val="auto"/>
                <w:szCs w:val="18"/>
                <w:lang w:val="en-US" w:eastAsia="zh-CN"/>
              </w:rPr>
            </w:pPr>
            <w:r>
              <w:rPr>
                <w:rFonts w:hint="eastAsia" w:eastAsia="等线"/>
                <w:color w:val="auto"/>
                <w:szCs w:val="18"/>
                <w:lang w:val="en-US" w:eastAsia="zh-CN"/>
              </w:rPr>
              <w:t>39</w:t>
            </w:r>
          </w:p>
        </w:tc>
        <w:tc>
          <w:tcPr>
            <w:tcW w:w="1033" w:type="dxa"/>
            <w:noWrap w:val="0"/>
            <w:vAlign w:val="center"/>
          </w:tcPr>
          <w:p w14:paraId="6942966B">
            <w:pPr>
              <w:pStyle w:val="16"/>
              <w:spacing w:before="0" w:after="0" w:line="240" w:lineRule="auto"/>
              <w:ind w:right="0" w:rightChars="0"/>
              <w:jc w:val="center"/>
              <w:rPr>
                <w:color w:val="auto"/>
                <w:szCs w:val="18"/>
                <w:lang w:val="en-US" w:eastAsia="zh-CN"/>
              </w:rPr>
            </w:pPr>
            <w:r>
              <w:rPr>
                <w:rFonts w:hint="eastAsia"/>
                <w:color w:val="auto"/>
                <w:szCs w:val="18"/>
                <w:lang w:val="en-US" w:eastAsia="zh-CN"/>
              </w:rPr>
              <w:t>1</w:t>
            </w:r>
          </w:p>
        </w:tc>
      </w:tr>
      <w:tr w14:paraId="0964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3" w:type="dxa"/>
            <w:noWrap w:val="0"/>
            <w:vAlign w:val="center"/>
          </w:tcPr>
          <w:p w14:paraId="5CB7D39E">
            <w:pPr>
              <w:pStyle w:val="16"/>
              <w:spacing w:before="0" w:after="0" w:line="240" w:lineRule="auto"/>
              <w:ind w:right="0"/>
              <w:jc w:val="center"/>
              <w:rPr>
                <w:color w:val="auto"/>
                <w:szCs w:val="18"/>
                <w:lang w:val="en-US" w:eastAsia="zh-CN"/>
              </w:rPr>
            </w:pPr>
            <w:r>
              <w:rPr>
                <w:rFonts w:hint="eastAsia"/>
                <w:color w:val="auto"/>
                <w:szCs w:val="18"/>
                <w:lang w:val="en-US" w:eastAsia="zh-CN"/>
              </w:rPr>
              <w:t>8</w:t>
            </w:r>
          </w:p>
        </w:tc>
        <w:tc>
          <w:tcPr>
            <w:tcW w:w="787" w:type="dxa"/>
            <w:vMerge w:val="continue"/>
            <w:noWrap w:val="0"/>
            <w:vAlign w:val="center"/>
          </w:tcPr>
          <w:p w14:paraId="55CE3889">
            <w:pPr>
              <w:pStyle w:val="16"/>
              <w:spacing w:before="0" w:after="0" w:line="240" w:lineRule="auto"/>
              <w:ind w:right="0"/>
              <w:jc w:val="center"/>
              <w:rPr>
                <w:color w:val="auto"/>
                <w:szCs w:val="18"/>
                <w:lang w:val="en-US" w:eastAsia="zh-CN"/>
              </w:rPr>
            </w:pPr>
          </w:p>
        </w:tc>
        <w:tc>
          <w:tcPr>
            <w:tcW w:w="1158" w:type="dxa"/>
            <w:noWrap w:val="0"/>
            <w:vAlign w:val="center"/>
          </w:tcPr>
          <w:p w14:paraId="3A66EC95">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空压机</w:t>
            </w:r>
          </w:p>
        </w:tc>
        <w:tc>
          <w:tcPr>
            <w:tcW w:w="1293" w:type="dxa"/>
            <w:noWrap w:val="0"/>
            <w:vAlign w:val="center"/>
          </w:tcPr>
          <w:p w14:paraId="20E5E556">
            <w:pPr>
              <w:pStyle w:val="16"/>
              <w:spacing w:before="0" w:after="0" w:line="240" w:lineRule="auto"/>
              <w:ind w:right="0"/>
              <w:jc w:val="center"/>
              <w:rPr>
                <w:color w:val="auto"/>
                <w:szCs w:val="18"/>
                <w:lang w:val="en-US" w:eastAsia="zh-CN"/>
              </w:rPr>
            </w:pPr>
            <w:r>
              <w:rPr>
                <w:rFonts w:hint="eastAsia"/>
                <w:color w:val="auto"/>
                <w:szCs w:val="18"/>
                <w:lang w:val="en-US" w:eastAsia="zh-CN"/>
              </w:rPr>
              <w:t>9</w:t>
            </w:r>
            <w:r>
              <w:rPr>
                <w:color w:val="auto"/>
                <w:szCs w:val="18"/>
                <w:lang w:val="en-US" w:eastAsia="zh-CN"/>
              </w:rPr>
              <w:t>5</w:t>
            </w:r>
          </w:p>
        </w:tc>
        <w:tc>
          <w:tcPr>
            <w:tcW w:w="693" w:type="dxa"/>
            <w:noWrap w:val="0"/>
            <w:vAlign w:val="center"/>
          </w:tcPr>
          <w:p w14:paraId="430966C3">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3</w:t>
            </w:r>
          </w:p>
        </w:tc>
        <w:tc>
          <w:tcPr>
            <w:tcW w:w="888" w:type="dxa"/>
            <w:noWrap w:val="0"/>
            <w:vAlign w:val="center"/>
          </w:tcPr>
          <w:p w14:paraId="340FB288">
            <w:pPr>
              <w:pStyle w:val="16"/>
              <w:spacing w:before="0" w:after="0" w:line="240" w:lineRule="auto"/>
              <w:ind w:right="0"/>
              <w:jc w:val="center"/>
              <w:rPr>
                <w:color w:val="auto"/>
                <w:szCs w:val="18"/>
                <w:lang w:val="en-US" w:eastAsia="zh-CN"/>
              </w:rPr>
            </w:pPr>
            <w:r>
              <w:rPr>
                <w:rFonts w:hint="eastAsia"/>
                <w:color w:val="auto"/>
                <w:szCs w:val="18"/>
                <w:lang w:val="en-US" w:eastAsia="zh-CN"/>
              </w:rPr>
              <w:t>独立空压机房，隔声</w:t>
            </w:r>
          </w:p>
        </w:tc>
        <w:tc>
          <w:tcPr>
            <w:tcW w:w="782" w:type="dxa"/>
            <w:noWrap w:val="0"/>
            <w:vAlign w:val="center"/>
          </w:tcPr>
          <w:p w14:paraId="290E5031">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148</w:t>
            </w:r>
          </w:p>
        </w:tc>
        <w:tc>
          <w:tcPr>
            <w:tcW w:w="803" w:type="dxa"/>
            <w:noWrap w:val="0"/>
            <w:vAlign w:val="center"/>
          </w:tcPr>
          <w:p w14:paraId="1A24B739">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-12</w:t>
            </w:r>
          </w:p>
        </w:tc>
        <w:tc>
          <w:tcPr>
            <w:tcW w:w="631" w:type="dxa"/>
            <w:noWrap w:val="0"/>
            <w:vAlign w:val="center"/>
          </w:tcPr>
          <w:p w14:paraId="71633EF0">
            <w:pPr>
              <w:pStyle w:val="16"/>
              <w:spacing w:before="0" w:after="0" w:line="240" w:lineRule="auto"/>
              <w:ind w:right="0"/>
              <w:jc w:val="center"/>
              <w:rPr>
                <w:color w:val="auto"/>
                <w:szCs w:val="18"/>
                <w:lang w:val="en-US" w:eastAsia="zh-CN"/>
              </w:rPr>
            </w:pPr>
            <w:r>
              <w:rPr>
                <w:color w:val="auto"/>
                <w:szCs w:val="18"/>
                <w:lang w:val="en-US" w:eastAsia="zh-CN"/>
              </w:rPr>
              <w:t>1.2</w:t>
            </w:r>
          </w:p>
        </w:tc>
        <w:tc>
          <w:tcPr>
            <w:tcW w:w="980" w:type="dxa"/>
            <w:noWrap w:val="0"/>
            <w:vAlign w:val="center"/>
          </w:tcPr>
          <w:p w14:paraId="3A9784CB">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15</w:t>
            </w:r>
          </w:p>
        </w:tc>
        <w:tc>
          <w:tcPr>
            <w:tcW w:w="970" w:type="dxa"/>
            <w:noWrap w:val="0"/>
            <w:vAlign w:val="center"/>
          </w:tcPr>
          <w:p w14:paraId="6B9869BF">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76.2</w:t>
            </w:r>
          </w:p>
        </w:tc>
        <w:tc>
          <w:tcPr>
            <w:tcW w:w="1214" w:type="dxa"/>
            <w:vMerge w:val="continue"/>
            <w:noWrap w:val="0"/>
            <w:vAlign w:val="center"/>
          </w:tcPr>
          <w:p w14:paraId="21CD7844">
            <w:pPr>
              <w:pStyle w:val="16"/>
              <w:spacing w:before="0" w:after="0" w:line="240" w:lineRule="auto"/>
              <w:ind w:right="0"/>
              <w:jc w:val="center"/>
              <w:rPr>
                <w:rFonts w:hint="default"/>
                <w:color w:val="auto"/>
                <w:szCs w:val="18"/>
                <w:lang w:val="en-US" w:eastAsia="zh-CN"/>
              </w:rPr>
            </w:pPr>
          </w:p>
        </w:tc>
        <w:tc>
          <w:tcPr>
            <w:tcW w:w="1067" w:type="dxa"/>
            <w:noWrap w:val="0"/>
            <w:vAlign w:val="center"/>
          </w:tcPr>
          <w:p w14:paraId="3BB4C69B">
            <w:pPr>
              <w:pStyle w:val="16"/>
              <w:spacing w:before="0" w:after="0" w:line="240" w:lineRule="auto"/>
              <w:ind w:right="0"/>
              <w:jc w:val="center"/>
              <w:rPr>
                <w:rFonts w:hint="default"/>
                <w:color w:val="auto"/>
                <w:szCs w:val="18"/>
                <w:lang w:val="en-US" w:eastAsia="zh-CN"/>
              </w:rPr>
            </w:pPr>
            <w:r>
              <w:rPr>
                <w:rFonts w:hint="eastAsia"/>
                <w:color w:val="auto"/>
                <w:szCs w:val="18"/>
                <w:lang w:val="en-US" w:eastAsia="zh-CN"/>
              </w:rPr>
              <w:t>25</w:t>
            </w:r>
          </w:p>
        </w:tc>
        <w:tc>
          <w:tcPr>
            <w:tcW w:w="916" w:type="dxa"/>
            <w:noWrap w:val="0"/>
            <w:vAlign w:val="center"/>
          </w:tcPr>
          <w:p w14:paraId="7521235D">
            <w:pPr>
              <w:pStyle w:val="16"/>
              <w:spacing w:before="0" w:after="0" w:line="240" w:lineRule="auto"/>
              <w:ind w:right="0"/>
              <w:jc w:val="center"/>
              <w:rPr>
                <w:rFonts w:hint="default"/>
                <w:color w:val="auto"/>
                <w:szCs w:val="18"/>
                <w:lang w:val="en-US" w:eastAsia="zh-CN"/>
              </w:rPr>
            </w:pPr>
            <w:r>
              <w:rPr>
                <w:rFonts w:hint="eastAsia" w:eastAsia="等线"/>
                <w:color w:val="auto"/>
                <w:szCs w:val="18"/>
                <w:lang w:val="en-US" w:eastAsia="zh-CN"/>
              </w:rPr>
              <w:t>51.2</w:t>
            </w:r>
          </w:p>
        </w:tc>
        <w:tc>
          <w:tcPr>
            <w:tcW w:w="1033" w:type="dxa"/>
            <w:noWrap w:val="0"/>
            <w:vAlign w:val="center"/>
          </w:tcPr>
          <w:p w14:paraId="77C830C2">
            <w:pPr>
              <w:pStyle w:val="16"/>
              <w:spacing w:before="0" w:after="0" w:line="240" w:lineRule="auto"/>
              <w:ind w:right="0"/>
              <w:jc w:val="center"/>
              <w:rPr>
                <w:color w:val="auto"/>
                <w:szCs w:val="18"/>
                <w:lang w:val="en-US" w:eastAsia="zh-CN"/>
              </w:rPr>
            </w:pPr>
            <w:r>
              <w:rPr>
                <w:color w:val="auto"/>
                <w:szCs w:val="18"/>
                <w:lang w:val="en-US" w:eastAsia="zh-CN"/>
              </w:rPr>
              <w:t>1</w:t>
            </w:r>
          </w:p>
        </w:tc>
      </w:tr>
    </w:tbl>
    <w:p w14:paraId="45DAEDEE">
      <w:pPr>
        <w:pStyle w:val="136"/>
        <w:ind w:firstLine="422"/>
        <w:jc w:val="center"/>
        <w:rPr>
          <w:b/>
          <w:bCs/>
          <w:color w:val="auto"/>
        </w:rPr>
      </w:pPr>
    </w:p>
    <w:p w14:paraId="509C7D89">
      <w:pPr>
        <w:snapToGrid w:val="0"/>
        <w:rPr>
          <w:b/>
          <w:bCs/>
          <w:color w:val="auto"/>
          <w:szCs w:val="21"/>
        </w:rPr>
      </w:pPr>
    </w:p>
    <w:p w14:paraId="63CE5E07">
      <w:pPr>
        <w:pStyle w:val="136"/>
        <w:ind w:firstLine="422"/>
        <w:jc w:val="center"/>
        <w:rPr>
          <w:b/>
          <w:bCs/>
          <w:color w:val="auto"/>
        </w:rPr>
      </w:pPr>
    </w:p>
    <w:p w14:paraId="3CD5E615">
      <w:pPr>
        <w:pStyle w:val="136"/>
        <w:ind w:firstLine="422"/>
        <w:jc w:val="center"/>
        <w:rPr>
          <w:b/>
          <w:bCs/>
          <w:color w:val="auto"/>
        </w:rPr>
      </w:pPr>
    </w:p>
    <w:p w14:paraId="5EEDC9DD">
      <w:pPr>
        <w:pStyle w:val="136"/>
        <w:ind w:firstLine="422"/>
        <w:jc w:val="center"/>
        <w:rPr>
          <w:rFonts w:hint="eastAsia"/>
          <w:b/>
          <w:bCs/>
          <w:color w:val="auto"/>
        </w:rPr>
      </w:pPr>
    </w:p>
    <w:p w14:paraId="13F6C6EC">
      <w:pPr>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344"/>
      </w:tblGrid>
      <w:tr w14:paraId="31D09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0" w:hRule="atLeast"/>
          <w:jc w:val="center"/>
        </w:trPr>
        <w:tc>
          <w:tcPr>
            <w:tcW w:w="746" w:type="dxa"/>
            <w:noWrap w:val="0"/>
            <w:tcMar>
              <w:left w:w="28" w:type="dxa"/>
              <w:right w:w="28" w:type="dxa"/>
            </w:tcMar>
            <w:vAlign w:val="center"/>
          </w:tcPr>
          <w:p w14:paraId="3FAD89C0">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5B9109DF">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0D5E4093">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78F4F924">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3CD91B57">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2FAF641F">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69F1D498">
            <w:pPr>
              <w:pStyle w:val="84"/>
              <w:ind w:firstLine="422"/>
              <w:rPr>
                <w:b/>
                <w:bCs w:val="0"/>
                <w:color w:val="auto"/>
                <w:lang w:val="en-US" w:eastAsia="zh-CN"/>
              </w:rPr>
            </w:pPr>
            <w:r>
              <w:rPr>
                <w:rFonts w:hint="eastAsia"/>
                <w:b/>
                <w:bCs w:val="0"/>
                <w:color w:val="auto"/>
                <w:lang w:val="en-US" w:eastAsia="zh-CN"/>
              </w:rPr>
              <w:t>（2）</w:t>
            </w:r>
            <w:r>
              <w:rPr>
                <w:b/>
                <w:bCs w:val="0"/>
                <w:color w:val="auto"/>
                <w:lang w:val="en-US" w:eastAsia="zh-CN"/>
              </w:rPr>
              <w:t>噪声污染防治措施</w:t>
            </w:r>
          </w:p>
          <w:p w14:paraId="3899B2E3">
            <w:pPr>
              <w:pStyle w:val="84"/>
              <w:rPr>
                <w:color w:val="auto"/>
                <w:lang w:val="en-US" w:eastAsia="zh-CN"/>
              </w:rPr>
            </w:pPr>
            <w:r>
              <w:rPr>
                <w:rFonts w:hint="eastAsia"/>
                <w:color w:val="auto"/>
                <w:lang w:val="en-US" w:eastAsia="zh-CN"/>
              </w:rPr>
              <w:t>本次技改扩建工程新增</w:t>
            </w:r>
            <w:r>
              <w:rPr>
                <w:color w:val="auto"/>
                <w:lang w:val="en-US" w:eastAsia="zh-CN"/>
              </w:rPr>
              <w:t>噪声源主要为</w:t>
            </w:r>
            <w:r>
              <w:rPr>
                <w:rFonts w:hint="eastAsia"/>
                <w:color w:val="auto"/>
                <w:lang w:val="en-US" w:eastAsia="zh-CN"/>
              </w:rPr>
              <w:t>机械设备</w:t>
            </w:r>
            <w:r>
              <w:rPr>
                <w:color w:val="auto"/>
                <w:lang w:val="en-US" w:eastAsia="zh-CN"/>
              </w:rPr>
              <w:t>生产运行噪声，这些噪声源经相应的降噪措施处理后通过建筑物门窗、墙壁的吸收、屏蔽及阻挡作用，将会大幅度地衰减。具体可采取的治理措施如下</w:t>
            </w:r>
            <w:r>
              <w:rPr>
                <w:rFonts w:hint="eastAsia"/>
                <w:color w:val="auto"/>
                <w:lang w:val="en-US" w:eastAsia="zh-CN"/>
              </w:rPr>
              <w:t>：</w:t>
            </w:r>
          </w:p>
          <w:p w14:paraId="7F5BD22D">
            <w:pPr>
              <w:pStyle w:val="84"/>
              <w:numPr>
                <w:ilvl w:val="0"/>
                <w:numId w:val="0"/>
              </w:numPr>
              <w:ind w:left="0" w:leftChars="0" w:firstLine="420" w:firstLineChars="200"/>
              <w:rPr>
                <w:color w:val="auto"/>
                <w:lang w:val="en-US" w:eastAsia="zh-CN"/>
              </w:rPr>
            </w:pPr>
            <w:r>
              <w:rPr>
                <w:rFonts w:hint="default"/>
                <w:bCs/>
                <w:color w:val="auto"/>
                <w:kern w:val="2"/>
                <w:sz w:val="21"/>
                <w:szCs w:val="21"/>
                <w:lang w:val="en-US" w:eastAsia="zh-CN" w:bidi="ar-SA"/>
              </w:rPr>
              <w:t>①</w:t>
            </w:r>
            <w:r>
              <w:rPr>
                <w:color w:val="auto"/>
                <w:lang w:val="en-US" w:eastAsia="zh-CN"/>
              </w:rPr>
              <w:t>合理布局：项目将高噪声设备尽量布置在</w:t>
            </w:r>
            <w:r>
              <w:rPr>
                <w:rFonts w:hint="eastAsia"/>
                <w:color w:val="auto"/>
                <w:lang w:val="en-US" w:eastAsia="zh-CN"/>
              </w:rPr>
              <w:t>厂房</w:t>
            </w:r>
            <w:r>
              <w:rPr>
                <w:color w:val="auto"/>
                <w:lang w:val="en-US" w:eastAsia="zh-CN"/>
              </w:rPr>
              <w:t>中部，通过距离衰减减轻噪声对外环境的影响。</w:t>
            </w:r>
          </w:p>
          <w:p w14:paraId="5D2FB80C">
            <w:pPr>
              <w:pStyle w:val="84"/>
              <w:rPr>
                <w:color w:val="auto"/>
                <w:lang w:val="en-US" w:eastAsia="zh-CN"/>
              </w:rPr>
            </w:pPr>
            <w:r>
              <w:rPr>
                <w:rFonts w:hint="eastAsia"/>
                <w:color w:val="auto"/>
                <w:lang w:val="en-US" w:eastAsia="zh-CN"/>
              </w:rPr>
              <w:t>②</w:t>
            </w:r>
            <w:r>
              <w:rPr>
                <w:color w:val="auto"/>
                <w:lang w:val="en-US" w:eastAsia="zh-CN"/>
              </w:rPr>
              <w:t>选择低噪声设备：项目在满足工艺设计的前提下，尽量选用满足国际标准的低噪声、低振动型号的设备，降低噪声源强。</w:t>
            </w:r>
          </w:p>
          <w:p w14:paraId="28908BE6">
            <w:pPr>
              <w:pStyle w:val="84"/>
              <w:numPr>
                <w:ilvl w:val="0"/>
                <w:numId w:val="0"/>
              </w:numPr>
              <w:ind w:left="0" w:leftChars="0" w:firstLine="420" w:firstLineChars="200"/>
              <w:rPr>
                <w:color w:val="auto"/>
                <w:lang w:val="en-US" w:eastAsia="zh-CN"/>
              </w:rPr>
            </w:pPr>
            <w:r>
              <w:rPr>
                <w:rFonts w:hint="default"/>
                <w:bCs/>
                <w:color w:val="auto"/>
                <w:kern w:val="2"/>
                <w:sz w:val="21"/>
                <w:szCs w:val="21"/>
                <w:lang w:val="en-US" w:eastAsia="zh-CN" w:bidi="ar-SA"/>
              </w:rPr>
              <w:t>③</w:t>
            </w:r>
            <w:r>
              <w:rPr>
                <w:bCs w:val="0"/>
                <w:color w:val="auto"/>
                <w:lang w:val="en-US" w:eastAsia="zh-CN"/>
              </w:rPr>
              <w:t>隔</w:t>
            </w:r>
            <w:r>
              <w:rPr>
                <w:color w:val="auto"/>
                <w:lang w:val="en-US" w:eastAsia="zh-CN"/>
              </w:rPr>
              <w:t>声、减震：建设单位根据噪声产生的性质可分为机械运动噪声，根据其产生的性质和机理不同分别采用了隔声、减振等方式进行了降噪处理。</w:t>
            </w:r>
            <w:r>
              <w:rPr>
                <w:rFonts w:hint="eastAsia"/>
                <w:color w:val="auto"/>
                <w:lang w:val="en-US" w:eastAsia="zh-CN"/>
              </w:rPr>
              <w:t>对皮带机、空压机等设备设置台基减震、橡胶减震接头及减震垫等减震设施</w:t>
            </w:r>
            <w:r>
              <w:rPr>
                <w:color w:val="auto"/>
                <w:lang w:val="en-US" w:eastAsia="zh-CN"/>
              </w:rPr>
              <w:t>。</w:t>
            </w:r>
          </w:p>
          <w:p w14:paraId="76812A1D">
            <w:pPr>
              <w:pStyle w:val="84"/>
              <w:rPr>
                <w:color w:val="auto"/>
                <w:lang w:val="en-US" w:eastAsia="zh-CN"/>
              </w:rPr>
            </w:pPr>
            <w:r>
              <w:rPr>
                <w:rFonts w:hint="eastAsia"/>
                <w:color w:val="auto"/>
                <w:lang w:val="en-US" w:eastAsia="zh-CN"/>
              </w:rPr>
              <w:t>④</w:t>
            </w:r>
            <w:r>
              <w:rPr>
                <w:color w:val="auto"/>
                <w:lang w:val="en-US" w:eastAsia="zh-CN"/>
              </w:rPr>
              <w:t>设备运行过程中避免设备空开、空转现象，重视日常维护、保养工作；</w:t>
            </w:r>
          </w:p>
          <w:p w14:paraId="24BDD5E3">
            <w:pPr>
              <w:pStyle w:val="84"/>
              <w:rPr>
                <w:color w:val="auto"/>
                <w:lang w:val="en-US" w:eastAsia="zh-CN"/>
              </w:rPr>
            </w:pPr>
            <w:r>
              <w:rPr>
                <w:rFonts w:hint="eastAsia"/>
                <w:color w:val="auto"/>
                <w:lang w:val="en-US" w:eastAsia="zh-CN"/>
              </w:rPr>
              <w:t>⑤</w:t>
            </w:r>
            <w:r>
              <w:rPr>
                <w:color w:val="auto"/>
                <w:lang w:val="en-US" w:eastAsia="zh-CN"/>
              </w:rPr>
              <w:t>风机对进出风口采取消声措施，并在风机与管道连接部分做软连接，管道采取包扎措施等；</w:t>
            </w:r>
          </w:p>
          <w:p w14:paraId="0AA3B85F">
            <w:pPr>
              <w:pStyle w:val="84"/>
              <w:rPr>
                <w:color w:val="auto"/>
                <w:lang w:val="en-US" w:eastAsia="zh-CN"/>
              </w:rPr>
            </w:pPr>
            <w:r>
              <w:rPr>
                <w:rFonts w:hint="eastAsia"/>
                <w:color w:val="auto"/>
                <w:lang w:val="en-US" w:eastAsia="zh-CN"/>
              </w:rPr>
              <w:t>⑥</w:t>
            </w:r>
            <w:r>
              <w:rPr>
                <w:color w:val="auto"/>
                <w:lang w:val="en-US" w:eastAsia="zh-CN"/>
              </w:rPr>
              <w:t>强化生产管理：确保降噪设施的有效运行，并加强对生产设备的保养、检修与润滑，保证设备处于良好的运转状态。</w:t>
            </w:r>
            <w:r>
              <w:rPr>
                <w:rFonts w:hint="eastAsia"/>
                <w:color w:val="auto"/>
                <w:lang w:val="en-US" w:eastAsia="zh-CN"/>
              </w:rPr>
              <w:t>加强员工环保意识教育，提倡文明生产，防止人为噪声；强化行车管理制度，设置降噪标准，严禁鸣号，进入厂区低速行驶，最大限度减少流动噪声源。</w:t>
            </w:r>
          </w:p>
          <w:p w14:paraId="3269A024">
            <w:pPr>
              <w:pStyle w:val="84"/>
              <w:rPr>
                <w:color w:val="auto"/>
                <w:lang w:val="en-US" w:eastAsia="zh-CN"/>
              </w:rPr>
            </w:pPr>
            <w:r>
              <w:rPr>
                <w:color w:val="auto"/>
                <w:lang w:val="en-US" w:eastAsia="zh-CN"/>
              </w:rPr>
              <w:t>经上述治理措施后，</w:t>
            </w:r>
            <w:r>
              <w:rPr>
                <w:rFonts w:hint="eastAsia"/>
                <w:color w:val="auto"/>
                <w:lang w:val="en-US" w:eastAsia="zh-CN"/>
              </w:rPr>
              <w:t>加之厂房隔声</w:t>
            </w:r>
            <w:r>
              <w:rPr>
                <w:color w:val="auto"/>
                <w:lang w:val="en-US" w:eastAsia="zh-CN"/>
              </w:rPr>
              <w:t>及距离衰减，</w:t>
            </w:r>
            <w:r>
              <w:rPr>
                <w:rFonts w:hint="eastAsia"/>
                <w:color w:val="auto"/>
                <w:lang w:val="en-US" w:eastAsia="zh-CN"/>
              </w:rPr>
              <w:t>以保证</w:t>
            </w:r>
            <w:r>
              <w:rPr>
                <w:color w:val="auto"/>
                <w:lang w:val="en-US" w:eastAsia="zh-CN"/>
              </w:rPr>
              <w:t>厂界达标</w:t>
            </w:r>
            <w:r>
              <w:rPr>
                <w:rFonts w:hint="eastAsia"/>
                <w:color w:val="auto"/>
                <w:lang w:val="en-US" w:eastAsia="zh-CN"/>
              </w:rPr>
              <w:t>。</w:t>
            </w:r>
          </w:p>
          <w:p w14:paraId="0EB92EDF">
            <w:pPr>
              <w:pStyle w:val="84"/>
              <w:ind w:firstLine="422"/>
              <w:rPr>
                <w:b/>
                <w:bCs w:val="0"/>
                <w:color w:val="auto"/>
                <w:lang w:val="en-US" w:eastAsia="zh-CN"/>
              </w:rPr>
            </w:pPr>
            <w:r>
              <w:rPr>
                <w:rFonts w:hint="eastAsia"/>
                <w:b/>
                <w:bCs w:val="0"/>
                <w:color w:val="auto"/>
                <w:lang w:val="en-US" w:eastAsia="zh-CN"/>
              </w:rPr>
              <w:t>（2）环境</w:t>
            </w:r>
            <w:r>
              <w:rPr>
                <w:b/>
                <w:bCs w:val="0"/>
                <w:color w:val="auto"/>
                <w:lang w:val="en-US" w:eastAsia="zh-CN"/>
              </w:rPr>
              <w:t>影响预测</w:t>
            </w:r>
          </w:p>
          <w:p w14:paraId="7310E454">
            <w:pPr>
              <w:pStyle w:val="84"/>
              <w:ind w:firstLine="422"/>
              <w:rPr>
                <w:b/>
                <w:bCs w:val="0"/>
                <w:color w:val="auto"/>
                <w:kern w:val="24"/>
                <w:lang w:val="en-US" w:eastAsia="zh-CN"/>
              </w:rPr>
            </w:pPr>
            <w:r>
              <w:rPr>
                <w:rFonts w:hint="eastAsia"/>
                <w:b/>
                <w:bCs w:val="0"/>
                <w:color w:val="auto"/>
                <w:kern w:val="24"/>
                <w:lang w:val="en-US" w:eastAsia="zh-CN"/>
              </w:rPr>
              <w:t>预测模式：</w:t>
            </w:r>
          </w:p>
          <w:p w14:paraId="51517FBD">
            <w:pPr>
              <w:pStyle w:val="84"/>
              <w:rPr>
                <w:color w:val="auto"/>
                <w:kern w:val="24"/>
                <w:lang w:val="en-US" w:eastAsia="zh-CN"/>
              </w:rPr>
            </w:pPr>
            <w:r>
              <w:rPr>
                <w:color w:val="auto"/>
                <w:kern w:val="24"/>
                <w:lang w:val="en-US" w:eastAsia="zh-CN"/>
              </w:rPr>
              <w:t>工业噪声预测模式采用《</w:t>
            </w:r>
            <w:r>
              <w:rPr>
                <w:color w:val="auto"/>
                <w:kern w:val="24"/>
                <w:highlight w:val="none"/>
                <w:lang w:val="en-US" w:eastAsia="zh-CN"/>
              </w:rPr>
              <w:t>环境影响评价技术导则·声环境》（HJ2.4—20</w:t>
            </w:r>
            <w:r>
              <w:rPr>
                <w:rFonts w:hint="eastAsia"/>
                <w:color w:val="auto"/>
                <w:kern w:val="24"/>
                <w:highlight w:val="none"/>
                <w:lang w:val="en-US" w:eastAsia="zh-CN"/>
              </w:rPr>
              <w:t>21</w:t>
            </w:r>
            <w:r>
              <w:rPr>
                <w:color w:val="auto"/>
                <w:kern w:val="24"/>
                <w:highlight w:val="none"/>
                <w:lang w:val="en-US" w:eastAsia="zh-CN"/>
              </w:rPr>
              <w:t>）</w:t>
            </w:r>
            <w:r>
              <w:rPr>
                <w:color w:val="auto"/>
                <w:kern w:val="24"/>
                <w:lang w:val="en-US" w:eastAsia="zh-CN"/>
              </w:rPr>
              <w:t>中对工业企业噪声预测模式进行预测，考虑遮挡物、空气吸收衰减、地面附加衰减，对某些难以定量的参数，查相关资料进行估算。</w:t>
            </w:r>
          </w:p>
          <w:p w14:paraId="41C21F3B">
            <w:pPr>
              <w:pStyle w:val="84"/>
              <w:rPr>
                <w:color w:val="auto"/>
                <w:lang w:val="en-US" w:eastAsia="zh-CN"/>
              </w:rPr>
            </w:pPr>
            <w:r>
              <w:rPr>
                <w:color w:val="auto"/>
                <w:lang w:val="en-US" w:eastAsia="zh-CN"/>
              </w:rPr>
              <w:t>根据按声能量在空气传播中衰减模式计算出某声源在环境中任意一点的声压级。由于本项目声源均设置于室内，预测步骤如下：</w:t>
            </w:r>
          </w:p>
          <w:p w14:paraId="07025283">
            <w:pPr>
              <w:pStyle w:val="84"/>
              <w:rPr>
                <w:color w:val="auto"/>
                <w:lang w:val="en-US" w:eastAsia="zh-CN"/>
              </w:rPr>
            </w:pPr>
            <w:r>
              <w:rPr>
                <w:rFonts w:hint="eastAsia"/>
                <w:color w:val="auto"/>
                <w:lang w:val="en-US" w:eastAsia="zh-CN"/>
              </w:rPr>
              <w:t>①</w:t>
            </w:r>
            <w:r>
              <w:rPr>
                <w:color w:val="auto"/>
                <w:lang w:val="en-US" w:eastAsia="zh-CN"/>
              </w:rPr>
              <w:t>首先计算出某个室内靠近围护结构处的声压级：</w:t>
            </w:r>
          </w:p>
          <w:p w14:paraId="7054B6F6">
            <w:pPr>
              <w:pStyle w:val="84"/>
              <w:rPr>
                <w:color w:val="auto"/>
                <w:lang w:val="en-US" w:eastAsia="zh-CN"/>
              </w:rPr>
            </w:pPr>
            <w:r>
              <w:rPr>
                <w:color w:val="auto"/>
                <w:lang w:val="en-US" w:eastAsia="zh-CN"/>
              </w:rPr>
              <w:drawing>
                <wp:inline distT="0" distB="0" distL="114300" distR="114300">
                  <wp:extent cx="1591310" cy="391795"/>
                  <wp:effectExtent l="0" t="0" r="8890" b="4445"/>
                  <wp:docPr id="133" name="图片 37" descr="../../柳州/DOCUME~1/ADMINI~1/LOCALS~1/Temp/ksohtml/wps_clip_image-2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7" descr="../../柳州/DOCUME~1/ADMINI~1/LOCALS~1/Temp/ksohtml/wps_clip_image-28401.png"/>
                          <pic:cNvPicPr>
                            <a:picLocks noChangeAspect="1"/>
                          </pic:cNvPicPr>
                        </pic:nvPicPr>
                        <pic:blipFill>
                          <a:blip r:embed="rId10"/>
                          <a:stretch>
                            <a:fillRect/>
                          </a:stretch>
                        </pic:blipFill>
                        <pic:spPr>
                          <a:xfrm>
                            <a:off x="0" y="0"/>
                            <a:ext cx="1591310" cy="391795"/>
                          </a:xfrm>
                          <a:prstGeom prst="rect">
                            <a:avLst/>
                          </a:prstGeom>
                          <a:noFill/>
                          <a:ln>
                            <a:noFill/>
                          </a:ln>
                        </pic:spPr>
                      </pic:pic>
                    </a:graphicData>
                  </a:graphic>
                </wp:inline>
              </w:drawing>
            </w:r>
          </w:p>
          <w:p w14:paraId="5FEED203">
            <w:pPr>
              <w:pStyle w:val="84"/>
              <w:rPr>
                <w:color w:val="auto"/>
                <w:lang w:val="en-US" w:eastAsia="zh-CN"/>
              </w:rPr>
            </w:pPr>
            <w:r>
              <w:rPr>
                <w:color w:val="auto"/>
                <w:lang w:val="en-US" w:eastAsia="zh-CN"/>
              </w:rPr>
              <w:t>式中：L1</w:t>
            </w:r>
            <w:r>
              <w:rPr>
                <w:color w:val="auto"/>
                <w:lang w:val="en-US" w:eastAsia="zh-CN"/>
              </w:rPr>
              <w:softHyphen/>
            </w:r>
            <w:r>
              <w:rPr>
                <w:color w:val="auto"/>
                <w:lang w:val="en-US" w:eastAsia="zh-CN"/>
              </w:rPr>
              <w:t>——某个室内声源在靠近围护结构处产生的声压级；</w:t>
            </w:r>
          </w:p>
          <w:p w14:paraId="2348B692">
            <w:pPr>
              <w:pStyle w:val="84"/>
              <w:rPr>
                <w:color w:val="auto"/>
                <w:lang w:val="en-US" w:eastAsia="zh-CN"/>
              </w:rPr>
            </w:pPr>
            <w:r>
              <w:rPr>
                <w:color w:val="auto"/>
                <w:lang w:val="en-US" w:eastAsia="zh-CN"/>
              </w:rPr>
              <w:t>Lw</w:t>
            </w:r>
            <w:r>
              <w:rPr>
                <w:color w:val="auto"/>
                <w:lang w:val="en-US" w:eastAsia="zh-CN"/>
              </w:rPr>
              <w:softHyphen/>
            </w:r>
            <w:r>
              <w:rPr>
                <w:color w:val="auto"/>
                <w:lang w:val="en-US" w:eastAsia="zh-CN"/>
              </w:rPr>
              <w:t>——某个声源的声功率级；</w:t>
            </w:r>
          </w:p>
          <w:p w14:paraId="43CA22BE">
            <w:pPr>
              <w:pStyle w:val="84"/>
              <w:rPr>
                <w:color w:val="auto"/>
                <w:lang w:val="en-US" w:eastAsia="zh-CN"/>
              </w:rPr>
            </w:pPr>
            <w:r>
              <w:rPr>
                <w:color w:val="auto"/>
                <w:lang w:val="en-US" w:eastAsia="zh-CN"/>
              </w:rPr>
              <w:t>r1——室内某个声源与靠近围护结构处的距离；</w:t>
            </w:r>
          </w:p>
          <w:p w14:paraId="11D2A2CE">
            <w:pPr>
              <w:pStyle w:val="84"/>
              <w:rPr>
                <w:color w:val="auto"/>
                <w:lang w:val="en-US" w:eastAsia="zh-CN"/>
              </w:rPr>
            </w:pPr>
            <w:r>
              <w:rPr>
                <w:color w:val="auto"/>
                <w:lang w:val="en-US" w:eastAsia="zh-CN"/>
              </w:rPr>
              <w:t>R——房间常数，根据房间内壁内壁的平均吸声系数与内壁总面积计算；</w:t>
            </w:r>
          </w:p>
          <w:p w14:paraId="370D0C6B">
            <w:pPr>
              <w:pStyle w:val="84"/>
              <w:rPr>
                <w:color w:val="auto"/>
                <w:lang w:val="en-US" w:eastAsia="zh-CN"/>
              </w:rPr>
            </w:pPr>
            <w:r>
              <w:rPr>
                <w:color w:val="auto"/>
                <w:lang w:val="en-US" w:eastAsia="zh-CN"/>
              </w:rPr>
              <w:t>Q——方向因子，半自由状态点声源Q＝2；</w:t>
            </w:r>
          </w:p>
          <w:p w14:paraId="074E4027">
            <w:pPr>
              <w:pStyle w:val="84"/>
              <w:rPr>
                <w:color w:val="auto"/>
                <w:lang w:val="en-US" w:eastAsia="zh-CN"/>
              </w:rPr>
            </w:pPr>
            <w:r>
              <w:rPr>
                <w:rFonts w:hint="eastAsia"/>
                <w:color w:val="auto"/>
                <w:lang w:val="en-US" w:eastAsia="zh-CN"/>
              </w:rPr>
              <w:t>②</w:t>
            </w:r>
            <w:r>
              <w:rPr>
                <w:color w:val="auto"/>
                <w:lang w:val="en-US" w:eastAsia="zh-CN"/>
              </w:rPr>
              <w:t>计算出所有室内声源在靠近围护结构处产生的声压级：</w:t>
            </w:r>
          </w:p>
          <w:p w14:paraId="79064D52">
            <w:pPr>
              <w:pStyle w:val="84"/>
              <w:jc w:val="center"/>
              <w:rPr>
                <w:color w:val="auto"/>
                <w:lang w:val="en-US" w:eastAsia="zh-CN"/>
              </w:rPr>
            </w:pPr>
            <w:r>
              <w:rPr>
                <w:color w:val="auto"/>
                <w:lang w:val="en-US" w:eastAsia="zh-CN"/>
              </w:rPr>
              <w:drawing>
                <wp:inline distT="0" distB="0" distL="114300" distR="114300">
                  <wp:extent cx="1935480" cy="1116330"/>
                  <wp:effectExtent l="0" t="0" r="0" b="11430"/>
                  <wp:docPr id="1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8"/>
                          <pic:cNvPicPr>
                            <a:picLocks noChangeAspect="1"/>
                          </pic:cNvPicPr>
                        </pic:nvPicPr>
                        <pic:blipFill>
                          <a:blip r:embed="rId11"/>
                          <a:stretch>
                            <a:fillRect/>
                          </a:stretch>
                        </pic:blipFill>
                        <pic:spPr>
                          <a:xfrm>
                            <a:off x="0" y="0"/>
                            <a:ext cx="1935480" cy="1116330"/>
                          </a:xfrm>
                          <a:prstGeom prst="rect">
                            <a:avLst/>
                          </a:prstGeom>
                          <a:noFill/>
                          <a:ln>
                            <a:noFill/>
                          </a:ln>
                        </pic:spPr>
                      </pic:pic>
                    </a:graphicData>
                  </a:graphic>
                </wp:inline>
              </w:drawing>
            </w:r>
          </w:p>
          <w:p w14:paraId="5C24EA22">
            <w:pPr>
              <w:pStyle w:val="84"/>
              <w:rPr>
                <w:color w:val="auto"/>
                <w:lang w:val="en-US" w:eastAsia="zh-CN"/>
              </w:rPr>
            </w:pPr>
            <w:r>
              <w:rPr>
                <w:rFonts w:hint="eastAsia"/>
                <w:color w:val="auto"/>
                <w:lang w:val="en-US" w:eastAsia="zh-CN"/>
              </w:rPr>
              <w:t>③</w:t>
            </w:r>
            <w:r>
              <w:rPr>
                <w:color w:val="auto"/>
                <w:lang w:val="en-US" w:eastAsia="zh-CN"/>
              </w:rPr>
              <w:t>计算出室外靠近围护结构处的声压级：</w:t>
            </w:r>
          </w:p>
          <w:p w14:paraId="1B0B4F11">
            <w:pPr>
              <w:pStyle w:val="84"/>
              <w:rPr>
                <w:color w:val="auto"/>
                <w:lang w:val="en-US" w:eastAsia="zh-CN"/>
              </w:rPr>
            </w:pPr>
            <w:r>
              <w:rPr>
                <w:color w:val="auto"/>
                <w:lang w:val="en-US" w:eastAsia="zh-CN"/>
              </w:rPr>
              <w:drawing>
                <wp:inline distT="0" distB="0" distL="114300" distR="114300">
                  <wp:extent cx="1543685" cy="213995"/>
                  <wp:effectExtent l="0" t="0" r="10795" b="14605"/>
                  <wp:docPr id="135" name="图片 39" descr="../../柳州/DOCUME~1/ADMINI~1/LOCALS~1/Temp/ksohtml/wps_clip_image-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9" descr="../../柳州/DOCUME~1/ADMINI~1/LOCALS~1/Temp/ksohtml/wps_clip_image-4341.png"/>
                          <pic:cNvPicPr>
                            <a:picLocks noChangeAspect="1"/>
                          </pic:cNvPicPr>
                        </pic:nvPicPr>
                        <pic:blipFill>
                          <a:blip r:embed="rId12"/>
                          <a:stretch>
                            <a:fillRect/>
                          </a:stretch>
                        </pic:blipFill>
                        <pic:spPr>
                          <a:xfrm>
                            <a:off x="0" y="0"/>
                            <a:ext cx="1543685" cy="213995"/>
                          </a:xfrm>
                          <a:prstGeom prst="rect">
                            <a:avLst/>
                          </a:prstGeom>
                          <a:noFill/>
                          <a:ln>
                            <a:noFill/>
                          </a:ln>
                        </pic:spPr>
                      </pic:pic>
                    </a:graphicData>
                  </a:graphic>
                </wp:inline>
              </w:drawing>
            </w:r>
          </w:p>
          <w:p w14:paraId="1B589A64">
            <w:pPr>
              <w:pStyle w:val="84"/>
              <w:rPr>
                <w:color w:val="auto"/>
                <w:lang w:val="en-US" w:eastAsia="zh-CN"/>
              </w:rPr>
            </w:pPr>
            <w:r>
              <w:rPr>
                <w:color w:val="auto"/>
                <w:lang w:val="en-US" w:eastAsia="zh-CN"/>
              </w:rPr>
              <w:t>式中：</w:t>
            </w:r>
            <w:r>
              <w:rPr>
                <w:color w:val="auto"/>
                <w:highlight w:val="none"/>
                <w:lang w:val="en-US" w:eastAsia="zh-CN"/>
              </w:rPr>
              <w:t>TL——构件隔声损失，双</w:t>
            </w:r>
            <w:r>
              <w:rPr>
                <w:color w:val="auto"/>
                <w:lang w:val="en-US" w:eastAsia="zh-CN"/>
              </w:rPr>
              <w:t>面粉刷砖墙。</w:t>
            </w:r>
          </w:p>
          <w:p w14:paraId="0F1E95A2">
            <w:pPr>
              <w:pStyle w:val="84"/>
              <w:rPr>
                <w:color w:val="auto"/>
                <w:lang w:val="en-US" w:eastAsia="zh-CN"/>
              </w:rPr>
            </w:pPr>
            <w:r>
              <w:rPr>
                <w:rFonts w:hint="eastAsia"/>
                <w:color w:val="auto"/>
                <w:lang w:val="en-US" w:eastAsia="zh-CN"/>
              </w:rPr>
              <w:t>④</w:t>
            </w:r>
            <w:r>
              <w:rPr>
                <w:color w:val="auto"/>
                <w:lang w:val="en-US" w:eastAsia="zh-CN"/>
              </w:rPr>
              <w:t>将室外声级L2(T)和透声面积换算成等效的室外声源，计算出等效声源的声功率级Lw：</w:t>
            </w:r>
          </w:p>
          <w:p w14:paraId="5F666279">
            <w:pPr>
              <w:pStyle w:val="84"/>
              <w:rPr>
                <w:color w:val="auto"/>
                <w:lang w:val="en-US" w:eastAsia="zh-CN"/>
              </w:rPr>
            </w:pPr>
            <w:r>
              <w:rPr>
                <w:color w:val="auto"/>
                <w:lang w:val="en-US" w:eastAsia="zh-CN"/>
              </w:rPr>
              <w:drawing>
                <wp:inline distT="0" distB="0" distL="114300" distR="114300">
                  <wp:extent cx="1401445" cy="249555"/>
                  <wp:effectExtent l="0" t="0" r="635" b="0"/>
                  <wp:docPr id="136" name="图片 40" descr="../../柳州/DOCUME~1/ADMINI~1/LOCALS~1/Temp/ksohtml/wps_clip_image-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0" descr="../../柳州/DOCUME~1/ADMINI~1/LOCALS~1/Temp/ksohtml/wps_clip_image-11919.png"/>
                          <pic:cNvPicPr>
                            <a:picLocks noChangeAspect="1"/>
                          </pic:cNvPicPr>
                        </pic:nvPicPr>
                        <pic:blipFill>
                          <a:blip r:embed="rId13"/>
                          <a:stretch>
                            <a:fillRect/>
                          </a:stretch>
                        </pic:blipFill>
                        <pic:spPr>
                          <a:xfrm>
                            <a:off x="0" y="0"/>
                            <a:ext cx="1401445" cy="249555"/>
                          </a:xfrm>
                          <a:prstGeom prst="rect">
                            <a:avLst/>
                          </a:prstGeom>
                          <a:noFill/>
                          <a:ln>
                            <a:noFill/>
                          </a:ln>
                        </pic:spPr>
                      </pic:pic>
                    </a:graphicData>
                  </a:graphic>
                </wp:inline>
              </w:drawing>
            </w:r>
          </w:p>
          <w:p w14:paraId="1669B8C8">
            <w:pPr>
              <w:pStyle w:val="84"/>
              <w:rPr>
                <w:color w:val="auto"/>
                <w:lang w:val="en-US" w:eastAsia="zh-CN"/>
              </w:rPr>
            </w:pPr>
            <w:r>
              <w:rPr>
                <w:color w:val="auto"/>
                <w:lang w:val="en-US" w:eastAsia="zh-CN"/>
              </w:rPr>
              <w:t>式中：S为透声面积，m</w:t>
            </w:r>
            <w:r>
              <w:rPr>
                <w:color w:val="auto"/>
                <w:vertAlign w:val="superscript"/>
                <w:lang w:val="en-US" w:eastAsia="zh-CN"/>
              </w:rPr>
              <w:t>2</w:t>
            </w:r>
            <w:r>
              <w:rPr>
                <w:color w:val="auto"/>
                <w:lang w:val="en-US" w:eastAsia="zh-CN"/>
              </w:rPr>
              <w:t>。</w:t>
            </w:r>
          </w:p>
          <w:p w14:paraId="013C97A3">
            <w:pPr>
              <w:pStyle w:val="84"/>
              <w:rPr>
                <w:color w:val="auto"/>
                <w:lang w:val="en-US" w:eastAsia="zh-CN"/>
              </w:rPr>
            </w:pPr>
            <w:r>
              <w:rPr>
                <w:rFonts w:hint="eastAsia"/>
                <w:color w:val="auto"/>
                <w:lang w:val="en-US" w:eastAsia="zh-CN"/>
              </w:rPr>
              <w:t>⑤</w:t>
            </w:r>
            <w:r>
              <w:rPr>
                <w:color w:val="auto"/>
                <w:lang w:val="en-US" w:eastAsia="zh-CN"/>
              </w:rPr>
              <w:t>采用户外声传播衰减公式预测各主要施工机械噪声对环境的影响。</w:t>
            </w:r>
          </w:p>
          <w:p w14:paraId="603898F6">
            <w:pPr>
              <w:pStyle w:val="84"/>
              <w:rPr>
                <w:color w:val="auto"/>
                <w:lang w:val="en-US" w:eastAsia="zh-CN"/>
              </w:rPr>
            </w:pPr>
            <w:r>
              <w:rPr>
                <w:color w:val="auto"/>
                <w:lang w:val="en-US" w:eastAsia="zh-CN"/>
              </w:rPr>
              <w:drawing>
                <wp:inline distT="0" distB="0" distL="114300" distR="114300">
                  <wp:extent cx="3823970" cy="308610"/>
                  <wp:effectExtent l="0" t="0" r="1270" b="11430"/>
                  <wp:docPr id="13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1"/>
                          <pic:cNvPicPr>
                            <a:picLocks noChangeAspect="1"/>
                          </pic:cNvPicPr>
                        </pic:nvPicPr>
                        <pic:blipFill>
                          <a:blip r:embed="rId14"/>
                          <a:stretch>
                            <a:fillRect/>
                          </a:stretch>
                        </pic:blipFill>
                        <pic:spPr>
                          <a:xfrm>
                            <a:off x="0" y="0"/>
                            <a:ext cx="3823970" cy="308610"/>
                          </a:xfrm>
                          <a:prstGeom prst="rect">
                            <a:avLst/>
                          </a:prstGeom>
                          <a:noFill/>
                          <a:ln>
                            <a:noFill/>
                          </a:ln>
                        </pic:spPr>
                      </pic:pic>
                    </a:graphicData>
                  </a:graphic>
                </wp:inline>
              </w:drawing>
            </w:r>
          </w:p>
          <w:p w14:paraId="2211260C">
            <w:pPr>
              <w:pStyle w:val="84"/>
              <w:rPr>
                <w:color w:val="auto"/>
                <w:lang w:val="en-US" w:eastAsia="zh-CN"/>
              </w:rPr>
            </w:pPr>
            <w:r>
              <w:rPr>
                <w:color w:val="auto"/>
                <w:lang w:val="en-US" w:eastAsia="zh-CN"/>
              </w:rPr>
              <w:t>式中：Lp(r)—距声源r处预测点噪声值，dB（A）；</w:t>
            </w:r>
          </w:p>
          <w:p w14:paraId="2194F00F">
            <w:pPr>
              <w:pStyle w:val="84"/>
              <w:rPr>
                <w:color w:val="auto"/>
                <w:lang w:val="en-US" w:eastAsia="zh-CN"/>
              </w:rPr>
            </w:pPr>
            <w:r>
              <w:rPr>
                <w:color w:val="auto"/>
                <w:lang w:val="en-US" w:eastAsia="zh-CN"/>
              </w:rPr>
              <w:t xml:space="preserve">      Lp(r0)—参考点r0处噪声值，dB（A）；</w:t>
            </w:r>
          </w:p>
          <w:p w14:paraId="4DE7BAC6">
            <w:pPr>
              <w:pStyle w:val="84"/>
              <w:rPr>
                <w:color w:val="auto"/>
                <w:lang w:val="en-US" w:eastAsia="zh-CN"/>
              </w:rPr>
            </w:pPr>
            <w:r>
              <w:rPr>
                <w:color w:val="auto"/>
                <w:lang w:val="en-US" w:eastAsia="zh-CN"/>
              </w:rPr>
              <w:t xml:space="preserve">      Adiv—几何发散衰减，dB（A）；</w:t>
            </w:r>
          </w:p>
          <w:p w14:paraId="3ED294C8">
            <w:pPr>
              <w:pStyle w:val="84"/>
              <w:rPr>
                <w:color w:val="auto"/>
                <w:lang w:val="en-US" w:eastAsia="zh-CN"/>
              </w:rPr>
            </w:pPr>
            <w:r>
              <w:rPr>
                <w:color w:val="auto"/>
                <w:lang w:val="en-US" w:eastAsia="zh-CN"/>
              </w:rPr>
              <w:t>Aatm—大气吸收衰减，dB（A）；</w:t>
            </w:r>
          </w:p>
          <w:p w14:paraId="50170A2D">
            <w:pPr>
              <w:pStyle w:val="84"/>
              <w:rPr>
                <w:color w:val="auto"/>
                <w:lang w:val="en-US" w:eastAsia="zh-CN"/>
              </w:rPr>
            </w:pPr>
            <w:r>
              <w:rPr>
                <w:color w:val="auto"/>
                <w:lang w:val="en-US" w:eastAsia="zh-CN"/>
              </w:rPr>
              <w:t>Abar—屏障衰减，dB（A）；</w:t>
            </w:r>
          </w:p>
          <w:p w14:paraId="56512336">
            <w:pPr>
              <w:pStyle w:val="84"/>
              <w:rPr>
                <w:color w:val="auto"/>
                <w:lang w:val="en-US" w:eastAsia="zh-CN"/>
              </w:rPr>
            </w:pPr>
            <w:r>
              <w:rPr>
                <w:color w:val="auto"/>
                <w:lang w:val="en-US" w:eastAsia="zh-CN"/>
              </w:rPr>
              <w:t>Agr—地面效应，dB（A）；</w:t>
            </w:r>
          </w:p>
          <w:p w14:paraId="50D93FAB">
            <w:pPr>
              <w:pStyle w:val="84"/>
              <w:rPr>
                <w:color w:val="auto"/>
                <w:lang w:val="en-US" w:eastAsia="zh-CN"/>
              </w:rPr>
            </w:pPr>
            <w:r>
              <w:rPr>
                <w:color w:val="auto"/>
                <w:lang w:val="en-US" w:eastAsia="zh-CN"/>
              </w:rPr>
              <w:t>Amisc—其他多方面效应衰减，dB（A）；</w:t>
            </w:r>
          </w:p>
          <w:p w14:paraId="720B0C1C">
            <w:pPr>
              <w:pStyle w:val="84"/>
              <w:rPr>
                <w:color w:val="auto"/>
                <w:lang w:val="en-US" w:eastAsia="zh-CN"/>
              </w:rPr>
            </w:pPr>
            <w:r>
              <w:rPr>
                <w:color w:val="auto"/>
                <w:lang w:val="en-US" w:eastAsia="zh-CN"/>
              </w:rPr>
              <w:t>r—预测点距噪声源距离，m；</w:t>
            </w:r>
          </w:p>
          <w:p w14:paraId="589E2299">
            <w:pPr>
              <w:pStyle w:val="84"/>
              <w:rPr>
                <w:color w:val="auto"/>
                <w:lang w:val="en-US" w:eastAsia="zh-CN"/>
              </w:rPr>
            </w:pPr>
            <w:r>
              <w:rPr>
                <w:color w:val="auto"/>
                <w:lang w:val="en-US" w:eastAsia="zh-CN"/>
              </w:rPr>
              <w:t>r0—参考位置距噪声源距离，m。</w:t>
            </w:r>
          </w:p>
          <w:p w14:paraId="4ACE8744">
            <w:pPr>
              <w:pStyle w:val="84"/>
              <w:rPr>
                <w:color w:val="auto"/>
                <w:lang w:val="en-US" w:eastAsia="zh-CN"/>
              </w:rPr>
            </w:pPr>
            <w:r>
              <w:rPr>
                <w:rFonts w:hint="eastAsia"/>
                <w:color w:val="auto"/>
                <w:lang w:val="en-US" w:eastAsia="zh-CN"/>
              </w:rPr>
              <w:t>⑥</w:t>
            </w:r>
            <w:r>
              <w:rPr>
                <w:color w:val="auto"/>
                <w:lang w:val="en-US" w:eastAsia="zh-CN"/>
              </w:rPr>
              <w:t>噪声贡献值计算：</w:t>
            </w:r>
          </w:p>
          <w:p w14:paraId="43EDE0A0">
            <w:pPr>
              <w:pStyle w:val="84"/>
              <w:rPr>
                <w:color w:val="auto"/>
                <w:lang w:val="en-US" w:eastAsia="zh-CN"/>
              </w:rPr>
            </w:pPr>
            <w:r>
              <w:rPr>
                <w:color w:val="auto"/>
                <w:lang w:val="en-US" w:eastAsia="zh-CN"/>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587970A1">
            <w:pPr>
              <w:pStyle w:val="84"/>
              <w:rPr>
                <w:color w:val="auto"/>
                <w:lang w:val="en-US" w:eastAsia="zh-CN"/>
              </w:rPr>
            </w:pPr>
            <w:r>
              <w:rPr>
                <w:color w:val="auto"/>
                <w:lang w:val="en-US" w:eastAsia="zh-CN"/>
              </w:rPr>
              <w:drawing>
                <wp:inline distT="0" distB="0" distL="114300" distR="114300">
                  <wp:extent cx="2780030" cy="628650"/>
                  <wp:effectExtent l="0" t="0" r="8890" b="11430"/>
                  <wp:docPr id="138" name="图片 42" descr="QQ截图2014041814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2" descr="QQ截图20140418145329"/>
                          <pic:cNvPicPr>
                            <a:picLocks noChangeAspect="1"/>
                          </pic:cNvPicPr>
                        </pic:nvPicPr>
                        <pic:blipFill>
                          <a:blip r:embed="rId15"/>
                          <a:stretch>
                            <a:fillRect/>
                          </a:stretch>
                        </pic:blipFill>
                        <pic:spPr>
                          <a:xfrm>
                            <a:off x="0" y="0"/>
                            <a:ext cx="2780030" cy="628650"/>
                          </a:xfrm>
                          <a:prstGeom prst="rect">
                            <a:avLst/>
                          </a:prstGeom>
                          <a:noFill/>
                          <a:ln>
                            <a:noFill/>
                          </a:ln>
                        </pic:spPr>
                      </pic:pic>
                    </a:graphicData>
                  </a:graphic>
                </wp:inline>
              </w:drawing>
            </w:r>
          </w:p>
          <w:p w14:paraId="591B6F74">
            <w:pPr>
              <w:pStyle w:val="84"/>
              <w:rPr>
                <w:color w:val="auto"/>
                <w:lang w:val="en-US" w:eastAsia="zh-CN"/>
              </w:rPr>
            </w:pPr>
            <w:r>
              <w:rPr>
                <w:color w:val="auto"/>
                <w:lang w:val="en-US" w:eastAsia="zh-CN"/>
              </w:rPr>
              <w:t>tj——在T时间内j声源工作时间，s；</w:t>
            </w:r>
          </w:p>
          <w:p w14:paraId="018763B9">
            <w:pPr>
              <w:pStyle w:val="84"/>
              <w:rPr>
                <w:color w:val="auto"/>
                <w:lang w:val="en-US" w:eastAsia="zh-CN"/>
              </w:rPr>
            </w:pPr>
            <w:r>
              <w:rPr>
                <w:color w:val="auto"/>
                <w:lang w:val="en-US" w:eastAsia="zh-CN"/>
              </w:rPr>
              <w:t>ti——在T时间内i声源工作时间，s；</w:t>
            </w:r>
          </w:p>
          <w:p w14:paraId="79AB138B">
            <w:pPr>
              <w:pStyle w:val="84"/>
              <w:rPr>
                <w:color w:val="auto"/>
                <w:lang w:val="en-US" w:eastAsia="zh-CN"/>
              </w:rPr>
            </w:pPr>
            <w:r>
              <w:rPr>
                <w:color w:val="auto"/>
                <w:lang w:val="en-US" w:eastAsia="zh-CN"/>
              </w:rPr>
              <w:t>T——用于计算等效声级的时间，s；</w:t>
            </w:r>
          </w:p>
          <w:p w14:paraId="7B347691">
            <w:pPr>
              <w:pStyle w:val="84"/>
              <w:rPr>
                <w:color w:val="auto"/>
                <w:lang w:val="en-US" w:eastAsia="zh-CN"/>
              </w:rPr>
            </w:pPr>
            <w:r>
              <w:rPr>
                <w:color w:val="auto"/>
                <w:lang w:val="en-US" w:eastAsia="zh-CN"/>
              </w:rPr>
              <w:t>N——室外声源个数；</w:t>
            </w:r>
          </w:p>
          <w:p w14:paraId="0343DF72">
            <w:pPr>
              <w:pStyle w:val="84"/>
              <w:rPr>
                <w:color w:val="auto"/>
                <w:lang w:val="en-US" w:eastAsia="zh-CN"/>
              </w:rPr>
            </w:pPr>
            <w:r>
              <w:rPr>
                <w:color w:val="auto"/>
                <w:lang w:val="en-US" w:eastAsia="zh-CN"/>
              </w:rPr>
              <w:t>M——等效室内外声源个数。</w:t>
            </w:r>
          </w:p>
          <w:p w14:paraId="15FA4568">
            <w:pPr>
              <w:pStyle w:val="84"/>
              <w:rPr>
                <w:color w:val="auto"/>
                <w:lang w:val="en-US" w:eastAsia="zh-CN"/>
              </w:rPr>
            </w:pPr>
            <w:r>
              <w:rPr>
                <w:color w:val="auto"/>
                <w:lang w:val="en-US" w:eastAsia="zh-CN"/>
              </w:rPr>
              <w:t>利用上述模式可以预测分析该项目主要声源同时排放噪声的最为严重影响状况下，这些声源对边界声环境质量叠加影响。</w:t>
            </w:r>
          </w:p>
          <w:p w14:paraId="74894A03">
            <w:pPr>
              <w:pStyle w:val="84"/>
              <w:ind w:firstLine="422"/>
              <w:rPr>
                <w:b/>
                <w:bCs w:val="0"/>
                <w:color w:val="auto"/>
                <w:lang w:val="en-US" w:eastAsia="zh-CN"/>
              </w:rPr>
            </w:pPr>
            <w:r>
              <w:rPr>
                <w:b/>
                <w:bCs w:val="0"/>
                <w:color w:val="auto"/>
                <w:lang w:val="en-US" w:eastAsia="zh-CN"/>
              </w:rPr>
              <w:t>预测结果</w:t>
            </w:r>
            <w:r>
              <w:rPr>
                <w:rFonts w:hint="eastAsia"/>
                <w:b/>
                <w:bCs w:val="0"/>
                <w:color w:val="auto"/>
                <w:lang w:val="en-US" w:eastAsia="zh-CN"/>
              </w:rPr>
              <w:t>：</w:t>
            </w:r>
          </w:p>
          <w:p w14:paraId="1DE788BF">
            <w:pPr>
              <w:pStyle w:val="84"/>
              <w:rPr>
                <w:b/>
                <w:color w:val="auto"/>
                <w:lang w:val="en-US" w:eastAsia="zh-CN"/>
              </w:rPr>
            </w:pPr>
            <w:r>
              <w:rPr>
                <w:color w:val="auto"/>
                <w:lang w:val="en-US" w:eastAsia="zh-CN"/>
              </w:rPr>
              <w:t>本</w:t>
            </w:r>
            <w:r>
              <w:rPr>
                <w:rFonts w:hint="eastAsia"/>
                <w:color w:val="auto"/>
                <w:lang w:val="en-US" w:eastAsia="zh-CN"/>
              </w:rPr>
              <w:t>工程</w:t>
            </w:r>
            <w:r>
              <w:rPr>
                <w:color w:val="auto"/>
                <w:lang w:val="en-US" w:eastAsia="zh-CN"/>
              </w:rPr>
              <w:t>的计算声源中，所有室内源均按导则要求经过换算，等效于室外点源，并根据治理措施降噪后的声级值，再进行衰减的分布计算。根据项目设备布置情况及车间距离各场界距离，计算</w:t>
            </w:r>
            <w:r>
              <w:rPr>
                <w:rFonts w:hint="eastAsia"/>
                <w:color w:val="auto"/>
                <w:lang w:val="en-US" w:eastAsia="zh-CN"/>
              </w:rPr>
              <w:t>声源对厂界噪声贡献值</w:t>
            </w:r>
            <w:r>
              <w:rPr>
                <w:color w:val="auto"/>
                <w:lang w:val="en-US" w:eastAsia="zh-CN"/>
              </w:rPr>
              <w:t>，项目厂界噪声</w:t>
            </w:r>
            <w:r>
              <w:rPr>
                <w:rFonts w:hint="eastAsia"/>
                <w:color w:val="auto"/>
                <w:lang w:val="en-US" w:eastAsia="zh-CN"/>
              </w:rPr>
              <w:t>预测</w:t>
            </w:r>
            <w:r>
              <w:rPr>
                <w:color w:val="auto"/>
                <w:lang w:val="en-US" w:eastAsia="zh-CN"/>
              </w:rPr>
              <w:t>情况如下表所示：</w:t>
            </w:r>
          </w:p>
          <w:p w14:paraId="2ABBA57C">
            <w:pPr>
              <w:pStyle w:val="86"/>
              <w:rPr>
                <w:color w:val="auto"/>
              </w:rPr>
            </w:pPr>
            <w:r>
              <w:rPr>
                <w:color w:val="auto"/>
              </w:rPr>
              <w:t>表</w:t>
            </w:r>
            <w:r>
              <w:rPr>
                <w:rFonts w:hint="eastAsia"/>
                <w:color w:val="auto"/>
              </w:rPr>
              <w:t>4-1</w:t>
            </w:r>
            <w:r>
              <w:rPr>
                <w:color w:val="auto"/>
              </w:rPr>
              <w:t xml:space="preserve">3  </w:t>
            </w:r>
            <w:r>
              <w:rPr>
                <w:rFonts w:hint="eastAsia"/>
                <w:color w:val="auto"/>
              </w:rPr>
              <w:t>本工程建成后</w:t>
            </w:r>
            <w:r>
              <w:rPr>
                <w:color w:val="auto"/>
              </w:rPr>
              <w:t>厂界噪声</w:t>
            </w:r>
            <w:r>
              <w:rPr>
                <w:rFonts w:hint="eastAsia"/>
                <w:color w:val="auto"/>
              </w:rPr>
              <w:t>贡献值预测</w:t>
            </w:r>
            <w:r>
              <w:rPr>
                <w:color w:val="auto"/>
              </w:rPr>
              <w:t>结果    单位：dB(A)</w:t>
            </w:r>
          </w:p>
          <w:tbl>
            <w:tblPr>
              <w:tblStyle w:val="35"/>
              <w:tblW w:w="8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3"/>
              <w:gridCol w:w="706"/>
              <w:gridCol w:w="776"/>
              <w:gridCol w:w="844"/>
              <w:gridCol w:w="724"/>
              <w:gridCol w:w="706"/>
              <w:gridCol w:w="689"/>
              <w:gridCol w:w="2080"/>
            </w:tblGrid>
            <w:tr w14:paraId="1033F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wBefore w:w="0" w:type="auto"/>
                <w:wAfter w:w="0" w:type="auto"/>
                <w:trHeight w:val="280" w:hRule="atLeast"/>
                <w:jc w:val="center"/>
              </w:trPr>
              <w:tc>
                <w:tcPr>
                  <w:tcW w:w="971" w:type="pct"/>
                  <w:vMerge w:val="restart"/>
                  <w:tcBorders>
                    <w:top w:val="single" w:color="auto" w:sz="4" w:space="0"/>
                    <w:left w:val="single" w:color="auto" w:sz="4" w:space="0"/>
                    <w:bottom w:val="single" w:color="auto" w:sz="4" w:space="0"/>
                    <w:right w:val="single" w:color="auto" w:sz="4" w:space="0"/>
                    <w:tl2br w:val="single" w:color="auto" w:sz="2" w:space="0"/>
                  </w:tcBorders>
                  <w:noWrap w:val="0"/>
                  <w:vAlign w:val="center"/>
                </w:tcPr>
                <w:p w14:paraId="6DDF4077">
                  <w:pPr>
                    <w:ind w:firstLine="264" w:firstLineChars="146"/>
                    <w:jc w:val="right"/>
                    <w:rPr>
                      <w:b/>
                      <w:color w:val="auto"/>
                      <w:sz w:val="18"/>
                      <w:szCs w:val="18"/>
                    </w:rPr>
                  </w:pPr>
                  <w:r>
                    <w:rPr>
                      <w:b/>
                      <w:color w:val="auto"/>
                      <w:sz w:val="18"/>
                      <w:szCs w:val="18"/>
                    </w:rPr>
                    <w:t xml:space="preserve">      </w:t>
                  </w:r>
                </w:p>
                <w:p w14:paraId="26D41A68">
                  <w:pPr>
                    <w:ind w:firstLine="264" w:firstLineChars="146"/>
                    <w:jc w:val="right"/>
                    <w:rPr>
                      <w:b/>
                      <w:color w:val="auto"/>
                      <w:sz w:val="18"/>
                      <w:szCs w:val="18"/>
                    </w:rPr>
                  </w:pPr>
                  <w:r>
                    <w:rPr>
                      <w:b/>
                      <w:color w:val="auto"/>
                      <w:sz w:val="18"/>
                      <w:szCs w:val="18"/>
                    </w:rPr>
                    <w:t>项目</w:t>
                  </w:r>
                </w:p>
                <w:p w14:paraId="3A7EC0C1">
                  <w:pPr>
                    <w:rPr>
                      <w:b/>
                      <w:color w:val="auto"/>
                      <w:sz w:val="18"/>
                      <w:szCs w:val="18"/>
                    </w:rPr>
                  </w:pPr>
                  <w:r>
                    <w:rPr>
                      <w:b/>
                      <w:color w:val="auto"/>
                      <w:sz w:val="18"/>
                      <w:szCs w:val="18"/>
                    </w:rPr>
                    <w:t>点位</w:t>
                  </w:r>
                </w:p>
              </w:tc>
              <w:tc>
                <w:tcPr>
                  <w:tcW w:w="915" w:type="pct"/>
                  <w:gridSpan w:val="2"/>
                  <w:tcBorders>
                    <w:top w:val="single" w:color="auto" w:sz="4" w:space="0"/>
                    <w:left w:val="single" w:color="auto" w:sz="4" w:space="0"/>
                    <w:bottom w:val="single" w:color="auto" w:sz="4" w:space="0"/>
                    <w:right w:val="single" w:color="auto" w:sz="4" w:space="0"/>
                  </w:tcBorders>
                  <w:noWrap w:val="0"/>
                  <w:vAlign w:val="center"/>
                </w:tcPr>
                <w:p w14:paraId="791BC6B3">
                  <w:pPr>
                    <w:jc w:val="center"/>
                    <w:rPr>
                      <w:rFonts w:hint="eastAsia"/>
                      <w:b/>
                      <w:color w:val="auto"/>
                      <w:sz w:val="18"/>
                      <w:szCs w:val="18"/>
                    </w:rPr>
                  </w:pPr>
                  <w:r>
                    <w:rPr>
                      <w:rFonts w:hint="eastAsia"/>
                      <w:b/>
                      <w:color w:val="auto"/>
                      <w:sz w:val="18"/>
                      <w:szCs w:val="18"/>
                    </w:rPr>
                    <w:t>贡献值</w:t>
                  </w:r>
                </w:p>
              </w:tc>
              <w:tc>
                <w:tcPr>
                  <w:tcW w:w="968" w:type="pct"/>
                  <w:gridSpan w:val="2"/>
                  <w:tcBorders>
                    <w:top w:val="single" w:color="auto" w:sz="4" w:space="0"/>
                    <w:left w:val="single" w:color="auto" w:sz="4" w:space="0"/>
                    <w:bottom w:val="single" w:color="auto" w:sz="4" w:space="0"/>
                    <w:right w:val="single" w:color="auto" w:sz="4" w:space="0"/>
                  </w:tcBorders>
                  <w:noWrap w:val="0"/>
                  <w:vAlign w:val="center"/>
                </w:tcPr>
                <w:p w14:paraId="55CB952C">
                  <w:pPr>
                    <w:jc w:val="center"/>
                    <w:rPr>
                      <w:rFonts w:hint="default" w:eastAsia="宋体"/>
                      <w:b/>
                      <w:color w:val="auto"/>
                      <w:sz w:val="18"/>
                      <w:szCs w:val="18"/>
                      <w:lang w:val="en-US" w:eastAsia="zh-CN"/>
                    </w:rPr>
                  </w:pPr>
                  <w:r>
                    <w:rPr>
                      <w:rFonts w:hint="eastAsia"/>
                      <w:b/>
                      <w:color w:val="auto"/>
                      <w:sz w:val="18"/>
                      <w:szCs w:val="18"/>
                      <w:lang w:val="en-US" w:eastAsia="zh-CN"/>
                    </w:rPr>
                    <w:t>背景值</w:t>
                  </w:r>
                </w:p>
              </w:tc>
              <w:tc>
                <w:tcPr>
                  <w:tcW w:w="861" w:type="pct"/>
                  <w:gridSpan w:val="2"/>
                  <w:tcBorders>
                    <w:top w:val="single" w:color="auto" w:sz="4" w:space="0"/>
                    <w:left w:val="single" w:color="auto" w:sz="4" w:space="0"/>
                    <w:bottom w:val="single" w:color="auto" w:sz="4" w:space="0"/>
                    <w:right w:val="single" w:color="auto" w:sz="4" w:space="0"/>
                  </w:tcBorders>
                  <w:noWrap w:val="0"/>
                  <w:vAlign w:val="center"/>
                </w:tcPr>
                <w:p w14:paraId="2F304B91">
                  <w:pPr>
                    <w:jc w:val="center"/>
                    <w:rPr>
                      <w:rFonts w:hint="eastAsia" w:eastAsia="宋体"/>
                      <w:b/>
                      <w:color w:val="auto"/>
                      <w:sz w:val="18"/>
                      <w:szCs w:val="18"/>
                      <w:lang w:val="en-US" w:eastAsia="zh-CN"/>
                    </w:rPr>
                  </w:pPr>
                  <w:r>
                    <w:rPr>
                      <w:rFonts w:hint="eastAsia"/>
                      <w:b/>
                      <w:color w:val="auto"/>
                      <w:sz w:val="18"/>
                      <w:szCs w:val="18"/>
                      <w:lang w:val="en-US" w:eastAsia="zh-CN"/>
                    </w:rPr>
                    <w:t>预测值</w:t>
                  </w:r>
                </w:p>
              </w:tc>
              <w:tc>
                <w:tcPr>
                  <w:tcW w:w="1283" w:type="pct"/>
                  <w:vMerge w:val="restart"/>
                  <w:tcBorders>
                    <w:top w:val="single" w:color="auto" w:sz="4" w:space="0"/>
                    <w:left w:val="single" w:color="auto" w:sz="4" w:space="0"/>
                    <w:bottom w:val="single" w:color="auto" w:sz="4" w:space="0"/>
                    <w:right w:val="single" w:color="auto" w:sz="4" w:space="0"/>
                  </w:tcBorders>
                  <w:noWrap w:val="0"/>
                  <w:vAlign w:val="center"/>
                </w:tcPr>
                <w:p w14:paraId="36EB4478">
                  <w:pPr>
                    <w:jc w:val="center"/>
                    <w:rPr>
                      <w:b/>
                      <w:color w:val="auto"/>
                      <w:sz w:val="18"/>
                      <w:szCs w:val="18"/>
                    </w:rPr>
                  </w:pPr>
                  <w:r>
                    <w:rPr>
                      <w:b/>
                      <w:color w:val="auto"/>
                      <w:sz w:val="18"/>
                      <w:szCs w:val="18"/>
                    </w:rPr>
                    <w:t>标准限值</w:t>
                  </w:r>
                </w:p>
              </w:tc>
            </w:tr>
            <w:tr w14:paraId="6A552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84" w:hRule="atLeast"/>
                <w:jc w:val="center"/>
              </w:trPr>
              <w:tc>
                <w:tcPr>
                  <w:tcW w:w="971" w:type="pct"/>
                  <w:vMerge w:val="continue"/>
                  <w:tcBorders>
                    <w:top w:val="single" w:color="auto" w:sz="4" w:space="0"/>
                    <w:left w:val="single" w:color="auto" w:sz="4" w:space="0"/>
                    <w:bottom w:val="single" w:color="auto" w:sz="4" w:space="0"/>
                    <w:right w:val="single" w:color="auto" w:sz="4" w:space="0"/>
                    <w:tl2br w:val="single" w:color="auto" w:sz="2" w:space="0"/>
                  </w:tcBorders>
                  <w:noWrap w:val="0"/>
                  <w:vAlign w:val="center"/>
                </w:tcPr>
                <w:p w14:paraId="3C2A7239">
                  <w:pPr>
                    <w:jc w:val="center"/>
                    <w:rPr>
                      <w:color w:val="auto"/>
                      <w:sz w:val="18"/>
                      <w:szCs w:val="18"/>
                    </w:rPr>
                  </w:pPr>
                </w:p>
              </w:tc>
              <w:tc>
                <w:tcPr>
                  <w:tcW w:w="436" w:type="pct"/>
                  <w:tcBorders>
                    <w:top w:val="single" w:color="auto" w:sz="4" w:space="0"/>
                    <w:left w:val="single" w:color="auto" w:sz="4" w:space="0"/>
                    <w:bottom w:val="single" w:color="auto" w:sz="4" w:space="0"/>
                    <w:right w:val="single" w:color="auto" w:sz="4" w:space="0"/>
                  </w:tcBorders>
                  <w:noWrap w:val="0"/>
                  <w:vAlign w:val="center"/>
                </w:tcPr>
                <w:p w14:paraId="5CD20400">
                  <w:pPr>
                    <w:jc w:val="center"/>
                    <w:rPr>
                      <w:rFonts w:hint="eastAsia"/>
                      <w:b/>
                      <w:color w:val="auto"/>
                      <w:sz w:val="18"/>
                      <w:szCs w:val="18"/>
                    </w:rPr>
                  </w:pPr>
                  <w:r>
                    <w:rPr>
                      <w:rFonts w:hint="eastAsia"/>
                      <w:b/>
                      <w:color w:val="auto"/>
                      <w:sz w:val="18"/>
                      <w:szCs w:val="18"/>
                    </w:rPr>
                    <w:t>昼间</w:t>
                  </w:r>
                </w:p>
              </w:tc>
              <w:tc>
                <w:tcPr>
                  <w:tcW w:w="478" w:type="pct"/>
                  <w:tcBorders>
                    <w:top w:val="single" w:color="auto" w:sz="4" w:space="0"/>
                    <w:left w:val="single" w:color="auto" w:sz="4" w:space="0"/>
                    <w:bottom w:val="single" w:color="auto" w:sz="4" w:space="0"/>
                    <w:right w:val="single" w:color="auto" w:sz="4" w:space="0"/>
                  </w:tcBorders>
                  <w:noWrap w:val="0"/>
                  <w:vAlign w:val="center"/>
                </w:tcPr>
                <w:p w14:paraId="641A3701">
                  <w:pPr>
                    <w:jc w:val="center"/>
                    <w:rPr>
                      <w:rFonts w:hint="eastAsia"/>
                      <w:b/>
                      <w:color w:val="auto"/>
                      <w:sz w:val="18"/>
                      <w:szCs w:val="18"/>
                    </w:rPr>
                  </w:pPr>
                  <w:r>
                    <w:rPr>
                      <w:rFonts w:hint="eastAsia"/>
                      <w:b/>
                      <w:color w:val="auto"/>
                      <w:sz w:val="18"/>
                      <w:szCs w:val="18"/>
                    </w:rPr>
                    <w:t>夜间</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6F5C23A6">
                  <w:pPr>
                    <w:jc w:val="center"/>
                    <w:rPr>
                      <w:rFonts w:hint="eastAsia"/>
                      <w:color w:val="auto"/>
                      <w:sz w:val="18"/>
                      <w:szCs w:val="18"/>
                    </w:rPr>
                  </w:pPr>
                  <w:r>
                    <w:rPr>
                      <w:rFonts w:hint="eastAsia"/>
                      <w:b/>
                      <w:color w:val="auto"/>
                      <w:sz w:val="18"/>
                      <w:szCs w:val="18"/>
                    </w:rPr>
                    <w:t>昼间</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6B9C007B">
                  <w:pPr>
                    <w:jc w:val="center"/>
                    <w:rPr>
                      <w:rFonts w:hint="eastAsia"/>
                      <w:color w:val="auto"/>
                      <w:sz w:val="18"/>
                      <w:szCs w:val="18"/>
                    </w:rPr>
                  </w:pPr>
                  <w:r>
                    <w:rPr>
                      <w:rFonts w:hint="eastAsia"/>
                      <w:b/>
                      <w:color w:val="auto"/>
                      <w:sz w:val="18"/>
                      <w:szCs w:val="18"/>
                    </w:rPr>
                    <w:t>夜间</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270B40EE">
                  <w:pPr>
                    <w:jc w:val="center"/>
                    <w:rPr>
                      <w:rFonts w:hint="eastAsia"/>
                      <w:color w:val="auto"/>
                      <w:sz w:val="18"/>
                      <w:szCs w:val="18"/>
                    </w:rPr>
                  </w:pPr>
                  <w:r>
                    <w:rPr>
                      <w:rFonts w:hint="eastAsia"/>
                      <w:b/>
                      <w:color w:val="auto"/>
                      <w:sz w:val="18"/>
                      <w:szCs w:val="18"/>
                    </w:rPr>
                    <w:t>昼间</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1790D5E">
                  <w:pPr>
                    <w:jc w:val="center"/>
                    <w:rPr>
                      <w:rFonts w:hint="eastAsia"/>
                      <w:color w:val="auto"/>
                      <w:sz w:val="18"/>
                      <w:szCs w:val="18"/>
                    </w:rPr>
                  </w:pPr>
                  <w:r>
                    <w:rPr>
                      <w:rFonts w:hint="eastAsia"/>
                      <w:b/>
                      <w:color w:val="auto"/>
                      <w:sz w:val="18"/>
                      <w:szCs w:val="18"/>
                    </w:rPr>
                    <w:t>夜间</w:t>
                  </w:r>
                </w:p>
              </w:tc>
              <w:tc>
                <w:tcPr>
                  <w:tcW w:w="1283" w:type="pct"/>
                  <w:vMerge w:val="continue"/>
                  <w:tcBorders>
                    <w:top w:val="single" w:color="auto" w:sz="4" w:space="0"/>
                    <w:left w:val="single" w:color="auto" w:sz="4" w:space="0"/>
                    <w:bottom w:val="single" w:color="auto" w:sz="4" w:space="0"/>
                    <w:right w:val="single" w:color="auto" w:sz="4" w:space="0"/>
                  </w:tcBorders>
                  <w:noWrap w:val="0"/>
                  <w:vAlign w:val="center"/>
                </w:tcPr>
                <w:p w14:paraId="55185593">
                  <w:pPr>
                    <w:jc w:val="center"/>
                    <w:rPr>
                      <w:rFonts w:hint="eastAsia"/>
                      <w:color w:val="auto"/>
                      <w:sz w:val="18"/>
                      <w:szCs w:val="18"/>
                    </w:rPr>
                  </w:pPr>
                </w:p>
              </w:tc>
            </w:tr>
            <w:tr w14:paraId="0F5E1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80" w:hRule="atLeast"/>
                <w:jc w:val="center"/>
              </w:trPr>
              <w:tc>
                <w:tcPr>
                  <w:tcW w:w="971" w:type="pct"/>
                  <w:tcBorders>
                    <w:top w:val="single" w:color="auto" w:sz="4" w:space="0"/>
                    <w:left w:val="single" w:color="auto" w:sz="4" w:space="0"/>
                    <w:bottom w:val="single" w:color="auto" w:sz="4" w:space="0"/>
                    <w:right w:val="single" w:color="auto" w:sz="4" w:space="0"/>
                  </w:tcBorders>
                  <w:noWrap w:val="0"/>
                  <w:vAlign w:val="center"/>
                </w:tcPr>
                <w:p w14:paraId="3048FD22">
                  <w:pPr>
                    <w:jc w:val="center"/>
                    <w:rPr>
                      <w:color w:val="auto"/>
                      <w:sz w:val="18"/>
                      <w:szCs w:val="18"/>
                    </w:rPr>
                  </w:pPr>
                  <w:r>
                    <w:rPr>
                      <w:color w:val="auto"/>
                      <w:sz w:val="18"/>
                      <w:szCs w:val="18"/>
                    </w:rPr>
                    <w:t>东厂界</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6CE83C8B">
                  <w:pPr>
                    <w:jc w:val="center"/>
                    <w:rPr>
                      <w:rFonts w:hint="default" w:eastAsia="宋体"/>
                      <w:color w:val="auto"/>
                      <w:sz w:val="18"/>
                      <w:szCs w:val="18"/>
                      <w:lang w:val="en-US" w:eastAsia="zh-CN"/>
                    </w:rPr>
                  </w:pPr>
                  <w:r>
                    <w:rPr>
                      <w:rFonts w:hint="eastAsia"/>
                      <w:color w:val="auto"/>
                      <w:sz w:val="18"/>
                      <w:szCs w:val="18"/>
                      <w:lang w:val="en-US" w:eastAsia="zh-CN"/>
                    </w:rPr>
                    <w:t>45.7</w:t>
                  </w:r>
                </w:p>
              </w:tc>
              <w:tc>
                <w:tcPr>
                  <w:tcW w:w="478" w:type="pct"/>
                  <w:tcBorders>
                    <w:top w:val="single" w:color="auto" w:sz="4" w:space="0"/>
                    <w:left w:val="single" w:color="auto" w:sz="4" w:space="0"/>
                    <w:bottom w:val="single" w:color="auto" w:sz="4" w:space="0"/>
                    <w:right w:val="single" w:color="auto" w:sz="4" w:space="0"/>
                  </w:tcBorders>
                  <w:noWrap w:val="0"/>
                  <w:vAlign w:val="center"/>
                </w:tcPr>
                <w:p w14:paraId="1476C9EF">
                  <w:pPr>
                    <w:jc w:val="center"/>
                    <w:rPr>
                      <w:rFonts w:hint="default" w:eastAsia="宋体"/>
                      <w:color w:val="auto"/>
                      <w:sz w:val="18"/>
                      <w:szCs w:val="18"/>
                      <w:lang w:val="en-US" w:eastAsia="zh-CN"/>
                    </w:rPr>
                  </w:pPr>
                  <w:r>
                    <w:rPr>
                      <w:rFonts w:hint="eastAsia"/>
                      <w:color w:val="auto"/>
                      <w:sz w:val="18"/>
                      <w:szCs w:val="18"/>
                      <w:lang w:val="en-US" w:eastAsia="zh-CN"/>
                    </w:rPr>
                    <w:t>45.7</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02D7B861">
                  <w:pPr>
                    <w:jc w:val="center"/>
                    <w:rPr>
                      <w:rFonts w:hint="default" w:eastAsia="宋体"/>
                      <w:color w:val="auto"/>
                      <w:sz w:val="18"/>
                      <w:szCs w:val="18"/>
                      <w:lang w:val="en-US" w:eastAsia="zh-CN"/>
                    </w:rPr>
                  </w:pPr>
                  <w:r>
                    <w:rPr>
                      <w:rFonts w:hint="eastAsia"/>
                      <w:color w:val="auto"/>
                      <w:sz w:val="18"/>
                      <w:szCs w:val="18"/>
                      <w:lang w:val="en-US" w:eastAsia="zh-CN"/>
                    </w:rPr>
                    <w:t>57.9</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3A0EAC5A">
                  <w:pPr>
                    <w:jc w:val="center"/>
                    <w:rPr>
                      <w:rFonts w:hint="default" w:eastAsia="宋体"/>
                      <w:color w:val="auto"/>
                      <w:sz w:val="18"/>
                      <w:szCs w:val="18"/>
                      <w:lang w:val="en-US" w:eastAsia="zh-CN"/>
                    </w:rPr>
                  </w:pPr>
                  <w:r>
                    <w:rPr>
                      <w:rFonts w:hint="eastAsia"/>
                      <w:color w:val="auto"/>
                      <w:sz w:val="18"/>
                      <w:szCs w:val="18"/>
                      <w:lang w:val="en-US" w:eastAsia="zh-CN"/>
                    </w:rPr>
                    <w:t>45.5</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0A07D756">
                  <w:pPr>
                    <w:jc w:val="center"/>
                    <w:rPr>
                      <w:rFonts w:hint="default" w:eastAsia="宋体"/>
                      <w:color w:val="auto"/>
                      <w:sz w:val="18"/>
                      <w:szCs w:val="18"/>
                      <w:lang w:val="en-US" w:eastAsia="zh-CN"/>
                    </w:rPr>
                  </w:pPr>
                  <w:r>
                    <w:rPr>
                      <w:rFonts w:hint="eastAsia"/>
                      <w:color w:val="auto"/>
                      <w:sz w:val="18"/>
                      <w:szCs w:val="18"/>
                      <w:lang w:val="en-US" w:eastAsia="zh-CN"/>
                    </w:rPr>
                    <w:t>57.9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3EAF367">
                  <w:pPr>
                    <w:jc w:val="center"/>
                    <w:rPr>
                      <w:rFonts w:hint="default" w:eastAsia="宋体"/>
                      <w:color w:val="auto"/>
                      <w:sz w:val="18"/>
                      <w:szCs w:val="18"/>
                      <w:lang w:val="en-US" w:eastAsia="zh-CN"/>
                    </w:rPr>
                  </w:pPr>
                  <w:r>
                    <w:rPr>
                      <w:rFonts w:hint="eastAsia"/>
                      <w:color w:val="auto"/>
                      <w:sz w:val="18"/>
                      <w:szCs w:val="18"/>
                      <w:lang w:val="en-US" w:eastAsia="zh-CN"/>
                    </w:rPr>
                    <w:t>48.8</w:t>
                  </w:r>
                </w:p>
              </w:tc>
              <w:tc>
                <w:tcPr>
                  <w:tcW w:w="1283" w:type="pct"/>
                  <w:tcBorders>
                    <w:top w:val="single" w:color="auto" w:sz="4" w:space="0"/>
                    <w:left w:val="single" w:color="auto" w:sz="4" w:space="0"/>
                    <w:bottom w:val="single" w:color="auto" w:sz="4" w:space="0"/>
                    <w:right w:val="single" w:color="auto" w:sz="4" w:space="0"/>
                  </w:tcBorders>
                  <w:noWrap w:val="0"/>
                  <w:vAlign w:val="center"/>
                </w:tcPr>
                <w:p w14:paraId="2A90581A">
                  <w:pPr>
                    <w:jc w:val="center"/>
                    <w:rPr>
                      <w:color w:val="auto"/>
                      <w:sz w:val="18"/>
                      <w:szCs w:val="18"/>
                    </w:rPr>
                  </w:pPr>
                  <w:r>
                    <w:rPr>
                      <w:color w:val="auto"/>
                      <w:sz w:val="18"/>
                      <w:szCs w:val="18"/>
                    </w:rPr>
                    <w:t>昼间65</w:t>
                  </w:r>
                  <w:r>
                    <w:rPr>
                      <w:rFonts w:hint="eastAsia"/>
                      <w:color w:val="auto"/>
                      <w:sz w:val="18"/>
                      <w:szCs w:val="18"/>
                    </w:rPr>
                    <w:t>、夜间55</w:t>
                  </w:r>
                </w:p>
              </w:tc>
            </w:tr>
            <w:tr w14:paraId="1A8AD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80" w:hRule="atLeast"/>
                <w:jc w:val="center"/>
              </w:trPr>
              <w:tc>
                <w:tcPr>
                  <w:tcW w:w="971" w:type="pct"/>
                  <w:tcBorders>
                    <w:top w:val="single" w:color="auto" w:sz="4" w:space="0"/>
                    <w:left w:val="single" w:color="auto" w:sz="4" w:space="0"/>
                    <w:bottom w:val="single" w:color="auto" w:sz="4" w:space="0"/>
                    <w:right w:val="single" w:color="auto" w:sz="4" w:space="0"/>
                  </w:tcBorders>
                  <w:noWrap w:val="0"/>
                  <w:vAlign w:val="center"/>
                </w:tcPr>
                <w:p w14:paraId="41255F6A">
                  <w:pPr>
                    <w:jc w:val="center"/>
                    <w:rPr>
                      <w:color w:val="auto"/>
                      <w:sz w:val="18"/>
                      <w:szCs w:val="18"/>
                    </w:rPr>
                  </w:pPr>
                  <w:r>
                    <w:rPr>
                      <w:color w:val="auto"/>
                      <w:sz w:val="18"/>
                      <w:szCs w:val="18"/>
                    </w:rPr>
                    <w:t>南厂界</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15A5829F">
                  <w:pPr>
                    <w:jc w:val="center"/>
                    <w:rPr>
                      <w:rFonts w:hint="eastAsia"/>
                      <w:color w:val="auto"/>
                      <w:sz w:val="18"/>
                      <w:szCs w:val="18"/>
                    </w:rPr>
                  </w:pPr>
                  <w:r>
                    <w:rPr>
                      <w:color w:val="auto"/>
                      <w:sz w:val="18"/>
                      <w:szCs w:val="18"/>
                    </w:rPr>
                    <w:t>46.1</w:t>
                  </w:r>
                </w:p>
              </w:tc>
              <w:tc>
                <w:tcPr>
                  <w:tcW w:w="478" w:type="pct"/>
                  <w:tcBorders>
                    <w:top w:val="single" w:color="auto" w:sz="4" w:space="0"/>
                    <w:left w:val="single" w:color="auto" w:sz="4" w:space="0"/>
                    <w:bottom w:val="single" w:color="auto" w:sz="4" w:space="0"/>
                    <w:right w:val="single" w:color="auto" w:sz="4" w:space="0"/>
                  </w:tcBorders>
                  <w:noWrap w:val="0"/>
                  <w:vAlign w:val="center"/>
                </w:tcPr>
                <w:p w14:paraId="3F4C0A92">
                  <w:pPr>
                    <w:jc w:val="center"/>
                    <w:rPr>
                      <w:rFonts w:hint="eastAsia"/>
                      <w:color w:val="auto"/>
                      <w:sz w:val="18"/>
                      <w:szCs w:val="18"/>
                    </w:rPr>
                  </w:pPr>
                  <w:r>
                    <w:rPr>
                      <w:color w:val="auto"/>
                      <w:sz w:val="18"/>
                      <w:szCs w:val="18"/>
                    </w:rPr>
                    <w:t>46.1</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65DD41A2">
                  <w:pPr>
                    <w:jc w:val="center"/>
                    <w:rPr>
                      <w:rFonts w:hint="default" w:eastAsia="宋体"/>
                      <w:color w:val="auto"/>
                      <w:sz w:val="18"/>
                      <w:szCs w:val="18"/>
                      <w:lang w:val="en-US" w:eastAsia="zh-CN"/>
                    </w:rPr>
                  </w:pPr>
                  <w:r>
                    <w:rPr>
                      <w:rFonts w:hint="eastAsia"/>
                      <w:color w:val="auto"/>
                      <w:sz w:val="18"/>
                      <w:szCs w:val="18"/>
                      <w:lang w:val="en-US" w:eastAsia="zh-CN"/>
                    </w:rPr>
                    <w:t>51.0</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2E5A88DE">
                  <w:pPr>
                    <w:jc w:val="center"/>
                    <w:rPr>
                      <w:rFonts w:hint="default" w:eastAsia="宋体"/>
                      <w:color w:val="auto"/>
                      <w:sz w:val="18"/>
                      <w:szCs w:val="18"/>
                      <w:lang w:val="en-US" w:eastAsia="zh-CN"/>
                    </w:rPr>
                  </w:pPr>
                  <w:r>
                    <w:rPr>
                      <w:rFonts w:hint="eastAsia"/>
                      <w:color w:val="auto"/>
                      <w:sz w:val="18"/>
                      <w:szCs w:val="18"/>
                      <w:lang w:val="en-US" w:eastAsia="zh-CN"/>
                    </w:rPr>
                    <w:t>46.3</w:t>
                  </w:r>
                </w:p>
              </w:tc>
              <w:tc>
                <w:tcPr>
                  <w:tcW w:w="436" w:type="pct"/>
                  <w:tcBorders>
                    <w:top w:val="single" w:color="auto" w:sz="4" w:space="0"/>
                    <w:left w:val="single" w:color="auto" w:sz="4" w:space="0"/>
                    <w:bottom w:val="single" w:color="auto" w:sz="4" w:space="0"/>
                    <w:right w:val="single" w:color="auto" w:sz="4" w:space="0"/>
                  </w:tcBorders>
                  <w:noWrap w:val="0"/>
                  <w:vAlign w:val="top"/>
                </w:tcPr>
                <w:p w14:paraId="76061B82">
                  <w:pPr>
                    <w:jc w:val="center"/>
                    <w:rPr>
                      <w:rFonts w:hint="default" w:eastAsia="宋体"/>
                      <w:color w:val="auto"/>
                      <w:sz w:val="18"/>
                      <w:szCs w:val="18"/>
                      <w:lang w:val="en-US" w:eastAsia="zh-CN"/>
                    </w:rPr>
                  </w:pPr>
                  <w:r>
                    <w:rPr>
                      <w:rFonts w:hint="eastAsia"/>
                      <w:color w:val="auto"/>
                      <w:sz w:val="18"/>
                      <w:szCs w:val="18"/>
                      <w:lang w:val="en-US" w:eastAsia="zh-CN"/>
                    </w:rPr>
                    <w:t>52.3</w:t>
                  </w:r>
                </w:p>
              </w:tc>
              <w:tc>
                <w:tcPr>
                  <w:tcW w:w="425" w:type="pct"/>
                  <w:tcBorders>
                    <w:top w:val="single" w:color="auto" w:sz="4" w:space="0"/>
                    <w:left w:val="single" w:color="auto" w:sz="4" w:space="0"/>
                    <w:bottom w:val="single" w:color="auto" w:sz="4" w:space="0"/>
                    <w:right w:val="single" w:color="auto" w:sz="4" w:space="0"/>
                  </w:tcBorders>
                  <w:noWrap w:val="0"/>
                  <w:vAlign w:val="top"/>
                </w:tcPr>
                <w:p w14:paraId="41DE5154">
                  <w:pPr>
                    <w:jc w:val="center"/>
                    <w:rPr>
                      <w:rFonts w:hint="default" w:eastAsia="宋体"/>
                      <w:color w:val="auto"/>
                      <w:sz w:val="18"/>
                      <w:szCs w:val="18"/>
                      <w:lang w:val="en-US" w:eastAsia="zh-CN"/>
                    </w:rPr>
                  </w:pPr>
                  <w:r>
                    <w:rPr>
                      <w:rFonts w:hint="eastAsia"/>
                      <w:color w:val="auto"/>
                      <w:sz w:val="18"/>
                      <w:szCs w:val="18"/>
                      <w:lang w:val="en-US" w:eastAsia="zh-CN"/>
                    </w:rPr>
                    <w:t>49.4</w:t>
                  </w:r>
                </w:p>
              </w:tc>
              <w:tc>
                <w:tcPr>
                  <w:tcW w:w="1283" w:type="pct"/>
                  <w:tcBorders>
                    <w:top w:val="single" w:color="auto" w:sz="4" w:space="0"/>
                    <w:left w:val="single" w:color="auto" w:sz="4" w:space="0"/>
                    <w:bottom w:val="single" w:color="auto" w:sz="4" w:space="0"/>
                    <w:right w:val="single" w:color="auto" w:sz="4" w:space="0"/>
                  </w:tcBorders>
                  <w:noWrap w:val="0"/>
                  <w:vAlign w:val="top"/>
                </w:tcPr>
                <w:p w14:paraId="08425BB5">
                  <w:pPr>
                    <w:jc w:val="center"/>
                    <w:rPr>
                      <w:color w:val="auto"/>
                      <w:sz w:val="18"/>
                      <w:szCs w:val="18"/>
                    </w:rPr>
                  </w:pPr>
                  <w:r>
                    <w:rPr>
                      <w:color w:val="auto"/>
                      <w:sz w:val="18"/>
                      <w:szCs w:val="18"/>
                    </w:rPr>
                    <w:t>昼间65</w:t>
                  </w:r>
                  <w:r>
                    <w:rPr>
                      <w:rFonts w:hint="eastAsia"/>
                      <w:color w:val="auto"/>
                      <w:sz w:val="18"/>
                      <w:szCs w:val="18"/>
                    </w:rPr>
                    <w:t>、夜间55</w:t>
                  </w:r>
                </w:p>
              </w:tc>
            </w:tr>
            <w:tr w14:paraId="63840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80" w:hRule="atLeast"/>
                <w:jc w:val="center"/>
              </w:trPr>
              <w:tc>
                <w:tcPr>
                  <w:tcW w:w="971" w:type="pct"/>
                  <w:tcBorders>
                    <w:top w:val="single" w:color="auto" w:sz="4" w:space="0"/>
                    <w:left w:val="single" w:color="auto" w:sz="4" w:space="0"/>
                    <w:bottom w:val="single" w:color="auto" w:sz="4" w:space="0"/>
                    <w:right w:val="single" w:color="auto" w:sz="4" w:space="0"/>
                  </w:tcBorders>
                  <w:noWrap w:val="0"/>
                  <w:vAlign w:val="center"/>
                </w:tcPr>
                <w:p w14:paraId="706074AE">
                  <w:pPr>
                    <w:jc w:val="center"/>
                    <w:rPr>
                      <w:color w:val="auto"/>
                      <w:sz w:val="18"/>
                      <w:szCs w:val="18"/>
                    </w:rPr>
                  </w:pPr>
                  <w:r>
                    <w:rPr>
                      <w:color w:val="auto"/>
                      <w:sz w:val="18"/>
                      <w:szCs w:val="18"/>
                    </w:rPr>
                    <w:t>西厂界</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65FACE84">
                  <w:pPr>
                    <w:jc w:val="center"/>
                    <w:rPr>
                      <w:rFonts w:hint="default" w:eastAsia="宋体"/>
                      <w:color w:val="auto"/>
                      <w:sz w:val="18"/>
                      <w:szCs w:val="18"/>
                      <w:lang w:val="en-US" w:eastAsia="zh-CN"/>
                    </w:rPr>
                  </w:pPr>
                  <w:r>
                    <w:rPr>
                      <w:rFonts w:hint="eastAsia"/>
                      <w:color w:val="auto"/>
                      <w:sz w:val="18"/>
                      <w:szCs w:val="18"/>
                      <w:lang w:val="en-US" w:eastAsia="zh-CN"/>
                    </w:rPr>
                    <w:t>39.7</w:t>
                  </w:r>
                </w:p>
              </w:tc>
              <w:tc>
                <w:tcPr>
                  <w:tcW w:w="478" w:type="pct"/>
                  <w:tcBorders>
                    <w:top w:val="single" w:color="auto" w:sz="4" w:space="0"/>
                    <w:left w:val="single" w:color="auto" w:sz="4" w:space="0"/>
                    <w:bottom w:val="single" w:color="auto" w:sz="4" w:space="0"/>
                    <w:right w:val="single" w:color="auto" w:sz="4" w:space="0"/>
                  </w:tcBorders>
                  <w:noWrap w:val="0"/>
                  <w:vAlign w:val="center"/>
                </w:tcPr>
                <w:p w14:paraId="5A9E426D">
                  <w:pPr>
                    <w:jc w:val="center"/>
                    <w:rPr>
                      <w:rFonts w:hint="default" w:eastAsia="宋体"/>
                      <w:color w:val="auto"/>
                      <w:sz w:val="18"/>
                      <w:szCs w:val="18"/>
                      <w:lang w:val="en-US" w:eastAsia="zh-CN"/>
                    </w:rPr>
                  </w:pPr>
                  <w:r>
                    <w:rPr>
                      <w:rFonts w:hint="eastAsia"/>
                      <w:color w:val="auto"/>
                      <w:sz w:val="18"/>
                      <w:szCs w:val="18"/>
                      <w:lang w:val="en-US" w:eastAsia="zh-CN"/>
                    </w:rPr>
                    <w:t>39.7</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1CFEDA4E">
                  <w:pPr>
                    <w:jc w:val="center"/>
                    <w:rPr>
                      <w:rFonts w:hint="default" w:eastAsia="宋体"/>
                      <w:color w:val="auto"/>
                      <w:sz w:val="18"/>
                      <w:szCs w:val="18"/>
                      <w:lang w:val="en-US" w:eastAsia="zh-CN"/>
                    </w:rPr>
                  </w:pPr>
                  <w:r>
                    <w:rPr>
                      <w:rFonts w:hint="eastAsia"/>
                      <w:color w:val="auto"/>
                      <w:sz w:val="18"/>
                      <w:szCs w:val="18"/>
                      <w:lang w:val="en-US" w:eastAsia="zh-CN"/>
                    </w:rPr>
                    <w:t>52.6</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1B7B9476">
                  <w:pPr>
                    <w:jc w:val="center"/>
                    <w:rPr>
                      <w:rFonts w:hint="default" w:eastAsia="宋体"/>
                      <w:color w:val="auto"/>
                      <w:sz w:val="18"/>
                      <w:szCs w:val="18"/>
                      <w:lang w:val="en-US" w:eastAsia="zh-CN"/>
                    </w:rPr>
                  </w:pPr>
                  <w:r>
                    <w:rPr>
                      <w:rFonts w:hint="eastAsia"/>
                      <w:color w:val="auto"/>
                      <w:sz w:val="18"/>
                      <w:szCs w:val="18"/>
                      <w:lang w:val="en-US" w:eastAsia="zh-CN"/>
                    </w:rPr>
                    <w:t>45.7</w:t>
                  </w:r>
                </w:p>
              </w:tc>
              <w:tc>
                <w:tcPr>
                  <w:tcW w:w="436" w:type="pct"/>
                  <w:tcBorders>
                    <w:top w:val="single" w:color="auto" w:sz="4" w:space="0"/>
                    <w:left w:val="single" w:color="auto" w:sz="4" w:space="0"/>
                    <w:bottom w:val="single" w:color="auto" w:sz="4" w:space="0"/>
                    <w:right w:val="single" w:color="auto" w:sz="4" w:space="0"/>
                  </w:tcBorders>
                  <w:noWrap w:val="0"/>
                  <w:vAlign w:val="top"/>
                </w:tcPr>
                <w:p w14:paraId="567B14DA">
                  <w:pPr>
                    <w:jc w:val="center"/>
                    <w:rPr>
                      <w:rFonts w:hint="default" w:eastAsia="宋体"/>
                      <w:color w:val="auto"/>
                      <w:sz w:val="18"/>
                      <w:szCs w:val="18"/>
                      <w:lang w:val="en-US" w:eastAsia="zh-CN"/>
                    </w:rPr>
                  </w:pPr>
                  <w:r>
                    <w:rPr>
                      <w:rFonts w:hint="eastAsia"/>
                      <w:color w:val="auto"/>
                      <w:sz w:val="18"/>
                      <w:szCs w:val="18"/>
                      <w:lang w:val="en-US" w:eastAsia="zh-CN"/>
                    </w:rPr>
                    <w:t>52.6</w:t>
                  </w:r>
                </w:p>
              </w:tc>
              <w:tc>
                <w:tcPr>
                  <w:tcW w:w="425" w:type="pct"/>
                  <w:tcBorders>
                    <w:top w:val="single" w:color="auto" w:sz="4" w:space="0"/>
                    <w:left w:val="single" w:color="auto" w:sz="4" w:space="0"/>
                    <w:bottom w:val="single" w:color="auto" w:sz="4" w:space="0"/>
                    <w:right w:val="single" w:color="auto" w:sz="4" w:space="0"/>
                  </w:tcBorders>
                  <w:noWrap w:val="0"/>
                  <w:vAlign w:val="top"/>
                </w:tcPr>
                <w:p w14:paraId="3D04FCFA">
                  <w:pPr>
                    <w:jc w:val="center"/>
                    <w:rPr>
                      <w:rFonts w:hint="default" w:eastAsia="宋体"/>
                      <w:color w:val="auto"/>
                      <w:sz w:val="18"/>
                      <w:szCs w:val="18"/>
                      <w:lang w:val="en-US" w:eastAsia="zh-CN"/>
                    </w:rPr>
                  </w:pPr>
                  <w:r>
                    <w:rPr>
                      <w:rFonts w:hint="eastAsia"/>
                      <w:color w:val="auto"/>
                      <w:sz w:val="18"/>
                      <w:szCs w:val="18"/>
                      <w:lang w:val="en-US" w:eastAsia="zh-CN"/>
                    </w:rPr>
                    <w:t>46.1</w:t>
                  </w:r>
                </w:p>
              </w:tc>
              <w:tc>
                <w:tcPr>
                  <w:tcW w:w="1283" w:type="pct"/>
                  <w:tcBorders>
                    <w:top w:val="single" w:color="auto" w:sz="4" w:space="0"/>
                    <w:left w:val="single" w:color="auto" w:sz="4" w:space="0"/>
                    <w:bottom w:val="single" w:color="auto" w:sz="4" w:space="0"/>
                    <w:right w:val="single" w:color="auto" w:sz="4" w:space="0"/>
                  </w:tcBorders>
                  <w:noWrap w:val="0"/>
                  <w:vAlign w:val="top"/>
                </w:tcPr>
                <w:p w14:paraId="09227979">
                  <w:pPr>
                    <w:jc w:val="center"/>
                    <w:rPr>
                      <w:color w:val="auto"/>
                      <w:sz w:val="18"/>
                      <w:szCs w:val="18"/>
                    </w:rPr>
                  </w:pPr>
                  <w:r>
                    <w:rPr>
                      <w:color w:val="auto"/>
                      <w:sz w:val="18"/>
                      <w:szCs w:val="18"/>
                    </w:rPr>
                    <w:t>昼间65</w:t>
                  </w:r>
                  <w:r>
                    <w:rPr>
                      <w:rFonts w:hint="eastAsia"/>
                      <w:color w:val="auto"/>
                      <w:sz w:val="18"/>
                      <w:szCs w:val="18"/>
                    </w:rPr>
                    <w:t>、夜间55</w:t>
                  </w:r>
                </w:p>
              </w:tc>
            </w:tr>
            <w:tr w14:paraId="1B3D7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00" w:hRule="atLeast"/>
                <w:jc w:val="center"/>
              </w:trPr>
              <w:tc>
                <w:tcPr>
                  <w:tcW w:w="971" w:type="pct"/>
                  <w:tcBorders>
                    <w:top w:val="single" w:color="auto" w:sz="4" w:space="0"/>
                    <w:left w:val="single" w:color="auto" w:sz="4" w:space="0"/>
                    <w:bottom w:val="single" w:color="auto" w:sz="4" w:space="0"/>
                    <w:right w:val="single" w:color="auto" w:sz="4" w:space="0"/>
                  </w:tcBorders>
                  <w:noWrap w:val="0"/>
                  <w:vAlign w:val="center"/>
                </w:tcPr>
                <w:p w14:paraId="6A0FAACD">
                  <w:pPr>
                    <w:jc w:val="center"/>
                    <w:rPr>
                      <w:color w:val="auto"/>
                      <w:sz w:val="18"/>
                      <w:szCs w:val="18"/>
                    </w:rPr>
                  </w:pPr>
                  <w:r>
                    <w:rPr>
                      <w:color w:val="auto"/>
                      <w:sz w:val="18"/>
                      <w:szCs w:val="18"/>
                    </w:rPr>
                    <w:t>北厂界</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354D3077">
                  <w:pPr>
                    <w:jc w:val="center"/>
                    <w:rPr>
                      <w:rFonts w:hint="eastAsia"/>
                      <w:color w:val="auto"/>
                      <w:sz w:val="18"/>
                      <w:szCs w:val="18"/>
                    </w:rPr>
                  </w:pPr>
                  <w:r>
                    <w:rPr>
                      <w:color w:val="auto"/>
                      <w:sz w:val="18"/>
                      <w:szCs w:val="18"/>
                    </w:rPr>
                    <w:t>49.7</w:t>
                  </w:r>
                </w:p>
              </w:tc>
              <w:tc>
                <w:tcPr>
                  <w:tcW w:w="478" w:type="pct"/>
                  <w:tcBorders>
                    <w:top w:val="single" w:color="auto" w:sz="4" w:space="0"/>
                    <w:left w:val="single" w:color="auto" w:sz="4" w:space="0"/>
                    <w:bottom w:val="single" w:color="auto" w:sz="4" w:space="0"/>
                    <w:right w:val="single" w:color="auto" w:sz="4" w:space="0"/>
                  </w:tcBorders>
                  <w:noWrap w:val="0"/>
                  <w:vAlign w:val="center"/>
                </w:tcPr>
                <w:p w14:paraId="6FA8D85D">
                  <w:pPr>
                    <w:jc w:val="center"/>
                    <w:rPr>
                      <w:rFonts w:hint="eastAsia"/>
                      <w:color w:val="auto"/>
                      <w:sz w:val="18"/>
                      <w:szCs w:val="18"/>
                    </w:rPr>
                  </w:pPr>
                  <w:r>
                    <w:rPr>
                      <w:color w:val="auto"/>
                      <w:sz w:val="18"/>
                      <w:szCs w:val="18"/>
                    </w:rPr>
                    <w:t>49.7</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05DFDB7F">
                  <w:pPr>
                    <w:jc w:val="center"/>
                    <w:rPr>
                      <w:rFonts w:hint="default" w:eastAsia="宋体"/>
                      <w:color w:val="auto"/>
                      <w:sz w:val="18"/>
                      <w:szCs w:val="18"/>
                      <w:lang w:val="en-US" w:eastAsia="zh-CN"/>
                    </w:rPr>
                  </w:pPr>
                  <w:r>
                    <w:rPr>
                      <w:rFonts w:hint="eastAsia"/>
                      <w:color w:val="auto"/>
                      <w:sz w:val="18"/>
                      <w:szCs w:val="18"/>
                      <w:lang w:val="en-US" w:eastAsia="zh-CN"/>
                    </w:rPr>
                    <w:t>54.5</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1EA39D01">
                  <w:pPr>
                    <w:jc w:val="center"/>
                    <w:rPr>
                      <w:rFonts w:hint="default" w:eastAsia="宋体"/>
                      <w:color w:val="auto"/>
                      <w:sz w:val="18"/>
                      <w:szCs w:val="18"/>
                      <w:lang w:val="en-US" w:eastAsia="zh-CN"/>
                    </w:rPr>
                  </w:pPr>
                  <w:r>
                    <w:rPr>
                      <w:rFonts w:hint="eastAsia"/>
                      <w:color w:val="auto"/>
                      <w:sz w:val="18"/>
                      <w:szCs w:val="18"/>
                      <w:lang w:val="en-US" w:eastAsia="zh-CN"/>
                    </w:rPr>
                    <w:t>44.8</w:t>
                  </w:r>
                </w:p>
              </w:tc>
              <w:tc>
                <w:tcPr>
                  <w:tcW w:w="436" w:type="pct"/>
                  <w:tcBorders>
                    <w:top w:val="single" w:color="auto" w:sz="4" w:space="0"/>
                    <w:left w:val="single" w:color="auto" w:sz="4" w:space="0"/>
                    <w:bottom w:val="single" w:color="auto" w:sz="4" w:space="0"/>
                    <w:right w:val="single" w:color="auto" w:sz="4" w:space="0"/>
                  </w:tcBorders>
                  <w:noWrap w:val="0"/>
                  <w:vAlign w:val="top"/>
                </w:tcPr>
                <w:p w14:paraId="20012681">
                  <w:pPr>
                    <w:jc w:val="center"/>
                    <w:rPr>
                      <w:rFonts w:hint="default" w:eastAsia="宋体"/>
                      <w:color w:val="auto"/>
                      <w:sz w:val="18"/>
                      <w:szCs w:val="18"/>
                      <w:lang w:val="en-US" w:eastAsia="zh-CN"/>
                    </w:rPr>
                  </w:pPr>
                  <w:r>
                    <w:rPr>
                      <w:rFonts w:hint="eastAsia"/>
                      <w:color w:val="auto"/>
                      <w:sz w:val="18"/>
                      <w:szCs w:val="18"/>
                      <w:lang w:val="en-US" w:eastAsia="zh-CN"/>
                    </w:rPr>
                    <w:t>56.2</w:t>
                  </w:r>
                </w:p>
              </w:tc>
              <w:tc>
                <w:tcPr>
                  <w:tcW w:w="425" w:type="pct"/>
                  <w:tcBorders>
                    <w:top w:val="single" w:color="auto" w:sz="4" w:space="0"/>
                    <w:left w:val="single" w:color="auto" w:sz="4" w:space="0"/>
                    <w:bottom w:val="single" w:color="auto" w:sz="4" w:space="0"/>
                    <w:right w:val="single" w:color="auto" w:sz="4" w:space="0"/>
                  </w:tcBorders>
                  <w:noWrap w:val="0"/>
                  <w:vAlign w:val="top"/>
                </w:tcPr>
                <w:p w14:paraId="0A08ACC9">
                  <w:pPr>
                    <w:jc w:val="center"/>
                    <w:rPr>
                      <w:rFonts w:hint="default" w:eastAsia="宋体"/>
                      <w:color w:val="auto"/>
                      <w:sz w:val="18"/>
                      <w:szCs w:val="18"/>
                      <w:lang w:val="en-US" w:eastAsia="zh-CN"/>
                    </w:rPr>
                  </w:pPr>
                  <w:r>
                    <w:rPr>
                      <w:rFonts w:hint="eastAsia"/>
                      <w:color w:val="auto"/>
                      <w:sz w:val="18"/>
                      <w:szCs w:val="18"/>
                      <w:lang w:val="en-US" w:eastAsia="zh-CN"/>
                    </w:rPr>
                    <w:t>51.2</w:t>
                  </w:r>
                </w:p>
              </w:tc>
              <w:tc>
                <w:tcPr>
                  <w:tcW w:w="1283" w:type="pct"/>
                  <w:tcBorders>
                    <w:top w:val="single" w:color="auto" w:sz="4" w:space="0"/>
                    <w:left w:val="single" w:color="auto" w:sz="4" w:space="0"/>
                    <w:bottom w:val="single" w:color="auto" w:sz="4" w:space="0"/>
                    <w:right w:val="single" w:color="auto" w:sz="4" w:space="0"/>
                  </w:tcBorders>
                  <w:noWrap w:val="0"/>
                  <w:vAlign w:val="top"/>
                </w:tcPr>
                <w:p w14:paraId="2F1968D5">
                  <w:pPr>
                    <w:jc w:val="center"/>
                    <w:rPr>
                      <w:color w:val="auto"/>
                      <w:sz w:val="18"/>
                      <w:szCs w:val="18"/>
                    </w:rPr>
                  </w:pPr>
                  <w:r>
                    <w:rPr>
                      <w:color w:val="auto"/>
                      <w:sz w:val="18"/>
                      <w:szCs w:val="18"/>
                    </w:rPr>
                    <w:t>昼间65</w:t>
                  </w:r>
                  <w:r>
                    <w:rPr>
                      <w:rFonts w:hint="eastAsia"/>
                      <w:color w:val="auto"/>
                      <w:sz w:val="18"/>
                      <w:szCs w:val="18"/>
                    </w:rPr>
                    <w:t>、夜间55</w:t>
                  </w:r>
                </w:p>
              </w:tc>
            </w:tr>
          </w:tbl>
          <w:p w14:paraId="7A1B17FF">
            <w:pPr>
              <w:pStyle w:val="84"/>
              <w:rPr>
                <w:color w:val="auto"/>
                <w:lang w:val="en-US" w:eastAsia="zh-CN"/>
              </w:rPr>
            </w:pPr>
            <w:r>
              <w:rPr>
                <w:color w:val="auto"/>
                <w:lang w:val="en-US" w:eastAsia="zh-CN"/>
              </w:rPr>
              <w:t>由预测结果可知，</w:t>
            </w:r>
            <w:r>
              <w:rPr>
                <w:rFonts w:hint="eastAsia"/>
                <w:color w:val="auto"/>
                <w:lang w:val="en-US" w:eastAsia="zh-CN"/>
              </w:rPr>
              <w:t>本次技改扩建工程</w:t>
            </w:r>
            <w:r>
              <w:rPr>
                <w:color w:val="auto"/>
                <w:lang w:val="en-US" w:eastAsia="zh-CN"/>
              </w:rPr>
              <w:t>噪声经隔声、基础减震等控制措施并经过空间扩散衰减后，</w:t>
            </w:r>
            <w:r>
              <w:rPr>
                <w:rFonts w:hint="eastAsia"/>
                <w:color w:val="auto"/>
                <w:lang w:val="en-US" w:eastAsia="zh-CN"/>
              </w:rPr>
              <w:t>东、西、南、北厂界贡献值</w:t>
            </w:r>
            <w:r>
              <w:rPr>
                <w:color w:val="auto"/>
                <w:lang w:val="en-US" w:eastAsia="zh-CN"/>
              </w:rPr>
              <w:t>可满足《工业企业厂界环境噪声排放标准》（GB12348-2008）</w:t>
            </w:r>
            <w:r>
              <w:rPr>
                <w:rFonts w:hint="eastAsia"/>
                <w:color w:val="auto"/>
                <w:lang w:val="en-US" w:eastAsia="zh-CN"/>
              </w:rPr>
              <w:t>3类</w:t>
            </w:r>
            <w:r>
              <w:rPr>
                <w:color w:val="auto"/>
                <w:lang w:val="en-US" w:eastAsia="zh-CN"/>
              </w:rPr>
              <w:t>标准限值要求</w:t>
            </w:r>
            <w:r>
              <w:rPr>
                <w:rFonts w:hint="eastAsia"/>
                <w:color w:val="auto"/>
                <w:lang w:val="en-US" w:eastAsia="zh-CN"/>
              </w:rPr>
              <w:t>。</w:t>
            </w:r>
            <w:r>
              <w:rPr>
                <w:color w:val="auto"/>
                <w:lang w:val="en-US" w:eastAsia="zh-CN"/>
              </w:rPr>
              <w:t>经采取以上降噪措施后，本项目噪声对外环境的影响可得到有效控制，对周围声环境影响在可接受范围内。</w:t>
            </w:r>
          </w:p>
          <w:p w14:paraId="1619D125">
            <w:pPr>
              <w:pStyle w:val="84"/>
              <w:rPr>
                <w:color w:val="auto"/>
                <w:lang w:val="en-US" w:eastAsia="zh-CN"/>
              </w:rPr>
            </w:pPr>
            <w:r>
              <w:rPr>
                <w:rFonts w:hint="eastAsia"/>
                <w:color w:val="auto"/>
                <w:lang w:val="en-US" w:eastAsia="zh-CN"/>
              </w:rPr>
              <w:t>（3）噪声级声环境质量监测计划</w:t>
            </w:r>
          </w:p>
          <w:p w14:paraId="240150C7">
            <w:pPr>
              <w:pStyle w:val="84"/>
              <w:rPr>
                <w:color w:val="auto"/>
                <w:lang w:val="en-US" w:eastAsia="zh-CN"/>
              </w:rPr>
            </w:pPr>
            <w:r>
              <w:rPr>
                <w:rFonts w:hint="eastAsia"/>
                <w:color w:val="auto"/>
                <w:lang w:val="en-US" w:eastAsia="zh-CN"/>
              </w:rPr>
              <w:t>根据《排污单位自行监测技术指南</w:t>
            </w:r>
            <w:r>
              <w:rPr>
                <w:color w:val="auto"/>
                <w:lang w:val="en-US" w:eastAsia="zh-CN"/>
              </w:rPr>
              <w:t xml:space="preserve"> </w:t>
            </w:r>
            <w:r>
              <w:rPr>
                <w:rFonts w:hint="eastAsia"/>
                <w:color w:val="auto"/>
                <w:lang w:val="en-US" w:eastAsia="zh-CN"/>
              </w:rPr>
              <w:t>总则》（</w:t>
            </w:r>
            <w:r>
              <w:rPr>
                <w:color w:val="auto"/>
                <w:lang w:val="en-US" w:eastAsia="zh-CN"/>
              </w:rPr>
              <w:t>HJ819-2017</w:t>
            </w:r>
            <w:r>
              <w:rPr>
                <w:rFonts w:hint="eastAsia"/>
                <w:color w:val="auto"/>
                <w:lang w:val="en-US" w:eastAsia="zh-CN"/>
              </w:rPr>
              <w:t>）、《排污许可证申请与核发技术规范 工业噪声》（HJ1301—2023），对厂界噪声监测情况入下：</w:t>
            </w:r>
          </w:p>
          <w:p w14:paraId="04E9467A">
            <w:pPr>
              <w:pStyle w:val="86"/>
              <w:rPr>
                <w:color w:val="auto"/>
              </w:rPr>
            </w:pPr>
            <w:r>
              <w:rPr>
                <w:rFonts w:hint="eastAsia"/>
                <w:color w:val="auto"/>
              </w:rPr>
              <w:t>表4-1</w:t>
            </w:r>
            <w:r>
              <w:rPr>
                <w:color w:val="auto"/>
              </w:rPr>
              <w:t xml:space="preserve">4 </w:t>
            </w:r>
            <w:r>
              <w:rPr>
                <w:rFonts w:hint="eastAsia"/>
                <w:color w:val="auto"/>
              </w:rPr>
              <w:t xml:space="preserve">  噪声监测计划一览表</w:t>
            </w:r>
          </w:p>
          <w:tbl>
            <w:tblPr>
              <w:tblStyle w:val="35"/>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03"/>
              <w:gridCol w:w="1723"/>
              <w:gridCol w:w="1171"/>
              <w:gridCol w:w="897"/>
              <w:gridCol w:w="995"/>
              <w:gridCol w:w="2718"/>
            </w:tblGrid>
            <w:tr w14:paraId="6DFF6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72" w:type="pct"/>
                  <w:noWrap w:val="0"/>
                  <w:vAlign w:val="center"/>
                </w:tcPr>
                <w:p w14:paraId="7124ADAE">
                  <w:pPr>
                    <w:pStyle w:val="73"/>
                    <w:ind w:left="0" w:leftChars="0" w:firstLine="0" w:firstLineChars="0"/>
                    <w:jc w:val="center"/>
                    <w:rPr>
                      <w:b/>
                      <w:bCs/>
                      <w:color w:val="auto"/>
                      <w:sz w:val="18"/>
                      <w:szCs w:val="16"/>
                      <w:lang w:val="en-US" w:eastAsia="zh-CN"/>
                    </w:rPr>
                  </w:pPr>
                  <w:r>
                    <w:rPr>
                      <w:b/>
                      <w:bCs/>
                      <w:color w:val="auto"/>
                      <w:sz w:val="18"/>
                      <w:szCs w:val="16"/>
                      <w:lang w:val="en-US" w:eastAsia="zh-CN"/>
                    </w:rPr>
                    <w:t>序号</w:t>
                  </w:r>
                </w:p>
              </w:tc>
              <w:tc>
                <w:tcPr>
                  <w:tcW w:w="1062" w:type="pct"/>
                  <w:noWrap w:val="0"/>
                  <w:vAlign w:val="center"/>
                </w:tcPr>
                <w:p w14:paraId="31815AC4">
                  <w:pPr>
                    <w:pStyle w:val="73"/>
                    <w:ind w:left="0" w:leftChars="0" w:firstLine="0" w:firstLineChars="0"/>
                    <w:jc w:val="center"/>
                    <w:rPr>
                      <w:b/>
                      <w:bCs/>
                      <w:color w:val="auto"/>
                      <w:sz w:val="18"/>
                      <w:szCs w:val="16"/>
                      <w:lang w:val="en-US" w:eastAsia="zh-CN"/>
                    </w:rPr>
                  </w:pPr>
                  <w:r>
                    <w:rPr>
                      <w:b/>
                      <w:bCs/>
                      <w:color w:val="auto"/>
                      <w:sz w:val="18"/>
                      <w:szCs w:val="16"/>
                      <w:lang w:val="en-US" w:eastAsia="zh-CN"/>
                    </w:rPr>
                    <w:t>监测点位</w:t>
                  </w:r>
                </w:p>
              </w:tc>
              <w:tc>
                <w:tcPr>
                  <w:tcW w:w="722" w:type="pct"/>
                  <w:noWrap w:val="0"/>
                  <w:vAlign w:val="center"/>
                </w:tcPr>
                <w:p w14:paraId="3BADEDE8">
                  <w:pPr>
                    <w:pStyle w:val="73"/>
                    <w:ind w:left="0" w:leftChars="0" w:firstLine="0" w:firstLineChars="0"/>
                    <w:jc w:val="center"/>
                    <w:rPr>
                      <w:b/>
                      <w:bCs/>
                      <w:color w:val="auto"/>
                      <w:sz w:val="18"/>
                      <w:szCs w:val="16"/>
                      <w:lang w:val="en-US" w:eastAsia="zh-CN"/>
                    </w:rPr>
                  </w:pPr>
                  <w:r>
                    <w:rPr>
                      <w:b/>
                      <w:bCs/>
                      <w:color w:val="auto"/>
                      <w:sz w:val="18"/>
                      <w:szCs w:val="16"/>
                      <w:lang w:val="en-US" w:eastAsia="zh-CN"/>
                    </w:rPr>
                    <w:t>监测项目</w:t>
                  </w:r>
                </w:p>
              </w:tc>
              <w:tc>
                <w:tcPr>
                  <w:tcW w:w="553" w:type="pct"/>
                  <w:noWrap w:val="0"/>
                  <w:vAlign w:val="center"/>
                </w:tcPr>
                <w:p w14:paraId="7DAE9A0D">
                  <w:pPr>
                    <w:pStyle w:val="73"/>
                    <w:ind w:left="0" w:leftChars="0" w:firstLine="0" w:firstLineChars="0"/>
                    <w:jc w:val="center"/>
                    <w:rPr>
                      <w:b/>
                      <w:bCs/>
                      <w:color w:val="auto"/>
                      <w:sz w:val="18"/>
                      <w:szCs w:val="16"/>
                      <w:lang w:val="en-US" w:eastAsia="zh-CN"/>
                    </w:rPr>
                  </w:pPr>
                  <w:r>
                    <w:rPr>
                      <w:b/>
                      <w:bCs/>
                      <w:color w:val="auto"/>
                      <w:sz w:val="18"/>
                      <w:szCs w:val="16"/>
                      <w:lang w:val="en-US" w:eastAsia="zh-CN"/>
                    </w:rPr>
                    <w:t>频率</w:t>
                  </w:r>
                </w:p>
              </w:tc>
              <w:tc>
                <w:tcPr>
                  <w:tcW w:w="613" w:type="pct"/>
                  <w:tcBorders>
                    <w:bottom w:val="single" w:color="auto" w:sz="4" w:space="0"/>
                  </w:tcBorders>
                  <w:noWrap w:val="0"/>
                  <w:vAlign w:val="center"/>
                </w:tcPr>
                <w:p w14:paraId="1CD1F752">
                  <w:pPr>
                    <w:pStyle w:val="73"/>
                    <w:ind w:left="0" w:leftChars="0" w:firstLine="0" w:firstLineChars="0"/>
                    <w:jc w:val="center"/>
                    <w:rPr>
                      <w:b/>
                      <w:bCs/>
                      <w:color w:val="auto"/>
                      <w:sz w:val="18"/>
                      <w:szCs w:val="16"/>
                      <w:lang w:val="en-US" w:eastAsia="zh-CN"/>
                    </w:rPr>
                  </w:pPr>
                  <w:r>
                    <w:rPr>
                      <w:b/>
                      <w:bCs/>
                      <w:color w:val="auto"/>
                      <w:sz w:val="18"/>
                      <w:szCs w:val="16"/>
                      <w:lang w:val="en-US" w:eastAsia="zh-CN"/>
                    </w:rPr>
                    <w:t>实施单位</w:t>
                  </w:r>
                </w:p>
              </w:tc>
              <w:tc>
                <w:tcPr>
                  <w:tcW w:w="1675" w:type="pct"/>
                  <w:tcBorders>
                    <w:bottom w:val="single" w:color="auto" w:sz="4" w:space="0"/>
                  </w:tcBorders>
                  <w:noWrap w:val="0"/>
                  <w:vAlign w:val="center"/>
                </w:tcPr>
                <w:p w14:paraId="34D169EE">
                  <w:pPr>
                    <w:pStyle w:val="73"/>
                    <w:jc w:val="center"/>
                    <w:rPr>
                      <w:b/>
                      <w:bCs/>
                      <w:color w:val="auto"/>
                      <w:sz w:val="18"/>
                      <w:szCs w:val="16"/>
                      <w:lang w:val="en-US" w:eastAsia="zh-CN"/>
                    </w:rPr>
                  </w:pPr>
                  <w:r>
                    <w:rPr>
                      <w:b/>
                      <w:bCs/>
                      <w:color w:val="auto"/>
                      <w:sz w:val="18"/>
                      <w:szCs w:val="16"/>
                      <w:lang w:val="en-US" w:eastAsia="zh-CN"/>
                    </w:rPr>
                    <w:t>执行标准</w:t>
                  </w:r>
                </w:p>
              </w:tc>
            </w:tr>
            <w:tr w14:paraId="6F02A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72" w:type="pct"/>
                  <w:noWrap w:val="0"/>
                  <w:vAlign w:val="center"/>
                </w:tcPr>
                <w:p w14:paraId="54F6F98C">
                  <w:pPr>
                    <w:pStyle w:val="73"/>
                    <w:ind w:left="0" w:leftChars="0" w:firstLine="0" w:firstLineChars="0"/>
                    <w:jc w:val="center"/>
                    <w:rPr>
                      <w:bCs/>
                      <w:color w:val="auto"/>
                      <w:sz w:val="18"/>
                      <w:szCs w:val="16"/>
                      <w:lang w:val="en-US" w:eastAsia="zh-CN"/>
                    </w:rPr>
                  </w:pPr>
                  <w:r>
                    <w:rPr>
                      <w:rFonts w:hint="eastAsia"/>
                      <w:bCs/>
                      <w:color w:val="auto"/>
                      <w:sz w:val="18"/>
                      <w:szCs w:val="16"/>
                      <w:lang w:val="en-US" w:eastAsia="zh-CN"/>
                    </w:rPr>
                    <w:t>1</w:t>
                  </w:r>
                </w:p>
              </w:tc>
              <w:tc>
                <w:tcPr>
                  <w:tcW w:w="1062" w:type="pct"/>
                  <w:noWrap w:val="0"/>
                  <w:vAlign w:val="center"/>
                </w:tcPr>
                <w:p w14:paraId="0B9E1536">
                  <w:pPr>
                    <w:pStyle w:val="73"/>
                    <w:ind w:left="0" w:leftChars="0" w:firstLine="0" w:firstLineChars="0"/>
                    <w:jc w:val="both"/>
                    <w:rPr>
                      <w:rStyle w:val="42"/>
                      <w:color w:val="auto"/>
                      <w:sz w:val="18"/>
                      <w:szCs w:val="16"/>
                      <w:lang w:val="en-US" w:eastAsia="zh-CN"/>
                    </w:rPr>
                  </w:pPr>
                  <w:r>
                    <w:rPr>
                      <w:rStyle w:val="42"/>
                      <w:color w:val="auto"/>
                      <w:sz w:val="18"/>
                      <w:szCs w:val="16"/>
                      <w:lang w:val="en-US" w:eastAsia="zh-CN"/>
                    </w:rPr>
                    <w:t>项目四周，东南西北各一个监测点</w:t>
                  </w:r>
                </w:p>
              </w:tc>
              <w:tc>
                <w:tcPr>
                  <w:tcW w:w="722" w:type="pct"/>
                  <w:noWrap w:val="0"/>
                  <w:vAlign w:val="center"/>
                </w:tcPr>
                <w:p w14:paraId="78C8C393">
                  <w:pPr>
                    <w:pStyle w:val="73"/>
                    <w:ind w:left="0" w:leftChars="0" w:firstLine="0" w:firstLineChars="0"/>
                    <w:jc w:val="both"/>
                    <w:rPr>
                      <w:bCs/>
                      <w:color w:val="auto"/>
                      <w:sz w:val="18"/>
                      <w:szCs w:val="16"/>
                      <w:lang w:val="en-US" w:eastAsia="zh-CN"/>
                    </w:rPr>
                  </w:pPr>
                  <w:r>
                    <w:rPr>
                      <w:rFonts w:hint="eastAsia"/>
                      <w:bCs/>
                      <w:color w:val="auto"/>
                      <w:sz w:val="18"/>
                      <w:szCs w:val="16"/>
                      <w:lang w:val="en-US" w:eastAsia="zh-CN"/>
                    </w:rPr>
                    <w:t>昼夜间厂界</w:t>
                  </w:r>
                  <w:r>
                    <w:rPr>
                      <w:bCs/>
                      <w:color w:val="auto"/>
                      <w:sz w:val="18"/>
                      <w:szCs w:val="16"/>
                      <w:lang w:val="en-US" w:eastAsia="zh-CN"/>
                    </w:rPr>
                    <w:t>噪声</w:t>
                  </w:r>
                </w:p>
              </w:tc>
              <w:tc>
                <w:tcPr>
                  <w:tcW w:w="553" w:type="pct"/>
                  <w:noWrap w:val="0"/>
                  <w:vAlign w:val="center"/>
                </w:tcPr>
                <w:p w14:paraId="0A3AC482">
                  <w:pPr>
                    <w:pStyle w:val="73"/>
                    <w:ind w:left="0" w:leftChars="0" w:firstLine="0" w:firstLineChars="0"/>
                    <w:jc w:val="both"/>
                    <w:rPr>
                      <w:rFonts w:hint="eastAsia"/>
                      <w:bCs/>
                      <w:color w:val="auto"/>
                      <w:sz w:val="18"/>
                      <w:szCs w:val="16"/>
                      <w:lang w:val="en-US" w:eastAsia="zh-CN"/>
                    </w:rPr>
                  </w:pPr>
                  <w:r>
                    <w:rPr>
                      <w:bCs/>
                      <w:color w:val="auto"/>
                      <w:sz w:val="18"/>
                      <w:szCs w:val="16"/>
                      <w:lang w:val="en-US" w:eastAsia="zh-CN"/>
                    </w:rPr>
                    <w:t>1次</w:t>
                  </w:r>
                  <w:r>
                    <w:rPr>
                      <w:rFonts w:hint="eastAsia"/>
                      <w:bCs/>
                      <w:color w:val="auto"/>
                      <w:sz w:val="18"/>
                      <w:szCs w:val="16"/>
                      <w:lang w:val="en-US" w:eastAsia="zh-CN"/>
                    </w:rPr>
                    <w:t>/季</w:t>
                  </w:r>
                </w:p>
              </w:tc>
              <w:tc>
                <w:tcPr>
                  <w:tcW w:w="613" w:type="pct"/>
                  <w:noWrap w:val="0"/>
                  <w:vAlign w:val="center"/>
                </w:tcPr>
                <w:p w14:paraId="32842BDD">
                  <w:pPr>
                    <w:pStyle w:val="73"/>
                    <w:ind w:left="0" w:leftChars="0" w:firstLine="0" w:firstLineChars="0"/>
                    <w:jc w:val="both"/>
                    <w:rPr>
                      <w:bCs/>
                      <w:color w:val="auto"/>
                      <w:sz w:val="18"/>
                      <w:szCs w:val="16"/>
                      <w:lang w:val="en-US" w:eastAsia="zh-CN"/>
                    </w:rPr>
                  </w:pPr>
                  <w:r>
                    <w:rPr>
                      <w:bCs/>
                      <w:color w:val="auto"/>
                      <w:sz w:val="18"/>
                      <w:szCs w:val="16"/>
                      <w:lang w:val="en-US" w:eastAsia="zh-CN"/>
                    </w:rPr>
                    <w:t>有资质的监测单位</w:t>
                  </w:r>
                </w:p>
              </w:tc>
              <w:tc>
                <w:tcPr>
                  <w:tcW w:w="1675" w:type="pct"/>
                  <w:noWrap w:val="0"/>
                  <w:vAlign w:val="center"/>
                </w:tcPr>
                <w:p w14:paraId="023A8CAD">
                  <w:pPr>
                    <w:pStyle w:val="73"/>
                    <w:ind w:left="0" w:leftChars="0" w:firstLine="0" w:firstLineChars="0"/>
                    <w:jc w:val="both"/>
                    <w:rPr>
                      <w:bCs/>
                      <w:color w:val="auto"/>
                      <w:sz w:val="18"/>
                      <w:szCs w:val="16"/>
                      <w:lang w:val="en-US" w:eastAsia="zh-CN"/>
                    </w:rPr>
                  </w:pPr>
                  <w:r>
                    <w:rPr>
                      <w:color w:val="auto"/>
                      <w:sz w:val="18"/>
                      <w:szCs w:val="16"/>
                      <w:lang w:val="en-US" w:eastAsia="zh-CN"/>
                    </w:rPr>
                    <w:t>《工业企业厂界环境噪声排放标准》（GB12348-2008）</w:t>
                  </w:r>
                  <w:r>
                    <w:rPr>
                      <w:rFonts w:hint="eastAsia"/>
                      <w:color w:val="auto"/>
                      <w:sz w:val="18"/>
                      <w:szCs w:val="16"/>
                      <w:lang w:val="en-US" w:eastAsia="zh-CN"/>
                    </w:rPr>
                    <w:t>3类</w:t>
                  </w:r>
                  <w:r>
                    <w:rPr>
                      <w:color w:val="auto"/>
                      <w:sz w:val="18"/>
                      <w:szCs w:val="16"/>
                      <w:lang w:val="en-US" w:eastAsia="zh-CN"/>
                    </w:rPr>
                    <w:t>标准要求</w:t>
                  </w:r>
                </w:p>
              </w:tc>
            </w:tr>
          </w:tbl>
          <w:p w14:paraId="3CFAF373">
            <w:pPr>
              <w:pStyle w:val="84"/>
              <w:ind w:firstLine="422"/>
              <w:rPr>
                <w:rFonts w:hint="eastAsia"/>
                <w:b/>
                <w:bCs w:val="0"/>
                <w:color w:val="auto"/>
                <w:lang w:val="en-US" w:eastAsia="zh-CN"/>
              </w:rPr>
            </w:pPr>
            <w:r>
              <w:rPr>
                <w:b/>
                <w:bCs w:val="0"/>
                <w:color w:val="auto"/>
                <w:lang w:val="en-US" w:eastAsia="zh-CN"/>
              </w:rPr>
              <w:t>4</w:t>
            </w:r>
            <w:r>
              <w:rPr>
                <w:rFonts w:hint="eastAsia"/>
                <w:b/>
                <w:bCs w:val="0"/>
                <w:color w:val="auto"/>
                <w:lang w:val="en-US" w:eastAsia="zh-CN"/>
              </w:rPr>
              <w:t>、固废</w:t>
            </w:r>
          </w:p>
          <w:p w14:paraId="4210CCBA">
            <w:pPr>
              <w:pStyle w:val="84"/>
              <w:ind w:firstLine="422"/>
              <w:rPr>
                <w:b/>
                <w:bCs w:val="0"/>
                <w:color w:val="auto"/>
                <w:lang w:val="en-US" w:eastAsia="zh-CN"/>
              </w:rPr>
            </w:pPr>
            <w:r>
              <w:rPr>
                <w:rFonts w:hint="eastAsia"/>
                <w:b/>
                <w:bCs w:val="0"/>
                <w:color w:val="auto"/>
                <w:lang w:val="en-US" w:eastAsia="zh-CN"/>
              </w:rPr>
              <w:t>（1）一般固废产生及处置情况</w:t>
            </w:r>
          </w:p>
          <w:p w14:paraId="79243C89">
            <w:pPr>
              <w:pStyle w:val="84"/>
              <w:rPr>
                <w:rFonts w:hint="eastAsia"/>
                <w:color w:val="auto"/>
                <w:lang w:val="en-US" w:eastAsia="zh-CN"/>
              </w:rPr>
            </w:pPr>
            <w:r>
              <w:rPr>
                <w:rFonts w:hint="eastAsia"/>
                <w:color w:val="auto"/>
                <w:lang w:val="en-US" w:eastAsia="zh-CN"/>
              </w:rPr>
              <w:t>本项目固废主要包括一般工业固体废物以及危险废物。</w:t>
            </w:r>
          </w:p>
          <w:p w14:paraId="1AB83829">
            <w:pPr>
              <w:pStyle w:val="84"/>
              <w:rPr>
                <w:color w:val="auto"/>
                <w:lang w:val="en-US" w:eastAsia="zh-CN"/>
              </w:rPr>
            </w:pPr>
            <w:r>
              <w:rPr>
                <w:rFonts w:hint="eastAsia"/>
                <w:color w:val="auto"/>
                <w:lang w:val="en-US" w:eastAsia="zh-CN"/>
              </w:rPr>
              <w:t>本项目</w:t>
            </w:r>
            <w:r>
              <w:rPr>
                <w:color w:val="auto"/>
                <w:lang w:val="en-US" w:eastAsia="zh-CN"/>
              </w:rPr>
              <w:t>主要</w:t>
            </w:r>
            <w:r>
              <w:rPr>
                <w:rFonts w:hint="eastAsia"/>
                <w:color w:val="auto"/>
                <w:lang w:val="en-US" w:eastAsia="zh-CN"/>
              </w:rPr>
              <w:t>一般固体废物包括检验过程产生不合格品、布袋收集粉尘、原料使用包装袋以及生活垃圾。危险废物包括废机油、废油桶及废催化剂。</w:t>
            </w:r>
          </w:p>
          <w:p w14:paraId="59541B2A">
            <w:pPr>
              <w:pStyle w:val="84"/>
              <w:rPr>
                <w:color w:val="auto"/>
                <w:lang w:val="en-US" w:eastAsia="zh-CN"/>
              </w:rPr>
            </w:pPr>
            <w:r>
              <w:rPr>
                <w:rFonts w:hint="eastAsia"/>
                <w:color w:val="auto"/>
                <w:lang w:val="en-US" w:eastAsia="zh-CN"/>
              </w:rPr>
              <w:t>（</w:t>
            </w:r>
            <w:r>
              <w:rPr>
                <w:color w:val="auto"/>
                <w:lang w:val="en-US" w:eastAsia="zh-CN"/>
              </w:rPr>
              <w:t>1</w:t>
            </w:r>
            <w:r>
              <w:rPr>
                <w:rFonts w:hint="eastAsia"/>
                <w:color w:val="auto"/>
                <w:lang w:val="en-US" w:eastAsia="zh-CN"/>
              </w:rPr>
              <w:t>）一般工业固体废物、生活垃圾</w:t>
            </w:r>
          </w:p>
          <w:p w14:paraId="0CD5AEBE">
            <w:pPr>
              <w:pStyle w:val="84"/>
              <w:ind w:firstLineChars="0"/>
              <w:rPr>
                <w:rFonts w:hint="default" w:ascii="Times New Roman" w:hAnsi="Times New Roman" w:cs="Times New Roman"/>
                <w:color w:val="auto"/>
                <w:lang w:val="en-US" w:eastAsia="zh-CN"/>
              </w:rPr>
            </w:pPr>
            <w:r>
              <w:rPr>
                <w:rFonts w:hint="default" w:ascii="Times New Roman" w:hAnsi="Times New Roman" w:cs="Times New Roman"/>
                <w:bCs w:val="0"/>
                <w:color w:val="auto"/>
                <w:lang w:val="en-US" w:eastAsia="zh-CN"/>
              </w:rPr>
              <w:t>①不</w:t>
            </w:r>
            <w:r>
              <w:rPr>
                <w:rFonts w:hint="default" w:ascii="Times New Roman" w:hAnsi="Times New Roman" w:cs="Times New Roman"/>
                <w:color w:val="auto"/>
                <w:lang w:val="en-US" w:eastAsia="zh-CN"/>
              </w:rPr>
              <w:t>合格品：根据业主提供资料，不合格品年产生</w:t>
            </w:r>
            <w:r>
              <w:rPr>
                <w:rFonts w:hint="eastAsia" w:ascii="Times New Roman" w:hAnsi="Times New Roman" w:cs="Times New Roman"/>
                <w:color w:val="auto"/>
                <w:lang w:val="en-US" w:eastAsia="zh-CN"/>
              </w:rPr>
              <w:t>2750</w:t>
            </w:r>
            <w:r>
              <w:rPr>
                <w:rFonts w:hint="default" w:ascii="Times New Roman" w:hAnsi="Times New Roman" w:cs="Times New Roman"/>
                <w:color w:val="auto"/>
                <w:lang w:val="en-US" w:eastAsia="zh-CN"/>
              </w:rPr>
              <w:t>t，收集后破碎作为原料使用；</w:t>
            </w:r>
          </w:p>
          <w:p w14:paraId="0CEFA7DC">
            <w:pPr>
              <w:pStyle w:val="84"/>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②生活垃圾：全厂劳动定员不变为128人，生活垃圾产生量按0.5kg/人·d计，年工作330天，则全厂生活垃圾产生量约为21.12t。</w:t>
            </w:r>
          </w:p>
          <w:p w14:paraId="4A813DDF">
            <w:pPr>
              <w:pStyle w:val="84"/>
              <w:numPr>
                <w:ilvl w:val="0"/>
                <w:numId w:val="0"/>
              </w:numPr>
              <w:ind w:left="0" w:leftChars="0" w:firstLine="420" w:firstLineChars="200"/>
              <w:rPr>
                <w:rFonts w:hint="default" w:ascii="Times New Roman" w:hAnsi="Times New Roman" w:cs="Times New Roman"/>
                <w:bCs w:val="0"/>
                <w:color w:val="auto"/>
                <w:lang w:val="en-US" w:eastAsia="zh-CN"/>
              </w:rPr>
            </w:pPr>
            <w:r>
              <w:rPr>
                <w:rFonts w:hint="default" w:ascii="Times New Roman" w:hAnsi="Times New Roman" w:cs="Times New Roman"/>
                <w:bCs w:val="0"/>
                <w:color w:val="auto"/>
                <w:kern w:val="2"/>
                <w:sz w:val="21"/>
                <w:szCs w:val="21"/>
                <w:lang w:val="en-US" w:eastAsia="zh-CN" w:bidi="ar-SA"/>
              </w:rPr>
              <w:t>③布袋收集粉尘：根据工程分析，</w:t>
            </w:r>
            <w:r>
              <w:rPr>
                <w:rFonts w:hint="eastAsia" w:ascii="Times New Roman" w:hAnsi="Times New Roman" w:cs="Times New Roman"/>
                <w:bCs w:val="0"/>
                <w:color w:val="auto"/>
                <w:kern w:val="2"/>
                <w:sz w:val="21"/>
                <w:szCs w:val="21"/>
                <w:lang w:val="en-US" w:eastAsia="zh-CN" w:bidi="ar-SA"/>
              </w:rPr>
              <w:t>投料、混料</w:t>
            </w:r>
            <w:r>
              <w:rPr>
                <w:rFonts w:hint="default" w:ascii="Times New Roman" w:hAnsi="Times New Roman" w:cs="Times New Roman"/>
                <w:bCs w:val="0"/>
                <w:color w:val="auto"/>
                <w:kern w:val="2"/>
                <w:sz w:val="21"/>
                <w:szCs w:val="21"/>
                <w:lang w:val="en-US" w:eastAsia="zh-CN" w:bidi="ar-SA"/>
              </w:rPr>
              <w:t>布袋收集粉尘量为16.73t/a，</w:t>
            </w:r>
            <w:r>
              <w:rPr>
                <w:rFonts w:hint="default" w:ascii="Times New Roman" w:hAnsi="Times New Roman" w:cs="Times New Roman"/>
                <w:bCs w:val="0"/>
                <w:color w:val="auto"/>
                <w:lang w:val="en-US" w:eastAsia="zh-CN"/>
              </w:rPr>
              <w:t>收集后</w:t>
            </w:r>
            <w:r>
              <w:rPr>
                <w:rFonts w:hint="default" w:ascii="Times New Roman" w:hAnsi="Times New Roman" w:cs="Times New Roman"/>
                <w:bCs w:val="0"/>
                <w:color w:val="auto"/>
                <w:lang w:val="en-US" w:eastAsia="zh-CN"/>
              </w:rPr>
              <w:t>回用于配料工序</w:t>
            </w:r>
            <w:r>
              <w:rPr>
                <w:rFonts w:hint="default" w:ascii="Times New Roman" w:hAnsi="Times New Roman" w:cs="Times New Roman"/>
                <w:bCs w:val="0"/>
                <w:color w:val="auto"/>
                <w:lang w:val="en-US" w:eastAsia="zh-CN"/>
              </w:rPr>
              <w:t>。</w:t>
            </w:r>
            <w:r>
              <w:rPr>
                <w:rFonts w:hint="eastAsia" w:ascii="Times New Roman" w:hAnsi="Times New Roman" w:cs="Times New Roman"/>
                <w:bCs w:val="0"/>
                <w:color w:val="auto"/>
                <w:lang w:val="en-US" w:eastAsia="zh-CN"/>
              </w:rPr>
              <w:t>熔窑烟气除湿投加氢氧化钙除湿，粉料经脉冲袋式除尘器收集，产生量约为100t/a，收集后暂存，用于配料工序。</w:t>
            </w:r>
          </w:p>
          <w:p w14:paraId="6A2CC439">
            <w:pPr>
              <w:pStyle w:val="84"/>
              <w:numPr>
                <w:ilvl w:val="0"/>
                <w:numId w:val="0"/>
              </w:numPr>
              <w:ind w:left="0" w:leftChars="0" w:firstLine="420" w:firstLineChars="200"/>
              <w:rPr>
                <w:rFonts w:hint="default" w:ascii="Times New Roman" w:hAnsi="Times New Roman" w:cs="Times New Roman"/>
                <w:bCs w:val="0"/>
                <w:color w:val="auto"/>
                <w:lang w:val="en-US" w:eastAsia="zh-CN"/>
              </w:rPr>
            </w:pPr>
            <w:r>
              <w:rPr>
                <w:rFonts w:hint="default" w:ascii="Times New Roman" w:hAnsi="Times New Roman" w:cs="Times New Roman"/>
                <w:bCs w:val="0"/>
                <w:color w:val="auto"/>
                <w:kern w:val="2"/>
                <w:sz w:val="21"/>
                <w:szCs w:val="21"/>
                <w:lang w:val="en-US" w:eastAsia="zh-CN" w:bidi="ar-SA"/>
              </w:rPr>
              <w:t>④废包装袋：本项目原料使用环节产生包装袋，根据企业实际生产经验，原料包装袋年产生量为约为0.5t/a，收集后外售。</w:t>
            </w:r>
          </w:p>
          <w:p w14:paraId="47A2D897">
            <w:pPr>
              <w:pStyle w:val="86"/>
              <w:ind w:left="422"/>
              <w:rPr>
                <w:color w:val="auto"/>
              </w:rPr>
            </w:pPr>
            <w:r>
              <w:rPr>
                <w:rFonts w:hint="eastAsia"/>
                <w:color w:val="auto"/>
              </w:rPr>
              <w:t>表</w:t>
            </w:r>
            <w:r>
              <w:rPr>
                <w:color w:val="auto"/>
              </w:rPr>
              <w:t>4</w:t>
            </w:r>
            <w:r>
              <w:rPr>
                <w:rFonts w:hint="eastAsia"/>
                <w:color w:val="auto"/>
              </w:rPr>
              <w:t>-</w:t>
            </w:r>
            <w:r>
              <w:rPr>
                <w:color w:val="auto"/>
              </w:rPr>
              <w:t xml:space="preserve">15  </w:t>
            </w:r>
            <w:r>
              <w:rPr>
                <w:rFonts w:hint="eastAsia"/>
                <w:color w:val="auto"/>
              </w:rPr>
              <w:t>项目一般工业固</w:t>
            </w:r>
            <w:r>
              <w:rPr>
                <w:rFonts w:hint="eastAsia"/>
                <w:color w:val="auto"/>
                <w:lang w:val="en-US" w:eastAsia="zh-CN"/>
              </w:rPr>
              <w:t>废</w:t>
            </w:r>
            <w:r>
              <w:rPr>
                <w:rFonts w:hint="eastAsia"/>
                <w:color w:val="auto"/>
              </w:rPr>
              <w:t xml:space="preserve">、生活垃圾产生及处理处置措施 </w:t>
            </w:r>
          </w:p>
          <w:tbl>
            <w:tblPr>
              <w:tblStyle w:val="35"/>
              <w:tblW w:w="48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282"/>
              <w:gridCol w:w="1161"/>
              <w:gridCol w:w="1196"/>
              <w:gridCol w:w="1172"/>
              <w:gridCol w:w="1043"/>
              <w:gridCol w:w="1368"/>
            </w:tblGrid>
            <w:tr w14:paraId="1AFF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79" w:type="pct"/>
                  <w:noWrap w:val="0"/>
                  <w:vAlign w:val="center"/>
                </w:tcPr>
                <w:p w14:paraId="10D8F096">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序号</w:t>
                  </w:r>
                </w:p>
              </w:tc>
              <w:tc>
                <w:tcPr>
                  <w:tcW w:w="820" w:type="pct"/>
                  <w:noWrap w:val="0"/>
                  <w:vAlign w:val="center"/>
                </w:tcPr>
                <w:p w14:paraId="794F706F">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废物名称</w:t>
                  </w:r>
                </w:p>
              </w:tc>
              <w:tc>
                <w:tcPr>
                  <w:tcW w:w="743" w:type="pct"/>
                  <w:noWrap w:val="0"/>
                  <w:vAlign w:val="center"/>
                </w:tcPr>
                <w:p w14:paraId="320CB863">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主要成份</w:t>
                  </w:r>
                </w:p>
              </w:tc>
              <w:tc>
                <w:tcPr>
                  <w:tcW w:w="765" w:type="pct"/>
                  <w:noWrap w:val="0"/>
                  <w:vAlign w:val="center"/>
                </w:tcPr>
                <w:p w14:paraId="1F758C07">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来源</w:t>
                  </w:r>
                </w:p>
              </w:tc>
              <w:tc>
                <w:tcPr>
                  <w:tcW w:w="748" w:type="pct"/>
                  <w:noWrap w:val="0"/>
                  <w:vAlign w:val="center"/>
                </w:tcPr>
                <w:p w14:paraId="57986C53">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rFonts w:hint="eastAsia"/>
                      <w:b/>
                      <w:bCs/>
                      <w:color w:val="auto"/>
                      <w:sz w:val="18"/>
                      <w:szCs w:val="18"/>
                    </w:rPr>
                    <w:t>代码</w:t>
                  </w:r>
                </w:p>
              </w:tc>
              <w:tc>
                <w:tcPr>
                  <w:tcW w:w="667" w:type="pct"/>
                  <w:noWrap w:val="0"/>
                  <w:vAlign w:val="center"/>
                </w:tcPr>
                <w:p w14:paraId="6020AC1C">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产生量</w:t>
                  </w:r>
                </w:p>
              </w:tc>
              <w:tc>
                <w:tcPr>
                  <w:tcW w:w="875" w:type="pct"/>
                  <w:noWrap w:val="0"/>
                  <w:vAlign w:val="center"/>
                </w:tcPr>
                <w:p w14:paraId="4D3D9CB5">
                  <w:pPr>
                    <w:keepNext w:val="0"/>
                    <w:keepLines w:val="0"/>
                    <w:pageBreakBefore w:val="0"/>
                    <w:widowControl/>
                    <w:kinsoku/>
                    <w:wordWrap/>
                    <w:overflowPunct/>
                    <w:topLinePunct w:val="0"/>
                    <w:autoSpaceDE/>
                    <w:autoSpaceDN/>
                    <w:bidi w:val="0"/>
                    <w:adjustRightInd w:val="0"/>
                    <w:snapToGrid w:val="0"/>
                    <w:jc w:val="center"/>
                    <w:textAlignment w:val="auto"/>
                    <w:rPr>
                      <w:b/>
                      <w:bCs/>
                      <w:color w:val="auto"/>
                      <w:sz w:val="18"/>
                      <w:szCs w:val="18"/>
                    </w:rPr>
                  </w:pPr>
                  <w:r>
                    <w:rPr>
                      <w:b/>
                      <w:bCs/>
                      <w:color w:val="auto"/>
                      <w:sz w:val="18"/>
                      <w:szCs w:val="18"/>
                    </w:rPr>
                    <w:t>处置去向</w:t>
                  </w:r>
                </w:p>
              </w:tc>
            </w:tr>
            <w:tr w14:paraId="0711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79" w:type="pct"/>
                  <w:noWrap w:val="0"/>
                  <w:vAlign w:val="center"/>
                </w:tcPr>
                <w:p w14:paraId="00196ADB">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color w:val="auto"/>
                      <w:sz w:val="18"/>
                      <w:szCs w:val="18"/>
                    </w:rPr>
                    <w:t>1</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0A8B6193">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color w:val="auto"/>
                      <w:sz w:val="18"/>
                      <w:szCs w:val="18"/>
                    </w:rPr>
                    <w:t>不合格品</w:t>
                  </w:r>
                </w:p>
              </w:tc>
              <w:tc>
                <w:tcPr>
                  <w:tcW w:w="743" w:type="pct"/>
                  <w:noWrap w:val="0"/>
                  <w:vAlign w:val="center"/>
                </w:tcPr>
                <w:p w14:paraId="78922C19">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rFonts w:hint="eastAsia"/>
                      <w:color w:val="auto"/>
                      <w:sz w:val="18"/>
                      <w:szCs w:val="18"/>
                      <w:lang w:val="en-US" w:eastAsia="zh-CN"/>
                    </w:rPr>
                    <w:t>玻璃</w:t>
                  </w:r>
                </w:p>
              </w:tc>
              <w:tc>
                <w:tcPr>
                  <w:tcW w:w="765" w:type="pct"/>
                  <w:noWrap w:val="0"/>
                  <w:vAlign w:val="center"/>
                </w:tcPr>
                <w:p w14:paraId="4872D572">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color w:val="auto"/>
                      <w:sz w:val="18"/>
                      <w:szCs w:val="18"/>
                    </w:rPr>
                    <w:t>检验</w:t>
                  </w:r>
                </w:p>
              </w:tc>
              <w:tc>
                <w:tcPr>
                  <w:tcW w:w="748" w:type="pct"/>
                  <w:noWrap w:val="0"/>
                  <w:vAlign w:val="center"/>
                </w:tcPr>
                <w:p w14:paraId="2BF82BB0">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color w:val="auto"/>
                      <w:sz w:val="18"/>
                      <w:szCs w:val="18"/>
                    </w:rPr>
                    <w:t>3</w:t>
                  </w:r>
                  <w:r>
                    <w:rPr>
                      <w:rFonts w:hint="eastAsia"/>
                      <w:color w:val="auto"/>
                      <w:sz w:val="18"/>
                      <w:szCs w:val="18"/>
                      <w:lang w:val="en-US" w:eastAsia="zh-CN"/>
                    </w:rPr>
                    <w:t>05</w:t>
                  </w:r>
                  <w:r>
                    <w:rPr>
                      <w:rFonts w:hint="eastAsia"/>
                      <w:color w:val="auto"/>
                      <w:sz w:val="18"/>
                      <w:szCs w:val="18"/>
                    </w:rPr>
                    <w:t>-</w:t>
                  </w:r>
                  <w:r>
                    <w:rPr>
                      <w:color w:val="auto"/>
                      <w:sz w:val="18"/>
                      <w:szCs w:val="18"/>
                    </w:rPr>
                    <w:t>00</w:t>
                  </w:r>
                  <w:r>
                    <w:rPr>
                      <w:rFonts w:hint="eastAsia"/>
                      <w:color w:val="auto"/>
                      <w:sz w:val="18"/>
                      <w:szCs w:val="18"/>
                      <w:lang w:val="en-US" w:eastAsia="zh-CN"/>
                    </w:rPr>
                    <w:t>4</w:t>
                  </w:r>
                  <w:r>
                    <w:rPr>
                      <w:rFonts w:hint="eastAsia"/>
                      <w:color w:val="auto"/>
                      <w:sz w:val="18"/>
                      <w:szCs w:val="18"/>
                    </w:rPr>
                    <w:t>-</w:t>
                  </w:r>
                  <w:r>
                    <w:rPr>
                      <w:color w:val="auto"/>
                      <w:sz w:val="18"/>
                      <w:szCs w:val="18"/>
                    </w:rPr>
                    <w:t>0</w:t>
                  </w:r>
                  <w:r>
                    <w:rPr>
                      <w:rFonts w:hint="eastAsia"/>
                      <w:color w:val="auto"/>
                      <w:sz w:val="18"/>
                      <w:szCs w:val="18"/>
                      <w:lang w:val="en-US" w:eastAsia="zh-CN"/>
                    </w:rPr>
                    <w:t>8</w:t>
                  </w:r>
                </w:p>
              </w:tc>
              <w:tc>
                <w:tcPr>
                  <w:tcW w:w="667" w:type="pct"/>
                  <w:noWrap w:val="0"/>
                  <w:vAlign w:val="center"/>
                </w:tcPr>
                <w:p w14:paraId="047E598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2750</w:t>
                  </w:r>
                </w:p>
              </w:tc>
              <w:tc>
                <w:tcPr>
                  <w:tcW w:w="875" w:type="pct"/>
                  <w:noWrap w:val="0"/>
                  <w:vAlign w:val="center"/>
                </w:tcPr>
                <w:p w14:paraId="6152744B">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color w:val="auto"/>
                      <w:sz w:val="18"/>
                      <w:szCs w:val="18"/>
                    </w:rPr>
                    <w:t>收集后</w:t>
                  </w:r>
                  <w:r>
                    <w:rPr>
                      <w:rFonts w:hint="eastAsia"/>
                      <w:color w:val="auto"/>
                      <w:sz w:val="18"/>
                      <w:szCs w:val="18"/>
                      <w:lang w:val="en-US" w:eastAsia="zh-CN"/>
                    </w:rPr>
                    <w:t>回用</w:t>
                  </w:r>
                </w:p>
              </w:tc>
            </w:tr>
            <w:tr w14:paraId="698A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79" w:type="pct"/>
                  <w:noWrap w:val="0"/>
                  <w:vAlign w:val="center"/>
                </w:tcPr>
                <w:p w14:paraId="31CE5757">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color w:val="auto"/>
                      <w:sz w:val="18"/>
                      <w:szCs w:val="18"/>
                    </w:rPr>
                    <w:t>2</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4D57AB64">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bCs/>
                      <w:color w:val="auto"/>
                      <w:sz w:val="18"/>
                      <w:szCs w:val="18"/>
                      <w:lang w:val="en-US" w:eastAsia="zh-CN"/>
                    </w:rPr>
                    <w:t>布袋</w:t>
                  </w:r>
                  <w:r>
                    <w:rPr>
                      <w:rFonts w:hint="eastAsia"/>
                      <w:bCs/>
                      <w:color w:val="auto"/>
                      <w:sz w:val="18"/>
                      <w:szCs w:val="18"/>
                      <w:lang w:val="en-US" w:eastAsia="zh-CN"/>
                    </w:rPr>
                    <w:t>收集粉尘</w:t>
                  </w:r>
                </w:p>
              </w:tc>
              <w:tc>
                <w:tcPr>
                  <w:tcW w:w="743" w:type="pct"/>
                  <w:noWrap w:val="0"/>
                  <w:vAlign w:val="center"/>
                </w:tcPr>
                <w:p w14:paraId="47A9DC7D">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氧化硅等</w:t>
                  </w:r>
                </w:p>
              </w:tc>
              <w:tc>
                <w:tcPr>
                  <w:tcW w:w="765" w:type="pct"/>
                  <w:noWrap w:val="0"/>
                  <w:vAlign w:val="center"/>
                </w:tcPr>
                <w:p w14:paraId="3C9F1B85">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废气处理</w:t>
                  </w:r>
                </w:p>
              </w:tc>
              <w:tc>
                <w:tcPr>
                  <w:tcW w:w="748" w:type="pct"/>
                  <w:noWrap w:val="0"/>
                  <w:vAlign w:val="center"/>
                </w:tcPr>
                <w:p w14:paraId="7772FD64">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color w:val="auto"/>
                      <w:sz w:val="18"/>
                      <w:szCs w:val="18"/>
                    </w:rPr>
                    <w:t>3</w:t>
                  </w:r>
                  <w:r>
                    <w:rPr>
                      <w:rFonts w:hint="eastAsia"/>
                      <w:color w:val="auto"/>
                      <w:sz w:val="18"/>
                      <w:szCs w:val="18"/>
                      <w:lang w:val="en-US" w:eastAsia="zh-CN"/>
                    </w:rPr>
                    <w:t>05</w:t>
                  </w:r>
                  <w:r>
                    <w:rPr>
                      <w:rFonts w:hint="eastAsia"/>
                      <w:color w:val="auto"/>
                      <w:sz w:val="18"/>
                      <w:szCs w:val="18"/>
                    </w:rPr>
                    <w:t>-</w:t>
                  </w:r>
                  <w:r>
                    <w:rPr>
                      <w:color w:val="auto"/>
                      <w:sz w:val="18"/>
                      <w:szCs w:val="18"/>
                    </w:rPr>
                    <w:t>00</w:t>
                  </w:r>
                  <w:r>
                    <w:rPr>
                      <w:rFonts w:hint="eastAsia"/>
                      <w:color w:val="auto"/>
                      <w:sz w:val="18"/>
                      <w:szCs w:val="18"/>
                      <w:lang w:val="en-US" w:eastAsia="zh-CN"/>
                    </w:rPr>
                    <w:t>4</w:t>
                  </w:r>
                  <w:r>
                    <w:rPr>
                      <w:rFonts w:hint="eastAsia"/>
                      <w:color w:val="auto"/>
                      <w:sz w:val="18"/>
                      <w:szCs w:val="18"/>
                    </w:rPr>
                    <w:t>-</w:t>
                  </w:r>
                  <w:r>
                    <w:rPr>
                      <w:rFonts w:hint="eastAsia"/>
                      <w:color w:val="auto"/>
                      <w:sz w:val="18"/>
                      <w:szCs w:val="18"/>
                      <w:lang w:val="en-US" w:eastAsia="zh-CN"/>
                    </w:rPr>
                    <w:t>66</w:t>
                  </w:r>
                </w:p>
              </w:tc>
              <w:tc>
                <w:tcPr>
                  <w:tcW w:w="667" w:type="pct"/>
                  <w:noWrap w:val="0"/>
                  <w:vAlign w:val="center"/>
                </w:tcPr>
                <w:p w14:paraId="0ACBA10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116.73</w:t>
                  </w:r>
                </w:p>
              </w:tc>
              <w:tc>
                <w:tcPr>
                  <w:tcW w:w="875" w:type="pct"/>
                  <w:noWrap w:val="0"/>
                  <w:vAlign w:val="center"/>
                </w:tcPr>
                <w:p w14:paraId="17A049A2">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color w:val="auto"/>
                      <w:sz w:val="18"/>
                      <w:szCs w:val="18"/>
                    </w:rPr>
                    <w:t>收集后</w:t>
                  </w:r>
                  <w:r>
                    <w:rPr>
                      <w:rFonts w:hint="eastAsia"/>
                      <w:color w:val="auto"/>
                      <w:sz w:val="18"/>
                      <w:szCs w:val="18"/>
                      <w:lang w:val="en-US" w:eastAsia="zh-CN"/>
                    </w:rPr>
                    <w:t>回用</w:t>
                  </w:r>
                </w:p>
              </w:tc>
            </w:tr>
            <w:tr w14:paraId="5CEC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79" w:type="pct"/>
                  <w:noWrap w:val="0"/>
                  <w:vAlign w:val="center"/>
                </w:tcPr>
                <w:p w14:paraId="61629E2D">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color w:val="auto"/>
                      <w:sz w:val="18"/>
                      <w:szCs w:val="18"/>
                    </w:rPr>
                    <w:t>3</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346C39AA">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bCs/>
                      <w:color w:val="auto"/>
                      <w:sz w:val="18"/>
                      <w:szCs w:val="18"/>
                      <w:lang w:val="en-US" w:eastAsia="zh-CN"/>
                    </w:rPr>
                    <w:t>废</w:t>
                  </w:r>
                  <w:r>
                    <w:rPr>
                      <w:rFonts w:hint="eastAsia"/>
                      <w:bCs/>
                      <w:color w:val="auto"/>
                      <w:sz w:val="18"/>
                      <w:szCs w:val="18"/>
                      <w:lang w:val="en-US" w:eastAsia="zh-CN"/>
                    </w:rPr>
                    <w:t>包装袋</w:t>
                  </w:r>
                </w:p>
              </w:tc>
              <w:tc>
                <w:tcPr>
                  <w:tcW w:w="743" w:type="pct"/>
                  <w:noWrap w:val="0"/>
                  <w:vAlign w:val="center"/>
                </w:tcPr>
                <w:p w14:paraId="4EA4D87C">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rFonts w:hint="eastAsia"/>
                      <w:color w:val="auto"/>
                      <w:sz w:val="18"/>
                      <w:szCs w:val="18"/>
                      <w:lang w:val="en-US" w:eastAsia="zh-CN"/>
                    </w:rPr>
                    <w:t>塑料</w:t>
                  </w:r>
                </w:p>
              </w:tc>
              <w:tc>
                <w:tcPr>
                  <w:tcW w:w="765" w:type="pct"/>
                  <w:noWrap w:val="0"/>
                  <w:vAlign w:val="center"/>
                </w:tcPr>
                <w:p w14:paraId="0A6A6D86">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原料使用</w:t>
                  </w:r>
                </w:p>
              </w:tc>
              <w:tc>
                <w:tcPr>
                  <w:tcW w:w="748" w:type="pct"/>
                  <w:noWrap w:val="0"/>
                  <w:vAlign w:val="center"/>
                </w:tcPr>
                <w:p w14:paraId="30F8F650">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color w:val="auto"/>
                      <w:sz w:val="18"/>
                      <w:szCs w:val="18"/>
                    </w:rPr>
                    <w:t>3</w:t>
                  </w:r>
                  <w:r>
                    <w:rPr>
                      <w:rFonts w:hint="eastAsia"/>
                      <w:color w:val="auto"/>
                      <w:sz w:val="18"/>
                      <w:szCs w:val="18"/>
                      <w:lang w:val="en-US" w:eastAsia="zh-CN"/>
                    </w:rPr>
                    <w:t>05</w:t>
                  </w:r>
                  <w:r>
                    <w:rPr>
                      <w:rFonts w:hint="eastAsia"/>
                      <w:color w:val="auto"/>
                      <w:sz w:val="18"/>
                      <w:szCs w:val="18"/>
                    </w:rPr>
                    <w:t>-</w:t>
                  </w:r>
                  <w:r>
                    <w:rPr>
                      <w:color w:val="auto"/>
                      <w:sz w:val="18"/>
                      <w:szCs w:val="18"/>
                    </w:rPr>
                    <w:t>00</w:t>
                  </w:r>
                  <w:r>
                    <w:rPr>
                      <w:rFonts w:hint="eastAsia"/>
                      <w:color w:val="auto"/>
                      <w:sz w:val="18"/>
                      <w:szCs w:val="18"/>
                      <w:lang w:val="en-US" w:eastAsia="zh-CN"/>
                    </w:rPr>
                    <w:t>4</w:t>
                  </w:r>
                  <w:r>
                    <w:rPr>
                      <w:rFonts w:hint="eastAsia"/>
                      <w:color w:val="auto"/>
                      <w:sz w:val="18"/>
                      <w:szCs w:val="18"/>
                    </w:rPr>
                    <w:t>-</w:t>
                  </w:r>
                  <w:r>
                    <w:rPr>
                      <w:rFonts w:hint="eastAsia"/>
                      <w:color w:val="auto"/>
                      <w:sz w:val="18"/>
                      <w:szCs w:val="18"/>
                      <w:lang w:val="en-US" w:eastAsia="zh-CN"/>
                    </w:rPr>
                    <w:t>07</w:t>
                  </w:r>
                </w:p>
              </w:tc>
              <w:tc>
                <w:tcPr>
                  <w:tcW w:w="667" w:type="pct"/>
                  <w:noWrap w:val="0"/>
                  <w:vAlign w:val="center"/>
                </w:tcPr>
                <w:p w14:paraId="2E29907E">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0.5</w:t>
                  </w:r>
                </w:p>
              </w:tc>
              <w:tc>
                <w:tcPr>
                  <w:tcW w:w="875" w:type="pct"/>
                  <w:noWrap w:val="0"/>
                  <w:vAlign w:val="center"/>
                </w:tcPr>
                <w:p w14:paraId="11516B08">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r>
                    <w:rPr>
                      <w:color w:val="auto"/>
                      <w:sz w:val="18"/>
                      <w:szCs w:val="18"/>
                    </w:rPr>
                    <w:t>收集后外售</w:t>
                  </w:r>
                </w:p>
              </w:tc>
            </w:tr>
            <w:tr w14:paraId="2A47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457" w:type="pct"/>
                  <w:gridSpan w:val="5"/>
                  <w:noWrap w:val="0"/>
                  <w:vAlign w:val="center"/>
                </w:tcPr>
                <w:p w14:paraId="45629D91">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b/>
                      <w:bCs/>
                      <w:color w:val="auto"/>
                      <w:sz w:val="18"/>
                      <w:szCs w:val="18"/>
                    </w:rPr>
                    <w:t>合计</w:t>
                  </w:r>
                </w:p>
              </w:tc>
              <w:tc>
                <w:tcPr>
                  <w:tcW w:w="667" w:type="pct"/>
                  <w:noWrap w:val="0"/>
                  <w:vAlign w:val="center"/>
                </w:tcPr>
                <w:p w14:paraId="3D663DD2">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eastAsia="等线"/>
                      <w:b/>
                      <w:bCs/>
                      <w:color w:val="auto"/>
                      <w:sz w:val="18"/>
                      <w:szCs w:val="18"/>
                      <w:lang w:val="en-US" w:eastAsia="zh-CN"/>
                    </w:rPr>
                    <w:t>2,867.23</w:t>
                  </w:r>
                </w:p>
              </w:tc>
              <w:tc>
                <w:tcPr>
                  <w:tcW w:w="875" w:type="pct"/>
                  <w:noWrap w:val="0"/>
                  <w:vAlign w:val="center"/>
                </w:tcPr>
                <w:p w14:paraId="5978F0BE">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p>
              </w:tc>
            </w:tr>
            <w:tr w14:paraId="4EE1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79" w:type="pct"/>
                  <w:noWrap w:val="0"/>
                  <w:vAlign w:val="center"/>
                </w:tcPr>
                <w:p w14:paraId="5DBD50C0">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lang w:eastAsia="zh-CN"/>
                    </w:rPr>
                  </w:pPr>
                  <w:r>
                    <w:rPr>
                      <w:rFonts w:hint="eastAsia"/>
                      <w:color w:val="auto"/>
                      <w:sz w:val="18"/>
                      <w:szCs w:val="18"/>
                      <w:lang w:val="en-US" w:eastAsia="zh-CN"/>
                    </w:rPr>
                    <w:t>4</w:t>
                  </w:r>
                </w:p>
              </w:tc>
              <w:tc>
                <w:tcPr>
                  <w:tcW w:w="820" w:type="pct"/>
                  <w:noWrap w:val="0"/>
                  <w:vAlign w:val="center"/>
                </w:tcPr>
                <w:p w14:paraId="75A6F546">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r>
                    <w:rPr>
                      <w:rFonts w:hint="eastAsia"/>
                      <w:color w:val="auto"/>
                      <w:sz w:val="18"/>
                      <w:szCs w:val="18"/>
                    </w:rPr>
                    <w:t>生活垃圾</w:t>
                  </w:r>
                </w:p>
              </w:tc>
              <w:tc>
                <w:tcPr>
                  <w:tcW w:w="743" w:type="pct"/>
                  <w:noWrap w:val="0"/>
                  <w:vAlign w:val="center"/>
                </w:tcPr>
                <w:p w14:paraId="62AB85E5">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r>
                    <w:rPr>
                      <w:rFonts w:hint="eastAsia"/>
                      <w:color w:val="auto"/>
                      <w:sz w:val="18"/>
                      <w:szCs w:val="18"/>
                    </w:rPr>
                    <w:t>/</w:t>
                  </w:r>
                </w:p>
              </w:tc>
              <w:tc>
                <w:tcPr>
                  <w:tcW w:w="765" w:type="pct"/>
                  <w:noWrap w:val="0"/>
                  <w:vAlign w:val="center"/>
                </w:tcPr>
                <w:p w14:paraId="3B97018A">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r>
                    <w:rPr>
                      <w:rFonts w:hint="eastAsia"/>
                      <w:color w:val="auto"/>
                      <w:sz w:val="18"/>
                      <w:szCs w:val="18"/>
                    </w:rPr>
                    <w:t>办公生活</w:t>
                  </w:r>
                </w:p>
              </w:tc>
              <w:tc>
                <w:tcPr>
                  <w:tcW w:w="748" w:type="pct"/>
                  <w:noWrap w:val="0"/>
                  <w:vAlign w:val="center"/>
                </w:tcPr>
                <w:p w14:paraId="7A99F371">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rPr>
                  </w:pPr>
                  <w:r>
                    <w:rPr>
                      <w:rFonts w:hint="eastAsia"/>
                      <w:color w:val="auto"/>
                      <w:sz w:val="18"/>
                      <w:szCs w:val="18"/>
                    </w:rPr>
                    <w:t>/</w:t>
                  </w:r>
                </w:p>
              </w:tc>
              <w:tc>
                <w:tcPr>
                  <w:tcW w:w="667" w:type="pct"/>
                  <w:noWrap w:val="0"/>
                  <w:vAlign w:val="center"/>
                </w:tcPr>
                <w:p w14:paraId="3A0DC51E">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21.12</w:t>
                  </w:r>
                </w:p>
              </w:tc>
              <w:tc>
                <w:tcPr>
                  <w:tcW w:w="875" w:type="pct"/>
                  <w:noWrap w:val="0"/>
                  <w:vAlign w:val="center"/>
                </w:tcPr>
                <w:p w14:paraId="3F32CFB8">
                  <w:pPr>
                    <w:keepNext w:val="0"/>
                    <w:keepLines w:val="0"/>
                    <w:pageBreakBefore w:val="0"/>
                    <w:widowControl/>
                    <w:kinsoku/>
                    <w:wordWrap/>
                    <w:overflowPunct/>
                    <w:topLinePunct w:val="0"/>
                    <w:autoSpaceDE/>
                    <w:autoSpaceDN/>
                    <w:bidi w:val="0"/>
                    <w:adjustRightInd w:val="0"/>
                    <w:snapToGrid w:val="0"/>
                    <w:jc w:val="center"/>
                    <w:textAlignment w:val="auto"/>
                    <w:rPr>
                      <w:rFonts w:hint="eastAsia"/>
                      <w:color w:val="auto"/>
                      <w:sz w:val="18"/>
                      <w:szCs w:val="18"/>
                    </w:rPr>
                  </w:pPr>
                  <w:r>
                    <w:rPr>
                      <w:rFonts w:hint="eastAsia"/>
                      <w:color w:val="auto"/>
                      <w:sz w:val="18"/>
                      <w:szCs w:val="18"/>
                    </w:rPr>
                    <w:t>交环卫部门处理</w:t>
                  </w:r>
                </w:p>
              </w:tc>
            </w:tr>
          </w:tbl>
          <w:p w14:paraId="69E07B87">
            <w:pPr>
              <w:pStyle w:val="84"/>
              <w:rPr>
                <w:color w:val="auto"/>
                <w:lang w:val="en-US" w:eastAsia="zh-CN"/>
              </w:rPr>
            </w:pPr>
            <w:r>
              <w:rPr>
                <w:color w:val="auto"/>
                <w:lang w:val="en-US" w:eastAsia="zh-CN"/>
              </w:rPr>
              <w:t>综上所述，</w:t>
            </w:r>
            <w:r>
              <w:rPr>
                <w:rFonts w:hint="eastAsia"/>
                <w:color w:val="auto"/>
                <w:lang w:val="en-US" w:eastAsia="zh-CN"/>
              </w:rPr>
              <w:t>本工程</w:t>
            </w:r>
            <w:r>
              <w:rPr>
                <w:color w:val="auto"/>
                <w:lang w:val="en-US" w:eastAsia="zh-CN"/>
              </w:rPr>
              <w:t>建成运行后，全厂一般工业固废可得到妥善处理处置或综合利用，不外排</w:t>
            </w:r>
            <w:r>
              <w:rPr>
                <w:rFonts w:hint="eastAsia"/>
                <w:color w:val="auto"/>
                <w:lang w:val="en-US" w:eastAsia="zh-CN"/>
              </w:rPr>
              <w:t>；生活垃圾交环卫部门处置，</w:t>
            </w:r>
            <w:r>
              <w:rPr>
                <w:color w:val="auto"/>
                <w:lang w:val="en-US" w:eastAsia="zh-CN"/>
              </w:rPr>
              <w:t>对外环境不利影响较小。</w:t>
            </w:r>
          </w:p>
          <w:p w14:paraId="1FBDF5C9">
            <w:pPr>
              <w:pStyle w:val="84"/>
              <w:ind w:firstLine="422"/>
              <w:rPr>
                <w:b/>
                <w:color w:val="auto"/>
                <w:lang w:val="en-US" w:eastAsia="zh-CN"/>
              </w:rPr>
            </w:pPr>
            <w:r>
              <w:rPr>
                <w:rFonts w:hint="eastAsia"/>
                <w:b/>
                <w:color w:val="auto"/>
                <w:lang w:val="en-US" w:eastAsia="zh-CN"/>
              </w:rPr>
              <w:t>2、危险废物环境影响分析</w:t>
            </w:r>
          </w:p>
          <w:p w14:paraId="1D6025CD">
            <w:pPr>
              <w:pStyle w:val="84"/>
              <w:rPr>
                <w:color w:val="auto"/>
                <w:lang w:val="en-US" w:eastAsia="zh-CN"/>
              </w:rPr>
            </w:pPr>
            <w:r>
              <w:rPr>
                <w:rFonts w:hint="eastAsia"/>
                <w:color w:val="auto"/>
                <w:lang w:val="en-US" w:eastAsia="zh-CN"/>
              </w:rPr>
              <w:t>①废机油及废油桶：机械设备维护过程使用机油，年使用机油约为1t/a，产生废机油按照最大量核算为1t/a，废油桶产生量为0.03t/a，按照危险废物暂存收集于危废间，定期交由资质单位进行处置（详见附件5）。</w:t>
            </w:r>
          </w:p>
          <w:p w14:paraId="058B6939">
            <w:pPr>
              <w:pStyle w:val="84"/>
              <w:rPr>
                <w:rFonts w:hint="default"/>
                <w:color w:val="auto"/>
                <w:sz w:val="18"/>
                <w:szCs w:val="18"/>
                <w:lang w:val="en-US" w:eastAsia="zh-CN"/>
              </w:rPr>
            </w:pPr>
            <w:r>
              <w:rPr>
                <w:rFonts w:hint="default"/>
                <w:bCs/>
                <w:iCs/>
                <w:color w:val="auto"/>
                <w:kern w:val="2"/>
                <w:sz w:val="21"/>
                <w:szCs w:val="21"/>
                <w:lang w:val="en-US" w:eastAsia="zh-CN" w:bidi="ar-SA"/>
              </w:rPr>
              <w:t>②</w:t>
            </w:r>
            <w:r>
              <w:rPr>
                <w:bCs w:val="0"/>
                <w:iCs/>
                <w:color w:val="auto"/>
                <w:lang w:val="en-US" w:eastAsia="zh-CN"/>
              </w:rPr>
              <w:t>废</w:t>
            </w:r>
            <w:r>
              <w:rPr>
                <w:rFonts w:hint="eastAsia"/>
                <w:bCs w:val="0"/>
                <w:iCs/>
                <w:color w:val="auto"/>
                <w:lang w:val="en-US" w:eastAsia="zh-CN"/>
              </w:rPr>
              <w:t>催化剂</w:t>
            </w:r>
            <w:r>
              <w:rPr>
                <w:iCs/>
                <w:color w:val="auto"/>
                <w:lang w:val="en-US" w:eastAsia="zh-CN"/>
              </w:rPr>
              <w:t>：</w:t>
            </w:r>
            <w:r>
              <w:rPr>
                <w:rFonts w:hint="eastAsia" w:ascii="Times New Roman" w:hAnsi="Times New Roman" w:eastAsia="宋体" w:cs="Times New Roman"/>
                <w:bCs/>
                <w:iCs/>
                <w:color w:val="auto"/>
                <w:lang w:val="en-US" w:eastAsia="zh-CN"/>
              </w:rPr>
              <w:t>本项目脱硝产生废催化剂，根据危废名录，属于HW50，环境治理业，烟气脱硝过程中产生的废钒钛系催化剂（催化剂喷洒在陶瓷纤维材质上，每条陶瓷纤维规格为Φ150mm×3m），一般8~10年更换一次，每次产生量约为800条</w:t>
            </w:r>
            <w:r>
              <w:rPr>
                <w:rFonts w:hint="eastAsia" w:ascii="Times New Roman" w:hAnsi="Times New Roman" w:eastAsia="宋体" w:cs="Times New Roman"/>
                <w:bCs/>
                <w:iCs/>
                <w:color w:val="auto"/>
                <w:vertAlign w:val="baseline"/>
                <w:lang w:val="en-US" w:eastAsia="zh-CN"/>
              </w:rPr>
              <w:t>，该部分由专业厂家更换。</w:t>
            </w:r>
          </w:p>
          <w:p w14:paraId="247AA2B2">
            <w:pPr>
              <w:pStyle w:val="84"/>
              <w:rPr>
                <w:rFonts w:hint="eastAsia"/>
                <w:iCs/>
                <w:color w:val="auto"/>
                <w:lang w:val="en-US" w:eastAsia="zh-CN"/>
              </w:rPr>
            </w:pPr>
            <w:r>
              <w:rPr>
                <w:rFonts w:hint="eastAsia"/>
                <w:iCs/>
                <w:color w:val="auto"/>
                <w:lang w:val="en-US" w:eastAsia="zh-CN"/>
              </w:rPr>
              <w:t>本工程建成后全厂危险废物产生排放情况如下表所示：</w:t>
            </w:r>
          </w:p>
          <w:p w14:paraId="0704095B">
            <w:pPr>
              <w:pStyle w:val="86"/>
              <w:rPr>
                <w:color w:val="auto"/>
              </w:rPr>
            </w:pPr>
          </w:p>
          <w:p w14:paraId="0360B248">
            <w:pPr>
              <w:pStyle w:val="86"/>
              <w:rPr>
                <w:color w:val="auto"/>
              </w:rPr>
            </w:pPr>
            <w:r>
              <w:rPr>
                <w:color w:val="auto"/>
              </w:rPr>
              <w:t>表4</w:t>
            </w:r>
            <w:r>
              <w:rPr>
                <w:rFonts w:hint="eastAsia"/>
                <w:color w:val="auto"/>
              </w:rPr>
              <w:t>-</w:t>
            </w:r>
            <w:r>
              <w:rPr>
                <w:color w:val="auto"/>
              </w:rPr>
              <w:t>16  危险废物汇总表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697"/>
              <w:gridCol w:w="749"/>
              <w:gridCol w:w="874"/>
              <w:gridCol w:w="759"/>
              <w:gridCol w:w="668"/>
              <w:gridCol w:w="692"/>
              <w:gridCol w:w="778"/>
              <w:gridCol w:w="581"/>
              <w:gridCol w:w="1157"/>
              <w:gridCol w:w="757"/>
            </w:tblGrid>
            <w:tr w14:paraId="37A1E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 w:type="pct"/>
                  <w:noWrap w:val="0"/>
                  <w:vAlign w:val="center"/>
                </w:tcPr>
                <w:p w14:paraId="12AE0501">
                  <w:pPr>
                    <w:jc w:val="center"/>
                    <w:rPr>
                      <w:color w:val="auto"/>
                      <w:sz w:val="18"/>
                      <w:szCs w:val="18"/>
                    </w:rPr>
                  </w:pPr>
                  <w:r>
                    <w:rPr>
                      <w:color w:val="auto"/>
                      <w:sz w:val="18"/>
                      <w:szCs w:val="18"/>
                    </w:rPr>
                    <w:t>序号</w:t>
                  </w:r>
                </w:p>
              </w:tc>
              <w:tc>
                <w:tcPr>
                  <w:tcW w:w="441" w:type="pct"/>
                  <w:noWrap w:val="0"/>
                  <w:vAlign w:val="center"/>
                </w:tcPr>
                <w:p w14:paraId="3E6289C9">
                  <w:pPr>
                    <w:jc w:val="center"/>
                    <w:rPr>
                      <w:color w:val="auto"/>
                      <w:sz w:val="18"/>
                      <w:szCs w:val="18"/>
                    </w:rPr>
                  </w:pPr>
                  <w:r>
                    <w:rPr>
                      <w:color w:val="auto"/>
                      <w:sz w:val="18"/>
                      <w:szCs w:val="18"/>
                    </w:rPr>
                    <w:t>危险废物名称</w:t>
                  </w:r>
                </w:p>
              </w:tc>
              <w:tc>
                <w:tcPr>
                  <w:tcW w:w="473" w:type="pct"/>
                  <w:noWrap w:val="0"/>
                  <w:vAlign w:val="center"/>
                </w:tcPr>
                <w:p w14:paraId="627BBF5F">
                  <w:pPr>
                    <w:jc w:val="center"/>
                    <w:rPr>
                      <w:color w:val="auto"/>
                      <w:sz w:val="18"/>
                      <w:szCs w:val="18"/>
                    </w:rPr>
                  </w:pPr>
                  <w:r>
                    <w:rPr>
                      <w:color w:val="auto"/>
                      <w:sz w:val="18"/>
                      <w:szCs w:val="18"/>
                    </w:rPr>
                    <w:t>危险废物类别</w:t>
                  </w:r>
                </w:p>
              </w:tc>
              <w:tc>
                <w:tcPr>
                  <w:tcW w:w="550" w:type="pct"/>
                  <w:noWrap w:val="0"/>
                  <w:vAlign w:val="center"/>
                </w:tcPr>
                <w:p w14:paraId="3D5B3E4C">
                  <w:pPr>
                    <w:jc w:val="center"/>
                    <w:rPr>
                      <w:color w:val="auto"/>
                      <w:sz w:val="18"/>
                      <w:szCs w:val="18"/>
                    </w:rPr>
                  </w:pPr>
                  <w:r>
                    <w:rPr>
                      <w:color w:val="auto"/>
                      <w:sz w:val="18"/>
                      <w:szCs w:val="18"/>
                    </w:rPr>
                    <w:t>危险废物代码</w:t>
                  </w:r>
                </w:p>
              </w:tc>
              <w:tc>
                <w:tcPr>
                  <w:tcW w:w="479" w:type="pct"/>
                  <w:noWrap w:val="0"/>
                  <w:vAlign w:val="center"/>
                </w:tcPr>
                <w:p w14:paraId="07E09020">
                  <w:pPr>
                    <w:jc w:val="center"/>
                    <w:rPr>
                      <w:color w:val="auto"/>
                      <w:sz w:val="18"/>
                      <w:szCs w:val="18"/>
                    </w:rPr>
                  </w:pPr>
                  <w:r>
                    <w:rPr>
                      <w:color w:val="auto"/>
                      <w:sz w:val="18"/>
                      <w:szCs w:val="18"/>
                    </w:rPr>
                    <w:t>产生量（t/a）</w:t>
                  </w:r>
                </w:p>
              </w:tc>
              <w:tc>
                <w:tcPr>
                  <w:tcW w:w="423" w:type="pct"/>
                  <w:noWrap w:val="0"/>
                  <w:vAlign w:val="center"/>
                </w:tcPr>
                <w:p w14:paraId="3572B707">
                  <w:pPr>
                    <w:jc w:val="center"/>
                    <w:rPr>
                      <w:color w:val="auto"/>
                      <w:sz w:val="18"/>
                      <w:szCs w:val="18"/>
                    </w:rPr>
                  </w:pPr>
                  <w:r>
                    <w:rPr>
                      <w:color w:val="auto"/>
                      <w:sz w:val="18"/>
                      <w:szCs w:val="18"/>
                    </w:rPr>
                    <w:t>产生工序</w:t>
                  </w:r>
                </w:p>
              </w:tc>
              <w:tc>
                <w:tcPr>
                  <w:tcW w:w="438" w:type="pct"/>
                  <w:noWrap w:val="0"/>
                  <w:vAlign w:val="center"/>
                </w:tcPr>
                <w:p w14:paraId="6F48895A">
                  <w:pPr>
                    <w:jc w:val="center"/>
                    <w:rPr>
                      <w:color w:val="auto"/>
                      <w:sz w:val="18"/>
                      <w:szCs w:val="18"/>
                    </w:rPr>
                  </w:pPr>
                  <w:r>
                    <w:rPr>
                      <w:color w:val="auto"/>
                      <w:sz w:val="18"/>
                      <w:szCs w:val="18"/>
                    </w:rPr>
                    <w:t>形态</w:t>
                  </w:r>
                </w:p>
              </w:tc>
              <w:tc>
                <w:tcPr>
                  <w:tcW w:w="490" w:type="pct"/>
                  <w:noWrap w:val="0"/>
                  <w:vAlign w:val="center"/>
                </w:tcPr>
                <w:p w14:paraId="519F2572">
                  <w:pPr>
                    <w:jc w:val="center"/>
                    <w:rPr>
                      <w:color w:val="auto"/>
                      <w:sz w:val="18"/>
                      <w:szCs w:val="18"/>
                    </w:rPr>
                  </w:pPr>
                  <w:r>
                    <w:rPr>
                      <w:color w:val="auto"/>
                      <w:sz w:val="18"/>
                      <w:szCs w:val="18"/>
                    </w:rPr>
                    <w:t>有害成分</w:t>
                  </w:r>
                </w:p>
              </w:tc>
              <w:tc>
                <w:tcPr>
                  <w:tcW w:w="369" w:type="pct"/>
                  <w:noWrap w:val="0"/>
                  <w:vAlign w:val="center"/>
                </w:tcPr>
                <w:p w14:paraId="64B6D7EE">
                  <w:pPr>
                    <w:jc w:val="center"/>
                    <w:rPr>
                      <w:color w:val="auto"/>
                      <w:sz w:val="18"/>
                      <w:szCs w:val="18"/>
                    </w:rPr>
                  </w:pPr>
                  <w:r>
                    <w:rPr>
                      <w:color w:val="auto"/>
                      <w:sz w:val="18"/>
                      <w:szCs w:val="18"/>
                    </w:rPr>
                    <w:t>危险</w:t>
                  </w:r>
                </w:p>
                <w:p w14:paraId="3D7973A4">
                  <w:pPr>
                    <w:jc w:val="center"/>
                    <w:rPr>
                      <w:color w:val="auto"/>
                      <w:sz w:val="18"/>
                      <w:szCs w:val="18"/>
                    </w:rPr>
                  </w:pPr>
                  <w:r>
                    <w:rPr>
                      <w:color w:val="auto"/>
                      <w:sz w:val="18"/>
                      <w:szCs w:val="18"/>
                    </w:rPr>
                    <w:t>特性</w:t>
                  </w:r>
                </w:p>
              </w:tc>
              <w:tc>
                <w:tcPr>
                  <w:tcW w:w="724" w:type="pct"/>
                  <w:noWrap w:val="0"/>
                  <w:vAlign w:val="center"/>
                </w:tcPr>
                <w:p w14:paraId="4091E55C">
                  <w:pPr>
                    <w:topLinePunct/>
                    <w:adjustRightInd w:val="0"/>
                    <w:snapToGrid w:val="0"/>
                    <w:jc w:val="center"/>
                    <w:rPr>
                      <w:color w:val="auto"/>
                      <w:sz w:val="18"/>
                      <w:szCs w:val="18"/>
                    </w:rPr>
                  </w:pPr>
                  <w:r>
                    <w:rPr>
                      <w:color w:val="auto"/>
                      <w:sz w:val="18"/>
                      <w:szCs w:val="18"/>
                    </w:rPr>
                    <w:t>污染防治措施</w:t>
                  </w:r>
                </w:p>
              </w:tc>
              <w:tc>
                <w:tcPr>
                  <w:tcW w:w="398" w:type="pct"/>
                  <w:noWrap w:val="0"/>
                  <w:vAlign w:val="center"/>
                </w:tcPr>
                <w:p w14:paraId="7F634423">
                  <w:pPr>
                    <w:jc w:val="center"/>
                    <w:rPr>
                      <w:color w:val="auto"/>
                      <w:sz w:val="18"/>
                      <w:szCs w:val="18"/>
                    </w:rPr>
                  </w:pPr>
                  <w:r>
                    <w:rPr>
                      <w:color w:val="auto"/>
                      <w:sz w:val="18"/>
                      <w:szCs w:val="18"/>
                    </w:rPr>
                    <w:t>排放量（t/a）</w:t>
                  </w:r>
                </w:p>
              </w:tc>
            </w:tr>
            <w:tr w14:paraId="7CA41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09" w:type="pct"/>
                  <w:noWrap w:val="0"/>
                  <w:vAlign w:val="center"/>
                </w:tcPr>
                <w:p w14:paraId="6482FAD5">
                  <w:pPr>
                    <w:jc w:val="center"/>
                    <w:rPr>
                      <w:color w:val="auto"/>
                      <w:sz w:val="18"/>
                      <w:szCs w:val="18"/>
                    </w:rPr>
                  </w:pPr>
                  <w:r>
                    <w:rPr>
                      <w:rFonts w:hint="eastAsia"/>
                      <w:color w:val="auto"/>
                      <w:sz w:val="18"/>
                      <w:szCs w:val="18"/>
                    </w:rPr>
                    <w:t>1</w:t>
                  </w:r>
                </w:p>
              </w:tc>
              <w:tc>
                <w:tcPr>
                  <w:tcW w:w="441" w:type="pct"/>
                  <w:noWrap w:val="0"/>
                  <w:vAlign w:val="center"/>
                </w:tcPr>
                <w:p w14:paraId="5A7FBE65">
                  <w:pPr>
                    <w:jc w:val="center"/>
                    <w:rPr>
                      <w:rFonts w:hint="eastAsia" w:eastAsia="宋体"/>
                      <w:color w:val="auto"/>
                      <w:sz w:val="18"/>
                      <w:szCs w:val="18"/>
                      <w:lang w:eastAsia="zh-CN"/>
                    </w:rPr>
                  </w:pPr>
                  <w:r>
                    <w:rPr>
                      <w:color w:val="auto"/>
                      <w:sz w:val="18"/>
                      <w:szCs w:val="18"/>
                    </w:rPr>
                    <w:t>废</w:t>
                  </w:r>
                  <w:r>
                    <w:rPr>
                      <w:rFonts w:hint="eastAsia"/>
                      <w:color w:val="auto"/>
                      <w:sz w:val="18"/>
                      <w:szCs w:val="18"/>
                      <w:lang w:val="en-US" w:eastAsia="zh-CN"/>
                    </w:rPr>
                    <w:t>机油</w:t>
                  </w:r>
                </w:p>
              </w:tc>
              <w:tc>
                <w:tcPr>
                  <w:tcW w:w="473" w:type="pct"/>
                  <w:noWrap w:val="0"/>
                  <w:vAlign w:val="center"/>
                </w:tcPr>
                <w:p w14:paraId="60C33A37">
                  <w:pPr>
                    <w:jc w:val="center"/>
                    <w:rPr>
                      <w:rFonts w:hint="default" w:eastAsia="宋体"/>
                      <w:color w:val="auto"/>
                      <w:sz w:val="18"/>
                      <w:szCs w:val="18"/>
                      <w:lang w:val="en-US" w:eastAsia="zh-CN"/>
                    </w:rPr>
                  </w:pPr>
                  <w:r>
                    <w:rPr>
                      <w:rFonts w:hint="eastAsia"/>
                      <w:color w:val="auto"/>
                      <w:sz w:val="18"/>
                      <w:szCs w:val="18"/>
                    </w:rPr>
                    <w:t>H</w:t>
                  </w:r>
                  <w:r>
                    <w:rPr>
                      <w:color w:val="auto"/>
                      <w:sz w:val="18"/>
                      <w:szCs w:val="18"/>
                    </w:rPr>
                    <w:t>W</w:t>
                  </w:r>
                  <w:r>
                    <w:rPr>
                      <w:rFonts w:hint="eastAsia"/>
                      <w:color w:val="auto"/>
                      <w:sz w:val="18"/>
                      <w:szCs w:val="18"/>
                      <w:lang w:val="en-US" w:eastAsia="zh-CN"/>
                    </w:rPr>
                    <w:t>08</w:t>
                  </w:r>
                </w:p>
              </w:tc>
              <w:tc>
                <w:tcPr>
                  <w:tcW w:w="550" w:type="pct"/>
                  <w:noWrap w:val="0"/>
                  <w:vAlign w:val="center"/>
                </w:tcPr>
                <w:p w14:paraId="724BDF3D">
                  <w:pPr>
                    <w:jc w:val="center"/>
                    <w:rPr>
                      <w:rFonts w:hint="eastAsia" w:eastAsia="宋体"/>
                      <w:color w:val="auto"/>
                      <w:sz w:val="18"/>
                      <w:szCs w:val="18"/>
                      <w:lang w:eastAsia="zh-CN"/>
                    </w:rPr>
                  </w:pPr>
                  <w:r>
                    <w:rPr>
                      <w:color w:val="auto"/>
                      <w:sz w:val="18"/>
                      <w:szCs w:val="18"/>
                    </w:rPr>
                    <w:t>900-</w:t>
                  </w:r>
                  <w:r>
                    <w:rPr>
                      <w:rFonts w:hint="eastAsia"/>
                      <w:color w:val="auto"/>
                      <w:sz w:val="18"/>
                      <w:szCs w:val="18"/>
                      <w:lang w:val="en-US" w:eastAsia="zh-CN"/>
                    </w:rPr>
                    <w:t>217</w:t>
                  </w:r>
                  <w:r>
                    <w:rPr>
                      <w:color w:val="auto"/>
                      <w:sz w:val="18"/>
                      <w:szCs w:val="18"/>
                    </w:rPr>
                    <w:t>-0</w:t>
                  </w:r>
                  <w:r>
                    <w:rPr>
                      <w:rFonts w:hint="eastAsia"/>
                      <w:color w:val="auto"/>
                      <w:sz w:val="18"/>
                      <w:szCs w:val="18"/>
                      <w:lang w:val="en-US" w:eastAsia="zh-CN"/>
                    </w:rPr>
                    <w:t>8</w:t>
                  </w:r>
                </w:p>
              </w:tc>
              <w:tc>
                <w:tcPr>
                  <w:tcW w:w="479" w:type="pct"/>
                  <w:noWrap w:val="0"/>
                  <w:vAlign w:val="center"/>
                </w:tcPr>
                <w:p w14:paraId="26DA2D0A">
                  <w:pPr>
                    <w:jc w:val="center"/>
                    <w:rPr>
                      <w:rFonts w:hint="eastAsia" w:eastAsia="宋体"/>
                      <w:color w:val="auto"/>
                      <w:sz w:val="18"/>
                      <w:szCs w:val="18"/>
                      <w:lang w:eastAsia="zh-CN"/>
                    </w:rPr>
                  </w:pPr>
                  <w:r>
                    <w:rPr>
                      <w:rFonts w:hint="eastAsia"/>
                      <w:color w:val="auto"/>
                      <w:sz w:val="18"/>
                      <w:szCs w:val="18"/>
                      <w:lang w:val="en-US" w:eastAsia="zh-CN"/>
                    </w:rPr>
                    <w:t>1</w:t>
                  </w:r>
                </w:p>
              </w:tc>
              <w:tc>
                <w:tcPr>
                  <w:tcW w:w="423" w:type="pct"/>
                  <w:noWrap w:val="0"/>
                  <w:vAlign w:val="center"/>
                </w:tcPr>
                <w:p w14:paraId="68A5A152">
                  <w:pPr>
                    <w:jc w:val="center"/>
                    <w:rPr>
                      <w:rFonts w:hint="default" w:eastAsia="宋体"/>
                      <w:color w:val="auto"/>
                      <w:sz w:val="18"/>
                      <w:szCs w:val="18"/>
                      <w:lang w:val="en-US" w:eastAsia="zh-CN"/>
                    </w:rPr>
                  </w:pPr>
                  <w:r>
                    <w:rPr>
                      <w:rFonts w:hint="eastAsia"/>
                      <w:color w:val="auto"/>
                      <w:sz w:val="18"/>
                      <w:szCs w:val="18"/>
                      <w:lang w:val="en-US" w:eastAsia="zh-CN"/>
                    </w:rPr>
                    <w:t>设备维护</w:t>
                  </w:r>
                </w:p>
              </w:tc>
              <w:tc>
                <w:tcPr>
                  <w:tcW w:w="438" w:type="pct"/>
                  <w:noWrap w:val="0"/>
                  <w:vAlign w:val="center"/>
                </w:tcPr>
                <w:p w14:paraId="283F8C59">
                  <w:pPr>
                    <w:jc w:val="center"/>
                    <w:rPr>
                      <w:color w:val="auto"/>
                      <w:sz w:val="18"/>
                      <w:szCs w:val="18"/>
                    </w:rPr>
                  </w:pPr>
                  <w:r>
                    <w:rPr>
                      <w:color w:val="auto"/>
                      <w:sz w:val="18"/>
                      <w:szCs w:val="18"/>
                    </w:rPr>
                    <w:t>液态</w:t>
                  </w:r>
                </w:p>
              </w:tc>
              <w:tc>
                <w:tcPr>
                  <w:tcW w:w="490" w:type="pct"/>
                  <w:noWrap w:val="0"/>
                  <w:vAlign w:val="center"/>
                </w:tcPr>
                <w:p w14:paraId="137272F8">
                  <w:pPr>
                    <w:jc w:val="center"/>
                    <w:rPr>
                      <w:rFonts w:hint="eastAsia" w:eastAsia="宋体"/>
                      <w:color w:val="auto"/>
                      <w:sz w:val="18"/>
                      <w:szCs w:val="18"/>
                      <w:lang w:eastAsia="zh-CN"/>
                    </w:rPr>
                  </w:pPr>
                  <w:r>
                    <w:rPr>
                      <w:rFonts w:hint="eastAsia"/>
                      <w:color w:val="auto"/>
                      <w:sz w:val="18"/>
                      <w:szCs w:val="18"/>
                      <w:lang w:val="en-US" w:eastAsia="zh-CN"/>
                    </w:rPr>
                    <w:t>矿物油</w:t>
                  </w:r>
                </w:p>
              </w:tc>
              <w:tc>
                <w:tcPr>
                  <w:tcW w:w="369" w:type="pct"/>
                  <w:noWrap w:val="0"/>
                  <w:vAlign w:val="center"/>
                </w:tcPr>
                <w:p w14:paraId="0ED5FEC8">
                  <w:pPr>
                    <w:jc w:val="center"/>
                    <w:rPr>
                      <w:color w:val="auto"/>
                      <w:sz w:val="18"/>
                      <w:szCs w:val="18"/>
                    </w:rPr>
                  </w:pPr>
                  <w:r>
                    <w:rPr>
                      <w:rFonts w:hint="eastAsia"/>
                      <w:color w:val="auto"/>
                      <w:sz w:val="18"/>
                      <w:szCs w:val="18"/>
                    </w:rPr>
                    <w:t>T</w:t>
                  </w:r>
                </w:p>
              </w:tc>
              <w:tc>
                <w:tcPr>
                  <w:tcW w:w="724" w:type="pct"/>
                  <w:vMerge w:val="restart"/>
                  <w:noWrap w:val="0"/>
                  <w:vAlign w:val="center"/>
                </w:tcPr>
                <w:p w14:paraId="3D7CD689">
                  <w:pPr>
                    <w:topLinePunct/>
                    <w:adjustRightInd w:val="0"/>
                    <w:snapToGrid w:val="0"/>
                    <w:jc w:val="center"/>
                    <w:rPr>
                      <w:rFonts w:hint="eastAsia"/>
                      <w:color w:val="auto"/>
                      <w:sz w:val="18"/>
                      <w:szCs w:val="18"/>
                    </w:rPr>
                  </w:pPr>
                  <w:r>
                    <w:rPr>
                      <w:rFonts w:hint="eastAsia"/>
                      <w:color w:val="auto"/>
                      <w:sz w:val="18"/>
                      <w:szCs w:val="18"/>
                    </w:rPr>
                    <w:t>依托现有危废暂存库暂存，张贴标签，定期交给资质单位处理</w:t>
                  </w:r>
                </w:p>
              </w:tc>
              <w:tc>
                <w:tcPr>
                  <w:tcW w:w="398" w:type="pct"/>
                  <w:vMerge w:val="restart"/>
                  <w:noWrap w:val="0"/>
                  <w:vAlign w:val="center"/>
                </w:tcPr>
                <w:p w14:paraId="48071197">
                  <w:pPr>
                    <w:jc w:val="center"/>
                    <w:rPr>
                      <w:color w:val="auto"/>
                      <w:sz w:val="18"/>
                      <w:szCs w:val="18"/>
                    </w:rPr>
                  </w:pPr>
                  <w:r>
                    <w:rPr>
                      <w:rFonts w:hint="eastAsia"/>
                      <w:color w:val="auto"/>
                      <w:sz w:val="18"/>
                      <w:szCs w:val="18"/>
                    </w:rPr>
                    <w:t>0</w:t>
                  </w:r>
                </w:p>
              </w:tc>
            </w:tr>
            <w:tr w14:paraId="38BDD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09" w:type="pct"/>
                  <w:noWrap w:val="0"/>
                  <w:vAlign w:val="center"/>
                </w:tcPr>
                <w:p w14:paraId="0ACBDAE1">
                  <w:pPr>
                    <w:jc w:val="center"/>
                    <w:rPr>
                      <w:color w:val="auto"/>
                      <w:sz w:val="18"/>
                      <w:szCs w:val="18"/>
                    </w:rPr>
                  </w:pPr>
                  <w:r>
                    <w:rPr>
                      <w:color w:val="auto"/>
                      <w:sz w:val="18"/>
                      <w:szCs w:val="18"/>
                    </w:rPr>
                    <w:t>2</w:t>
                  </w:r>
                </w:p>
              </w:tc>
              <w:tc>
                <w:tcPr>
                  <w:tcW w:w="441" w:type="pct"/>
                  <w:noWrap w:val="0"/>
                  <w:vAlign w:val="center"/>
                </w:tcPr>
                <w:p w14:paraId="6F3D2178">
                  <w:pPr>
                    <w:jc w:val="center"/>
                    <w:rPr>
                      <w:color w:val="auto"/>
                      <w:sz w:val="18"/>
                      <w:szCs w:val="18"/>
                    </w:rPr>
                  </w:pPr>
                  <w:r>
                    <w:rPr>
                      <w:color w:val="auto"/>
                      <w:sz w:val="18"/>
                      <w:szCs w:val="18"/>
                    </w:rPr>
                    <w:t>废油</w:t>
                  </w:r>
                  <w:r>
                    <w:rPr>
                      <w:rFonts w:hint="eastAsia"/>
                      <w:color w:val="auto"/>
                      <w:sz w:val="18"/>
                      <w:szCs w:val="18"/>
                    </w:rPr>
                    <w:t>桶</w:t>
                  </w:r>
                </w:p>
              </w:tc>
              <w:tc>
                <w:tcPr>
                  <w:tcW w:w="473" w:type="pct"/>
                  <w:noWrap w:val="0"/>
                  <w:vAlign w:val="center"/>
                </w:tcPr>
                <w:p w14:paraId="0D745D3F">
                  <w:pPr>
                    <w:jc w:val="center"/>
                    <w:rPr>
                      <w:rFonts w:hint="default" w:eastAsia="宋体"/>
                      <w:color w:val="auto"/>
                      <w:sz w:val="18"/>
                      <w:szCs w:val="18"/>
                      <w:lang w:val="en-US" w:eastAsia="zh-CN"/>
                    </w:rPr>
                  </w:pPr>
                  <w:r>
                    <w:rPr>
                      <w:color w:val="auto"/>
                      <w:sz w:val="18"/>
                      <w:szCs w:val="18"/>
                    </w:rPr>
                    <w:t>HW</w:t>
                  </w:r>
                  <w:r>
                    <w:rPr>
                      <w:rFonts w:hint="eastAsia"/>
                      <w:color w:val="auto"/>
                      <w:sz w:val="18"/>
                      <w:szCs w:val="18"/>
                      <w:lang w:val="en-US" w:eastAsia="zh-CN"/>
                    </w:rPr>
                    <w:t>49</w:t>
                  </w:r>
                </w:p>
              </w:tc>
              <w:tc>
                <w:tcPr>
                  <w:tcW w:w="550" w:type="pct"/>
                  <w:noWrap w:val="0"/>
                  <w:vAlign w:val="center"/>
                </w:tcPr>
                <w:p w14:paraId="3FF3D9CE">
                  <w:pPr>
                    <w:jc w:val="center"/>
                    <w:rPr>
                      <w:rFonts w:hint="default" w:eastAsia="宋体"/>
                      <w:color w:val="auto"/>
                      <w:sz w:val="18"/>
                      <w:szCs w:val="18"/>
                      <w:lang w:val="en-US" w:eastAsia="zh-CN"/>
                    </w:rPr>
                  </w:pPr>
                  <w:r>
                    <w:rPr>
                      <w:color w:val="auto"/>
                      <w:sz w:val="18"/>
                      <w:szCs w:val="18"/>
                    </w:rPr>
                    <w:t>900-</w:t>
                  </w:r>
                  <w:r>
                    <w:rPr>
                      <w:rFonts w:hint="eastAsia"/>
                      <w:color w:val="auto"/>
                      <w:sz w:val="18"/>
                      <w:szCs w:val="18"/>
                      <w:lang w:val="en-US" w:eastAsia="zh-CN"/>
                    </w:rPr>
                    <w:t>041</w:t>
                  </w:r>
                  <w:r>
                    <w:rPr>
                      <w:color w:val="auto"/>
                      <w:sz w:val="18"/>
                      <w:szCs w:val="18"/>
                    </w:rPr>
                    <w:t>-</w:t>
                  </w:r>
                  <w:r>
                    <w:rPr>
                      <w:rFonts w:hint="eastAsia"/>
                      <w:color w:val="auto"/>
                      <w:sz w:val="18"/>
                      <w:szCs w:val="18"/>
                      <w:lang w:val="en-US" w:eastAsia="zh-CN"/>
                    </w:rPr>
                    <w:t>49</w:t>
                  </w:r>
                </w:p>
              </w:tc>
              <w:tc>
                <w:tcPr>
                  <w:tcW w:w="479" w:type="pct"/>
                  <w:noWrap w:val="0"/>
                  <w:vAlign w:val="center"/>
                </w:tcPr>
                <w:p w14:paraId="3859FAE9">
                  <w:pPr>
                    <w:jc w:val="center"/>
                    <w:rPr>
                      <w:rFonts w:hint="eastAsia" w:eastAsia="宋体"/>
                      <w:color w:val="auto"/>
                      <w:sz w:val="18"/>
                      <w:szCs w:val="18"/>
                      <w:lang w:eastAsia="zh-CN"/>
                    </w:rPr>
                  </w:pPr>
                  <w:r>
                    <w:rPr>
                      <w:color w:val="auto"/>
                      <w:sz w:val="18"/>
                      <w:szCs w:val="18"/>
                    </w:rPr>
                    <w:t>0.0</w:t>
                  </w:r>
                  <w:r>
                    <w:rPr>
                      <w:rFonts w:hint="eastAsia"/>
                      <w:color w:val="auto"/>
                      <w:sz w:val="18"/>
                      <w:szCs w:val="18"/>
                      <w:lang w:val="en-US" w:eastAsia="zh-CN"/>
                    </w:rPr>
                    <w:t>3</w:t>
                  </w:r>
                </w:p>
              </w:tc>
              <w:tc>
                <w:tcPr>
                  <w:tcW w:w="423" w:type="pct"/>
                  <w:noWrap w:val="0"/>
                  <w:vAlign w:val="center"/>
                </w:tcPr>
                <w:p w14:paraId="212D0C92">
                  <w:pPr>
                    <w:jc w:val="center"/>
                    <w:rPr>
                      <w:rFonts w:hint="default" w:eastAsia="宋体"/>
                      <w:color w:val="auto"/>
                      <w:sz w:val="18"/>
                      <w:szCs w:val="18"/>
                      <w:lang w:val="en-US" w:eastAsia="zh-CN"/>
                    </w:rPr>
                  </w:pPr>
                  <w:r>
                    <w:rPr>
                      <w:rFonts w:hint="eastAsia"/>
                      <w:color w:val="auto"/>
                      <w:sz w:val="18"/>
                      <w:szCs w:val="18"/>
                      <w:lang w:val="en-US" w:eastAsia="zh-CN"/>
                    </w:rPr>
                    <w:t>辅料使用</w:t>
                  </w:r>
                </w:p>
              </w:tc>
              <w:tc>
                <w:tcPr>
                  <w:tcW w:w="438" w:type="pct"/>
                  <w:noWrap w:val="0"/>
                  <w:vAlign w:val="center"/>
                </w:tcPr>
                <w:p w14:paraId="726BD55D">
                  <w:pPr>
                    <w:jc w:val="center"/>
                    <w:rPr>
                      <w:rFonts w:hint="eastAsia" w:eastAsia="宋体"/>
                      <w:color w:val="auto"/>
                      <w:sz w:val="18"/>
                      <w:szCs w:val="18"/>
                      <w:lang w:eastAsia="zh-CN"/>
                    </w:rPr>
                  </w:pPr>
                  <w:r>
                    <w:rPr>
                      <w:rFonts w:hint="eastAsia"/>
                      <w:color w:val="auto"/>
                      <w:sz w:val="18"/>
                      <w:szCs w:val="18"/>
                      <w:lang w:val="en-US" w:eastAsia="zh-CN"/>
                    </w:rPr>
                    <w:t>固态</w:t>
                  </w:r>
                </w:p>
              </w:tc>
              <w:tc>
                <w:tcPr>
                  <w:tcW w:w="490" w:type="pct"/>
                  <w:noWrap w:val="0"/>
                  <w:vAlign w:val="center"/>
                </w:tcPr>
                <w:p w14:paraId="5EF4C49E">
                  <w:pPr>
                    <w:jc w:val="center"/>
                    <w:rPr>
                      <w:color w:val="auto"/>
                      <w:sz w:val="18"/>
                      <w:szCs w:val="18"/>
                    </w:rPr>
                  </w:pPr>
                  <w:r>
                    <w:rPr>
                      <w:rFonts w:hint="eastAsia"/>
                      <w:color w:val="auto"/>
                      <w:sz w:val="18"/>
                      <w:szCs w:val="18"/>
                      <w:lang w:val="en-US" w:eastAsia="zh-CN"/>
                    </w:rPr>
                    <w:t>矿物油</w:t>
                  </w:r>
                </w:p>
              </w:tc>
              <w:tc>
                <w:tcPr>
                  <w:tcW w:w="369" w:type="pct"/>
                  <w:noWrap w:val="0"/>
                  <w:vAlign w:val="center"/>
                </w:tcPr>
                <w:p w14:paraId="68F37DAB">
                  <w:pPr>
                    <w:jc w:val="center"/>
                    <w:rPr>
                      <w:rFonts w:hint="eastAsia" w:eastAsia="宋体"/>
                      <w:color w:val="auto"/>
                      <w:sz w:val="18"/>
                      <w:szCs w:val="18"/>
                      <w:lang w:val="en-US" w:eastAsia="zh-CN"/>
                    </w:rPr>
                  </w:pPr>
                  <w:r>
                    <w:rPr>
                      <w:color w:val="auto"/>
                      <w:sz w:val="18"/>
                      <w:szCs w:val="18"/>
                    </w:rPr>
                    <w:t>T</w:t>
                  </w:r>
                  <w:r>
                    <w:rPr>
                      <w:rFonts w:hint="eastAsia"/>
                      <w:color w:val="auto"/>
                      <w:sz w:val="18"/>
                      <w:szCs w:val="18"/>
                      <w:lang w:val="en-US" w:eastAsia="zh-CN"/>
                    </w:rPr>
                    <w:t>/</w:t>
                  </w:r>
                  <w:r>
                    <w:rPr>
                      <w:color w:val="auto"/>
                      <w:sz w:val="18"/>
                      <w:szCs w:val="18"/>
                    </w:rPr>
                    <w:t>I</w:t>
                  </w:r>
                  <w:r>
                    <w:rPr>
                      <w:rFonts w:hint="eastAsia"/>
                      <w:color w:val="auto"/>
                      <w:sz w:val="18"/>
                      <w:szCs w:val="18"/>
                      <w:lang w:val="en-US" w:eastAsia="zh-CN"/>
                    </w:rPr>
                    <w:t>n</w:t>
                  </w:r>
                </w:p>
              </w:tc>
              <w:tc>
                <w:tcPr>
                  <w:tcW w:w="724" w:type="pct"/>
                  <w:vMerge w:val="continue"/>
                  <w:noWrap w:val="0"/>
                  <w:vAlign w:val="center"/>
                </w:tcPr>
                <w:p w14:paraId="29918401">
                  <w:pPr>
                    <w:topLinePunct/>
                    <w:adjustRightInd w:val="0"/>
                    <w:snapToGrid w:val="0"/>
                    <w:jc w:val="center"/>
                    <w:rPr>
                      <w:color w:val="auto"/>
                      <w:sz w:val="18"/>
                      <w:szCs w:val="18"/>
                    </w:rPr>
                  </w:pPr>
                </w:p>
              </w:tc>
              <w:tc>
                <w:tcPr>
                  <w:tcW w:w="398" w:type="pct"/>
                  <w:vMerge w:val="continue"/>
                  <w:noWrap w:val="0"/>
                  <w:vAlign w:val="center"/>
                </w:tcPr>
                <w:p w14:paraId="09EBFFF1">
                  <w:pPr>
                    <w:topLinePunct/>
                    <w:adjustRightInd w:val="0"/>
                    <w:snapToGrid w:val="0"/>
                    <w:jc w:val="center"/>
                    <w:rPr>
                      <w:color w:val="auto"/>
                      <w:sz w:val="18"/>
                      <w:szCs w:val="18"/>
                    </w:rPr>
                  </w:pPr>
                </w:p>
              </w:tc>
            </w:tr>
            <w:tr w14:paraId="182BB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 w:type="pct"/>
                  <w:noWrap w:val="0"/>
                  <w:vAlign w:val="center"/>
                </w:tcPr>
                <w:p w14:paraId="6EC07AF0">
                  <w:pPr>
                    <w:jc w:val="center"/>
                    <w:rPr>
                      <w:color w:val="auto"/>
                      <w:sz w:val="18"/>
                      <w:szCs w:val="18"/>
                    </w:rPr>
                  </w:pPr>
                  <w:r>
                    <w:rPr>
                      <w:color w:val="auto"/>
                      <w:sz w:val="18"/>
                      <w:szCs w:val="18"/>
                    </w:rPr>
                    <w:t>3</w:t>
                  </w:r>
                </w:p>
              </w:tc>
              <w:tc>
                <w:tcPr>
                  <w:tcW w:w="441" w:type="pct"/>
                  <w:noWrap w:val="0"/>
                  <w:vAlign w:val="center"/>
                </w:tcPr>
                <w:p w14:paraId="4A264A09">
                  <w:pPr>
                    <w:jc w:val="center"/>
                    <w:rPr>
                      <w:rFonts w:hint="eastAsia" w:eastAsia="宋体"/>
                      <w:color w:val="auto"/>
                      <w:sz w:val="18"/>
                      <w:szCs w:val="18"/>
                      <w:lang w:eastAsia="zh-CN"/>
                    </w:rPr>
                  </w:pPr>
                  <w:r>
                    <w:rPr>
                      <w:color w:val="auto"/>
                      <w:sz w:val="18"/>
                      <w:szCs w:val="18"/>
                    </w:rPr>
                    <w:t>废</w:t>
                  </w:r>
                  <w:r>
                    <w:rPr>
                      <w:rFonts w:hint="eastAsia"/>
                      <w:color w:val="auto"/>
                      <w:sz w:val="18"/>
                      <w:szCs w:val="18"/>
                      <w:lang w:val="en-US" w:eastAsia="zh-CN"/>
                    </w:rPr>
                    <w:t>催化剂</w:t>
                  </w:r>
                </w:p>
              </w:tc>
              <w:tc>
                <w:tcPr>
                  <w:tcW w:w="473" w:type="pct"/>
                  <w:noWrap w:val="0"/>
                  <w:vAlign w:val="center"/>
                </w:tcPr>
                <w:p w14:paraId="2378C6AB">
                  <w:pPr>
                    <w:jc w:val="center"/>
                    <w:rPr>
                      <w:rFonts w:hint="default" w:eastAsia="宋体"/>
                      <w:color w:val="auto"/>
                      <w:sz w:val="18"/>
                      <w:szCs w:val="18"/>
                      <w:lang w:val="en-US" w:eastAsia="zh-CN"/>
                    </w:rPr>
                  </w:pPr>
                  <w:r>
                    <w:rPr>
                      <w:color w:val="auto"/>
                      <w:sz w:val="18"/>
                      <w:szCs w:val="18"/>
                    </w:rPr>
                    <w:t>HW</w:t>
                  </w:r>
                  <w:r>
                    <w:rPr>
                      <w:rFonts w:hint="eastAsia"/>
                      <w:color w:val="auto"/>
                      <w:sz w:val="18"/>
                      <w:szCs w:val="18"/>
                      <w:lang w:val="en-US" w:eastAsia="zh-CN"/>
                    </w:rPr>
                    <w:t>50</w:t>
                  </w:r>
                </w:p>
              </w:tc>
              <w:tc>
                <w:tcPr>
                  <w:tcW w:w="550" w:type="pct"/>
                  <w:noWrap w:val="0"/>
                  <w:vAlign w:val="center"/>
                </w:tcPr>
                <w:p w14:paraId="7E98C7D9">
                  <w:pPr>
                    <w:jc w:val="center"/>
                    <w:rPr>
                      <w:rFonts w:hint="default" w:eastAsia="宋体"/>
                      <w:color w:val="auto"/>
                      <w:sz w:val="18"/>
                      <w:szCs w:val="18"/>
                      <w:lang w:val="en-US" w:eastAsia="zh-CN"/>
                    </w:rPr>
                  </w:pPr>
                  <w:r>
                    <w:rPr>
                      <w:rFonts w:hint="eastAsia"/>
                      <w:color w:val="auto"/>
                      <w:sz w:val="18"/>
                      <w:szCs w:val="18"/>
                      <w:lang w:val="en-US" w:eastAsia="zh-CN"/>
                    </w:rPr>
                    <w:t>772</w:t>
                  </w:r>
                  <w:r>
                    <w:rPr>
                      <w:color w:val="auto"/>
                      <w:sz w:val="18"/>
                      <w:szCs w:val="18"/>
                    </w:rPr>
                    <w:t>-</w:t>
                  </w:r>
                  <w:r>
                    <w:rPr>
                      <w:rFonts w:hint="eastAsia"/>
                      <w:color w:val="auto"/>
                      <w:sz w:val="18"/>
                      <w:szCs w:val="18"/>
                      <w:lang w:val="en-US" w:eastAsia="zh-CN"/>
                    </w:rPr>
                    <w:t>007</w:t>
                  </w:r>
                  <w:r>
                    <w:rPr>
                      <w:color w:val="auto"/>
                      <w:sz w:val="18"/>
                      <w:szCs w:val="18"/>
                    </w:rPr>
                    <w:t>-</w:t>
                  </w:r>
                  <w:r>
                    <w:rPr>
                      <w:rFonts w:hint="eastAsia"/>
                      <w:color w:val="auto"/>
                      <w:sz w:val="18"/>
                      <w:szCs w:val="18"/>
                      <w:lang w:val="en-US" w:eastAsia="zh-CN"/>
                    </w:rPr>
                    <w:t>50</w:t>
                  </w:r>
                </w:p>
              </w:tc>
              <w:tc>
                <w:tcPr>
                  <w:tcW w:w="479" w:type="pct"/>
                  <w:noWrap w:val="0"/>
                  <w:vAlign w:val="center"/>
                </w:tcPr>
                <w:p w14:paraId="2200FD05">
                  <w:pPr>
                    <w:jc w:val="center"/>
                    <w:rPr>
                      <w:rFonts w:hint="default" w:eastAsia="宋体"/>
                      <w:color w:val="auto"/>
                      <w:sz w:val="18"/>
                      <w:szCs w:val="18"/>
                      <w:lang w:val="en-US" w:eastAsia="zh-CN"/>
                    </w:rPr>
                  </w:pPr>
                  <w:r>
                    <w:rPr>
                      <w:rFonts w:hint="eastAsia"/>
                      <w:color w:val="auto"/>
                      <w:sz w:val="18"/>
                      <w:szCs w:val="18"/>
                      <w:lang w:val="en-US" w:eastAsia="zh-CN"/>
                    </w:rPr>
                    <w:t>800条</w:t>
                  </w:r>
                </w:p>
              </w:tc>
              <w:tc>
                <w:tcPr>
                  <w:tcW w:w="423" w:type="pct"/>
                  <w:noWrap w:val="0"/>
                  <w:vAlign w:val="center"/>
                </w:tcPr>
                <w:p w14:paraId="173A8C60">
                  <w:pPr>
                    <w:jc w:val="center"/>
                    <w:rPr>
                      <w:rFonts w:hint="default" w:eastAsia="宋体"/>
                      <w:color w:val="auto"/>
                      <w:sz w:val="18"/>
                      <w:szCs w:val="18"/>
                      <w:lang w:val="en-US" w:eastAsia="zh-CN"/>
                    </w:rPr>
                  </w:pPr>
                  <w:r>
                    <w:rPr>
                      <w:rFonts w:hint="eastAsia"/>
                      <w:color w:val="auto"/>
                      <w:sz w:val="18"/>
                      <w:szCs w:val="18"/>
                      <w:lang w:val="en-US" w:eastAsia="zh-CN"/>
                    </w:rPr>
                    <w:t>废气处理</w:t>
                  </w:r>
                </w:p>
              </w:tc>
              <w:tc>
                <w:tcPr>
                  <w:tcW w:w="438" w:type="pct"/>
                  <w:noWrap w:val="0"/>
                  <w:vAlign w:val="center"/>
                </w:tcPr>
                <w:p w14:paraId="33A1A3B6">
                  <w:pPr>
                    <w:jc w:val="center"/>
                    <w:rPr>
                      <w:rFonts w:hint="eastAsia" w:eastAsia="宋体"/>
                      <w:color w:val="auto"/>
                      <w:sz w:val="18"/>
                      <w:szCs w:val="18"/>
                      <w:lang w:eastAsia="zh-CN"/>
                    </w:rPr>
                  </w:pPr>
                  <w:r>
                    <w:rPr>
                      <w:rFonts w:hint="eastAsia"/>
                      <w:color w:val="auto"/>
                      <w:sz w:val="18"/>
                      <w:szCs w:val="18"/>
                      <w:lang w:val="en-US" w:eastAsia="zh-CN"/>
                    </w:rPr>
                    <w:t>固态</w:t>
                  </w:r>
                </w:p>
              </w:tc>
              <w:tc>
                <w:tcPr>
                  <w:tcW w:w="490" w:type="pct"/>
                  <w:noWrap w:val="0"/>
                  <w:vAlign w:val="center"/>
                </w:tcPr>
                <w:p w14:paraId="4B8284F4">
                  <w:pPr>
                    <w:jc w:val="center"/>
                    <w:rPr>
                      <w:rFonts w:hint="eastAsia" w:eastAsia="宋体"/>
                      <w:color w:val="auto"/>
                      <w:sz w:val="18"/>
                      <w:szCs w:val="18"/>
                      <w:lang w:eastAsia="zh-CN"/>
                    </w:rPr>
                  </w:pPr>
                  <w:r>
                    <w:rPr>
                      <w:rFonts w:hint="eastAsia"/>
                      <w:color w:val="auto"/>
                      <w:sz w:val="18"/>
                      <w:szCs w:val="18"/>
                      <w:lang w:val="en-US" w:eastAsia="zh-CN"/>
                    </w:rPr>
                    <w:t>重金属</w:t>
                  </w:r>
                </w:p>
              </w:tc>
              <w:tc>
                <w:tcPr>
                  <w:tcW w:w="369" w:type="pct"/>
                  <w:noWrap w:val="0"/>
                  <w:vAlign w:val="center"/>
                </w:tcPr>
                <w:p w14:paraId="334DB61E">
                  <w:pPr>
                    <w:jc w:val="center"/>
                    <w:rPr>
                      <w:color w:val="auto"/>
                      <w:sz w:val="18"/>
                      <w:szCs w:val="18"/>
                    </w:rPr>
                  </w:pPr>
                  <w:r>
                    <w:rPr>
                      <w:color w:val="auto"/>
                      <w:sz w:val="18"/>
                      <w:szCs w:val="18"/>
                    </w:rPr>
                    <w:t>T，I</w:t>
                  </w:r>
                </w:p>
              </w:tc>
              <w:tc>
                <w:tcPr>
                  <w:tcW w:w="724" w:type="pct"/>
                  <w:noWrap w:val="0"/>
                  <w:vAlign w:val="center"/>
                </w:tcPr>
                <w:p w14:paraId="19145C0F">
                  <w:pPr>
                    <w:topLinePunct/>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由资质厂家更换直接回收处置</w:t>
                  </w:r>
                </w:p>
              </w:tc>
              <w:tc>
                <w:tcPr>
                  <w:tcW w:w="398" w:type="pct"/>
                  <w:vMerge w:val="continue"/>
                  <w:noWrap w:val="0"/>
                  <w:vAlign w:val="center"/>
                </w:tcPr>
                <w:p w14:paraId="23D30450">
                  <w:pPr>
                    <w:topLinePunct/>
                    <w:adjustRightInd w:val="0"/>
                    <w:snapToGrid w:val="0"/>
                    <w:jc w:val="center"/>
                    <w:rPr>
                      <w:color w:val="auto"/>
                      <w:sz w:val="18"/>
                      <w:szCs w:val="18"/>
                    </w:rPr>
                  </w:pPr>
                </w:p>
              </w:tc>
            </w:tr>
          </w:tbl>
          <w:p w14:paraId="6BA7CBB2">
            <w:pPr>
              <w:pStyle w:val="84"/>
              <w:rPr>
                <w:color w:val="auto"/>
                <w:lang w:val="en-US" w:eastAsia="zh-CN"/>
              </w:rPr>
            </w:pPr>
            <w:r>
              <w:rPr>
                <w:color w:val="auto"/>
                <w:lang w:val="en-US" w:eastAsia="zh-CN"/>
              </w:rPr>
              <w:t>本次评价根据《建设项目危险废物环境影响评价指南》对危险废物的环境影响进行全过程分析评价。拟建项目产生的危险废物暂存</w:t>
            </w:r>
            <w:r>
              <w:rPr>
                <w:rFonts w:hint="eastAsia"/>
                <w:color w:val="auto"/>
                <w:lang w:val="en-US" w:eastAsia="zh-CN"/>
              </w:rPr>
              <w:t>于厂区现有</w:t>
            </w:r>
            <w:r>
              <w:rPr>
                <w:color w:val="auto"/>
                <w:lang w:val="en-US" w:eastAsia="zh-CN"/>
              </w:rPr>
              <w:t>危险废物仓库内。危险废物仓库按项目产生的危险废物种类分别设置暂存点，占地面积均为</w:t>
            </w:r>
            <w:r>
              <w:rPr>
                <w:rFonts w:hint="eastAsia"/>
                <w:color w:val="auto"/>
                <w:lang w:val="en-US" w:eastAsia="zh-CN"/>
              </w:rPr>
              <w:t>1</w:t>
            </w:r>
            <w:r>
              <w:rPr>
                <w:color w:val="auto"/>
                <w:lang w:val="en-US" w:eastAsia="zh-CN"/>
              </w:rPr>
              <w:t>0m</w:t>
            </w:r>
            <w:r>
              <w:rPr>
                <w:color w:val="auto"/>
                <w:vertAlign w:val="superscript"/>
                <w:lang w:val="en-US" w:eastAsia="zh-CN"/>
              </w:rPr>
              <w:t>2</w:t>
            </w:r>
            <w:r>
              <w:rPr>
                <w:color w:val="auto"/>
                <w:lang w:val="en-US" w:eastAsia="zh-CN"/>
              </w:rPr>
              <w:t>，储存能力为</w:t>
            </w:r>
            <w:r>
              <w:rPr>
                <w:rFonts w:hint="eastAsia"/>
                <w:color w:val="auto"/>
                <w:lang w:val="en-US" w:eastAsia="zh-CN"/>
              </w:rPr>
              <w:t>5</w:t>
            </w:r>
            <w:r>
              <w:rPr>
                <w:color w:val="auto"/>
                <w:lang w:val="en-US" w:eastAsia="zh-CN"/>
              </w:rPr>
              <w:t>t</w:t>
            </w:r>
            <w:r>
              <w:rPr>
                <w:rFonts w:hint="eastAsia"/>
                <w:color w:val="auto"/>
                <w:lang w:val="en-US" w:eastAsia="zh-CN"/>
              </w:rPr>
              <w:t>。</w:t>
            </w:r>
          </w:p>
          <w:p w14:paraId="16E03957">
            <w:pPr>
              <w:pStyle w:val="86"/>
              <w:rPr>
                <w:color w:val="auto"/>
              </w:rPr>
            </w:pPr>
            <w:r>
              <w:rPr>
                <w:color w:val="auto"/>
              </w:rPr>
              <w:t>表4</w:t>
            </w:r>
            <w:r>
              <w:rPr>
                <w:rFonts w:hint="eastAsia"/>
                <w:color w:val="auto"/>
              </w:rPr>
              <w:t>-</w:t>
            </w:r>
            <w:r>
              <w:rPr>
                <w:color w:val="auto"/>
              </w:rPr>
              <w:t>17  危险废物暂存点的规模</w:t>
            </w:r>
            <w:r>
              <w:rPr>
                <w:rFonts w:hint="eastAsia"/>
                <w:color w:val="auto"/>
              </w:rPr>
              <w:t>符合性</w:t>
            </w:r>
          </w:p>
          <w:tbl>
            <w:tblPr>
              <w:tblStyle w:val="3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5"/>
              <w:gridCol w:w="881"/>
              <w:gridCol w:w="1144"/>
              <w:gridCol w:w="1032"/>
              <w:gridCol w:w="1060"/>
              <w:gridCol w:w="1856"/>
              <w:gridCol w:w="1039"/>
            </w:tblGrid>
            <w:tr w14:paraId="2C87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75" w:type="pct"/>
                  <w:noWrap w:val="0"/>
                  <w:tcMar>
                    <w:top w:w="10" w:type="dxa"/>
                    <w:left w:w="10" w:type="dxa"/>
                    <w:right w:w="10" w:type="dxa"/>
                  </w:tcMar>
                  <w:vAlign w:val="center"/>
                </w:tcPr>
                <w:p w14:paraId="3CC4D5CC">
                  <w:pPr>
                    <w:widowControl/>
                    <w:jc w:val="center"/>
                    <w:textAlignment w:val="center"/>
                    <w:rPr>
                      <w:color w:val="auto"/>
                      <w:kern w:val="0"/>
                      <w:sz w:val="18"/>
                      <w:szCs w:val="18"/>
                      <w:lang w:bidi="ar"/>
                    </w:rPr>
                  </w:pPr>
                  <w:r>
                    <w:rPr>
                      <w:color w:val="auto"/>
                      <w:kern w:val="0"/>
                      <w:sz w:val="18"/>
                      <w:szCs w:val="18"/>
                      <w:lang w:bidi="ar"/>
                    </w:rPr>
                    <w:t>危废暂存点</w:t>
                  </w:r>
                </w:p>
                <w:p w14:paraId="55614269">
                  <w:pPr>
                    <w:widowControl/>
                    <w:jc w:val="center"/>
                    <w:textAlignment w:val="center"/>
                    <w:rPr>
                      <w:color w:val="auto"/>
                      <w:sz w:val="18"/>
                      <w:szCs w:val="18"/>
                    </w:rPr>
                  </w:pPr>
                  <w:r>
                    <w:rPr>
                      <w:color w:val="auto"/>
                      <w:kern w:val="0"/>
                      <w:sz w:val="18"/>
                      <w:szCs w:val="18"/>
                      <w:lang w:bidi="ar"/>
                    </w:rPr>
                    <w:t>名称</w:t>
                  </w:r>
                </w:p>
              </w:tc>
              <w:tc>
                <w:tcPr>
                  <w:tcW w:w="543" w:type="pct"/>
                  <w:noWrap w:val="0"/>
                  <w:tcMar>
                    <w:top w:w="10" w:type="dxa"/>
                    <w:left w:w="10" w:type="dxa"/>
                    <w:right w:w="10" w:type="dxa"/>
                  </w:tcMar>
                  <w:vAlign w:val="center"/>
                </w:tcPr>
                <w:p w14:paraId="4BF9B21D">
                  <w:pPr>
                    <w:widowControl/>
                    <w:jc w:val="center"/>
                    <w:textAlignment w:val="center"/>
                    <w:rPr>
                      <w:color w:val="auto"/>
                      <w:kern w:val="0"/>
                      <w:sz w:val="18"/>
                      <w:szCs w:val="18"/>
                      <w:lang w:bidi="ar"/>
                    </w:rPr>
                  </w:pPr>
                  <w:r>
                    <w:rPr>
                      <w:color w:val="auto"/>
                      <w:kern w:val="0"/>
                      <w:sz w:val="18"/>
                      <w:szCs w:val="18"/>
                      <w:lang w:bidi="ar"/>
                    </w:rPr>
                    <w:t>设计面积</w:t>
                  </w:r>
                </w:p>
                <w:p w14:paraId="1CDB4847">
                  <w:pPr>
                    <w:widowControl/>
                    <w:jc w:val="center"/>
                    <w:textAlignment w:val="center"/>
                    <w:rPr>
                      <w:color w:val="auto"/>
                      <w:sz w:val="18"/>
                      <w:szCs w:val="18"/>
                    </w:rPr>
                  </w:pPr>
                  <w:r>
                    <w:rPr>
                      <w:color w:val="auto"/>
                      <w:kern w:val="0"/>
                      <w:sz w:val="18"/>
                      <w:szCs w:val="18"/>
                      <w:lang w:bidi="ar"/>
                    </w:rPr>
                    <w:t>m</w:t>
                  </w:r>
                  <w:r>
                    <w:rPr>
                      <w:color w:val="auto"/>
                      <w:kern w:val="0"/>
                      <w:sz w:val="18"/>
                      <w:szCs w:val="18"/>
                      <w:vertAlign w:val="superscript"/>
                      <w:lang w:bidi="ar"/>
                    </w:rPr>
                    <w:t>2</w:t>
                  </w:r>
                </w:p>
              </w:tc>
              <w:tc>
                <w:tcPr>
                  <w:tcW w:w="705" w:type="pct"/>
                  <w:noWrap w:val="0"/>
                  <w:tcMar>
                    <w:top w:w="10" w:type="dxa"/>
                    <w:left w:w="10" w:type="dxa"/>
                    <w:right w:w="10" w:type="dxa"/>
                  </w:tcMar>
                  <w:vAlign w:val="center"/>
                </w:tcPr>
                <w:p w14:paraId="1F81A6CF">
                  <w:pPr>
                    <w:widowControl/>
                    <w:jc w:val="center"/>
                    <w:textAlignment w:val="center"/>
                    <w:rPr>
                      <w:color w:val="auto"/>
                      <w:sz w:val="18"/>
                      <w:szCs w:val="18"/>
                    </w:rPr>
                  </w:pPr>
                  <w:r>
                    <w:rPr>
                      <w:color w:val="auto"/>
                      <w:kern w:val="0"/>
                      <w:sz w:val="18"/>
                      <w:szCs w:val="18"/>
                      <w:lang w:bidi="ar"/>
                    </w:rPr>
                    <w:t>设计最大暂存</w:t>
                  </w:r>
                  <w:r>
                    <w:rPr>
                      <w:rFonts w:hint="eastAsia"/>
                      <w:color w:val="auto"/>
                      <w:kern w:val="0"/>
                      <w:sz w:val="18"/>
                      <w:szCs w:val="18"/>
                      <w:lang w:bidi="ar"/>
                    </w:rPr>
                    <w:t>量</w:t>
                  </w:r>
                  <w:r>
                    <w:rPr>
                      <w:color w:val="auto"/>
                      <w:kern w:val="0"/>
                      <w:sz w:val="18"/>
                      <w:szCs w:val="18"/>
                      <w:lang w:bidi="ar"/>
                    </w:rPr>
                    <w:t>t/a</w:t>
                  </w:r>
                </w:p>
              </w:tc>
              <w:tc>
                <w:tcPr>
                  <w:tcW w:w="636" w:type="pct"/>
                  <w:noWrap w:val="0"/>
                  <w:tcMar>
                    <w:top w:w="10" w:type="dxa"/>
                    <w:left w:w="10" w:type="dxa"/>
                    <w:right w:w="10" w:type="dxa"/>
                  </w:tcMar>
                  <w:vAlign w:val="center"/>
                </w:tcPr>
                <w:p w14:paraId="4D50C266">
                  <w:pPr>
                    <w:widowControl/>
                    <w:jc w:val="center"/>
                    <w:textAlignment w:val="center"/>
                    <w:rPr>
                      <w:color w:val="auto"/>
                      <w:sz w:val="18"/>
                      <w:szCs w:val="18"/>
                    </w:rPr>
                  </w:pPr>
                  <w:r>
                    <w:rPr>
                      <w:rFonts w:hint="eastAsia"/>
                      <w:color w:val="auto"/>
                      <w:kern w:val="0"/>
                      <w:sz w:val="18"/>
                      <w:szCs w:val="18"/>
                      <w:lang w:bidi="ar"/>
                    </w:rPr>
                    <w:t>全厂</w:t>
                  </w:r>
                  <w:r>
                    <w:rPr>
                      <w:color w:val="auto"/>
                      <w:kern w:val="0"/>
                      <w:sz w:val="18"/>
                      <w:szCs w:val="18"/>
                      <w:lang w:bidi="ar"/>
                    </w:rPr>
                    <w:t>年产生量t/a</w:t>
                  </w:r>
                </w:p>
              </w:tc>
              <w:tc>
                <w:tcPr>
                  <w:tcW w:w="653" w:type="pct"/>
                  <w:noWrap w:val="0"/>
                  <w:tcMar>
                    <w:top w:w="10" w:type="dxa"/>
                    <w:left w:w="10" w:type="dxa"/>
                    <w:right w:w="10" w:type="dxa"/>
                  </w:tcMar>
                  <w:vAlign w:val="center"/>
                </w:tcPr>
                <w:p w14:paraId="19225426">
                  <w:pPr>
                    <w:widowControl/>
                    <w:jc w:val="center"/>
                    <w:textAlignment w:val="center"/>
                    <w:rPr>
                      <w:color w:val="auto"/>
                      <w:sz w:val="18"/>
                      <w:szCs w:val="18"/>
                    </w:rPr>
                  </w:pPr>
                  <w:r>
                    <w:rPr>
                      <w:color w:val="auto"/>
                      <w:kern w:val="0"/>
                      <w:sz w:val="18"/>
                      <w:szCs w:val="18"/>
                      <w:lang w:bidi="ar"/>
                    </w:rPr>
                    <w:t>贮存周期</w:t>
                  </w:r>
                </w:p>
              </w:tc>
              <w:tc>
                <w:tcPr>
                  <w:tcW w:w="1144" w:type="pct"/>
                  <w:noWrap w:val="0"/>
                  <w:tcMar>
                    <w:top w:w="10" w:type="dxa"/>
                    <w:left w:w="10" w:type="dxa"/>
                    <w:right w:w="10" w:type="dxa"/>
                  </w:tcMar>
                  <w:vAlign w:val="center"/>
                </w:tcPr>
                <w:p w14:paraId="0F4233FE">
                  <w:pPr>
                    <w:widowControl/>
                    <w:jc w:val="center"/>
                    <w:textAlignment w:val="center"/>
                    <w:rPr>
                      <w:color w:val="auto"/>
                      <w:sz w:val="18"/>
                      <w:szCs w:val="18"/>
                    </w:rPr>
                  </w:pPr>
                  <w:r>
                    <w:rPr>
                      <w:color w:val="auto"/>
                      <w:kern w:val="0"/>
                      <w:sz w:val="18"/>
                      <w:szCs w:val="18"/>
                      <w:lang w:bidi="ar"/>
                    </w:rPr>
                    <w:t>去向</w:t>
                  </w:r>
                </w:p>
              </w:tc>
              <w:tc>
                <w:tcPr>
                  <w:tcW w:w="640" w:type="pct"/>
                  <w:noWrap w:val="0"/>
                  <w:tcMar>
                    <w:top w:w="10" w:type="dxa"/>
                    <w:left w:w="10" w:type="dxa"/>
                    <w:right w:w="10" w:type="dxa"/>
                  </w:tcMar>
                  <w:vAlign w:val="center"/>
                </w:tcPr>
                <w:p w14:paraId="654ED016">
                  <w:pPr>
                    <w:widowControl/>
                    <w:jc w:val="center"/>
                    <w:textAlignment w:val="center"/>
                    <w:rPr>
                      <w:color w:val="auto"/>
                      <w:sz w:val="18"/>
                      <w:szCs w:val="18"/>
                    </w:rPr>
                  </w:pPr>
                  <w:r>
                    <w:rPr>
                      <w:color w:val="auto"/>
                      <w:kern w:val="0"/>
                      <w:sz w:val="18"/>
                      <w:szCs w:val="18"/>
                      <w:lang w:bidi="ar"/>
                    </w:rPr>
                    <w:t>是否</w:t>
                  </w:r>
                  <w:r>
                    <w:rPr>
                      <w:rFonts w:hint="eastAsia"/>
                      <w:color w:val="auto"/>
                      <w:kern w:val="0"/>
                      <w:sz w:val="18"/>
                      <w:szCs w:val="18"/>
                      <w:lang w:bidi="ar"/>
                    </w:rPr>
                    <w:t>符合</w:t>
                  </w:r>
                </w:p>
              </w:tc>
            </w:tr>
            <w:tr w14:paraId="244D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75" w:type="pct"/>
                  <w:noWrap w:val="0"/>
                  <w:tcMar>
                    <w:top w:w="10" w:type="dxa"/>
                    <w:left w:w="10" w:type="dxa"/>
                    <w:right w:w="10" w:type="dxa"/>
                  </w:tcMar>
                  <w:vAlign w:val="center"/>
                </w:tcPr>
                <w:p w14:paraId="50908214">
                  <w:pPr>
                    <w:widowControl/>
                    <w:jc w:val="center"/>
                    <w:textAlignment w:val="center"/>
                    <w:rPr>
                      <w:color w:val="auto"/>
                      <w:sz w:val="18"/>
                      <w:szCs w:val="18"/>
                    </w:rPr>
                  </w:pPr>
                  <w:r>
                    <w:rPr>
                      <w:rFonts w:hint="eastAsia"/>
                      <w:color w:val="auto"/>
                      <w:kern w:val="0"/>
                      <w:sz w:val="18"/>
                      <w:szCs w:val="18"/>
                      <w:lang w:bidi="ar"/>
                    </w:rPr>
                    <w:t>H</w:t>
                  </w:r>
                  <w:r>
                    <w:rPr>
                      <w:color w:val="auto"/>
                      <w:kern w:val="0"/>
                      <w:sz w:val="18"/>
                      <w:szCs w:val="18"/>
                      <w:lang w:bidi="ar"/>
                    </w:rPr>
                    <w:t>W08</w:t>
                  </w:r>
                  <w:r>
                    <w:rPr>
                      <w:rFonts w:hint="eastAsia"/>
                      <w:color w:val="auto"/>
                      <w:kern w:val="0"/>
                      <w:sz w:val="18"/>
                      <w:szCs w:val="18"/>
                      <w:lang w:bidi="ar"/>
                    </w:rPr>
                    <w:t>类</w:t>
                  </w:r>
                </w:p>
              </w:tc>
              <w:tc>
                <w:tcPr>
                  <w:tcW w:w="543" w:type="pct"/>
                  <w:noWrap w:val="0"/>
                  <w:tcMar>
                    <w:top w:w="10" w:type="dxa"/>
                    <w:left w:w="10" w:type="dxa"/>
                    <w:right w:w="10" w:type="dxa"/>
                  </w:tcMar>
                  <w:vAlign w:val="center"/>
                </w:tcPr>
                <w:p w14:paraId="2C833E47">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10</w:t>
                  </w:r>
                </w:p>
              </w:tc>
              <w:tc>
                <w:tcPr>
                  <w:tcW w:w="705" w:type="pct"/>
                  <w:noWrap w:val="0"/>
                  <w:tcMar>
                    <w:top w:w="10" w:type="dxa"/>
                    <w:left w:w="10" w:type="dxa"/>
                    <w:right w:w="10" w:type="dxa"/>
                  </w:tcMar>
                  <w:vAlign w:val="center"/>
                </w:tcPr>
                <w:p w14:paraId="0D95871D">
                  <w:pPr>
                    <w:widowControl/>
                    <w:jc w:val="center"/>
                    <w:textAlignment w:val="center"/>
                    <w:rPr>
                      <w:rFonts w:hint="eastAsia" w:eastAsia="宋体"/>
                      <w:color w:val="auto"/>
                      <w:sz w:val="18"/>
                      <w:szCs w:val="18"/>
                      <w:lang w:eastAsia="zh-CN"/>
                    </w:rPr>
                  </w:pPr>
                  <w:r>
                    <w:rPr>
                      <w:rFonts w:hint="eastAsia"/>
                      <w:color w:val="auto"/>
                      <w:kern w:val="0"/>
                      <w:sz w:val="18"/>
                      <w:szCs w:val="18"/>
                      <w:lang w:val="en-US" w:eastAsia="zh-CN" w:bidi="ar"/>
                    </w:rPr>
                    <w:t>5</w:t>
                  </w:r>
                </w:p>
              </w:tc>
              <w:tc>
                <w:tcPr>
                  <w:tcW w:w="636" w:type="pct"/>
                  <w:noWrap w:val="0"/>
                  <w:tcMar>
                    <w:top w:w="10" w:type="dxa"/>
                    <w:left w:w="10" w:type="dxa"/>
                    <w:right w:w="10" w:type="dxa"/>
                  </w:tcMar>
                  <w:vAlign w:val="center"/>
                </w:tcPr>
                <w:p w14:paraId="0C1A2A18">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1.03</w:t>
                  </w:r>
                </w:p>
              </w:tc>
              <w:tc>
                <w:tcPr>
                  <w:tcW w:w="653" w:type="pct"/>
                  <w:noWrap w:val="0"/>
                  <w:tcMar>
                    <w:top w:w="10" w:type="dxa"/>
                    <w:left w:w="10" w:type="dxa"/>
                    <w:right w:w="10" w:type="dxa"/>
                  </w:tcMar>
                  <w:vAlign w:val="center"/>
                </w:tcPr>
                <w:p w14:paraId="2D1D821A">
                  <w:pPr>
                    <w:widowControl/>
                    <w:jc w:val="center"/>
                    <w:textAlignment w:val="center"/>
                    <w:rPr>
                      <w:color w:val="auto"/>
                      <w:sz w:val="18"/>
                      <w:szCs w:val="18"/>
                    </w:rPr>
                  </w:pPr>
                  <w:r>
                    <w:rPr>
                      <w:color w:val="auto"/>
                      <w:kern w:val="0"/>
                      <w:sz w:val="18"/>
                      <w:szCs w:val="18"/>
                      <w:lang w:bidi="ar"/>
                    </w:rPr>
                    <w:t>12个月</w:t>
                  </w:r>
                </w:p>
              </w:tc>
              <w:tc>
                <w:tcPr>
                  <w:tcW w:w="1144" w:type="pct"/>
                  <w:noWrap w:val="0"/>
                  <w:tcMar>
                    <w:top w:w="10" w:type="dxa"/>
                    <w:left w:w="10" w:type="dxa"/>
                    <w:right w:w="10" w:type="dxa"/>
                  </w:tcMar>
                  <w:vAlign w:val="center"/>
                </w:tcPr>
                <w:p w14:paraId="3C7330E5">
                  <w:pPr>
                    <w:jc w:val="center"/>
                    <w:textAlignment w:val="center"/>
                    <w:rPr>
                      <w:color w:val="auto"/>
                      <w:sz w:val="18"/>
                      <w:szCs w:val="18"/>
                    </w:rPr>
                  </w:pPr>
                  <w:r>
                    <w:rPr>
                      <w:color w:val="auto"/>
                      <w:kern w:val="0"/>
                      <w:sz w:val="18"/>
                      <w:szCs w:val="18"/>
                      <w:lang w:bidi="ar"/>
                    </w:rPr>
                    <w:t>委托有资质的单位回收处置</w:t>
                  </w:r>
                </w:p>
              </w:tc>
              <w:tc>
                <w:tcPr>
                  <w:tcW w:w="640" w:type="pct"/>
                  <w:noWrap w:val="0"/>
                  <w:tcMar>
                    <w:top w:w="10" w:type="dxa"/>
                    <w:left w:w="10" w:type="dxa"/>
                    <w:right w:w="10" w:type="dxa"/>
                  </w:tcMar>
                  <w:vAlign w:val="center"/>
                </w:tcPr>
                <w:p w14:paraId="4581798B">
                  <w:pPr>
                    <w:widowControl/>
                    <w:jc w:val="center"/>
                    <w:textAlignment w:val="center"/>
                    <w:rPr>
                      <w:color w:val="auto"/>
                      <w:sz w:val="18"/>
                      <w:szCs w:val="18"/>
                    </w:rPr>
                  </w:pPr>
                  <w:r>
                    <w:rPr>
                      <w:rFonts w:hint="eastAsia"/>
                      <w:color w:val="auto"/>
                      <w:kern w:val="0"/>
                      <w:sz w:val="18"/>
                      <w:szCs w:val="18"/>
                      <w:lang w:bidi="ar"/>
                    </w:rPr>
                    <w:t>符合</w:t>
                  </w:r>
                </w:p>
              </w:tc>
            </w:tr>
            <w:tr w14:paraId="5B18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75" w:type="pct"/>
                  <w:noWrap w:val="0"/>
                  <w:tcMar>
                    <w:top w:w="10" w:type="dxa"/>
                    <w:left w:w="10" w:type="dxa"/>
                    <w:right w:w="10" w:type="dxa"/>
                  </w:tcMar>
                  <w:vAlign w:val="center"/>
                </w:tcPr>
                <w:p w14:paraId="45317746">
                  <w:pPr>
                    <w:widowControl/>
                    <w:jc w:val="center"/>
                    <w:textAlignment w:val="center"/>
                    <w:rPr>
                      <w:rFonts w:hint="eastAsia"/>
                      <w:color w:val="auto"/>
                      <w:kern w:val="0"/>
                      <w:sz w:val="18"/>
                      <w:szCs w:val="18"/>
                      <w:lang w:bidi="ar"/>
                    </w:rPr>
                  </w:pPr>
                  <w:r>
                    <w:rPr>
                      <w:rFonts w:hint="eastAsia"/>
                      <w:color w:val="auto"/>
                      <w:kern w:val="0"/>
                      <w:sz w:val="18"/>
                      <w:szCs w:val="18"/>
                      <w:lang w:bidi="ar"/>
                    </w:rPr>
                    <w:t>H</w:t>
                  </w:r>
                  <w:r>
                    <w:rPr>
                      <w:color w:val="auto"/>
                      <w:kern w:val="0"/>
                      <w:sz w:val="18"/>
                      <w:szCs w:val="18"/>
                      <w:lang w:bidi="ar"/>
                    </w:rPr>
                    <w:t>W</w:t>
                  </w:r>
                  <w:r>
                    <w:rPr>
                      <w:rFonts w:hint="eastAsia"/>
                      <w:color w:val="auto"/>
                      <w:kern w:val="0"/>
                      <w:sz w:val="18"/>
                      <w:szCs w:val="18"/>
                      <w:lang w:val="en-US" w:eastAsia="zh-CN" w:bidi="ar"/>
                    </w:rPr>
                    <w:t>50</w:t>
                  </w:r>
                  <w:r>
                    <w:rPr>
                      <w:rFonts w:hint="eastAsia"/>
                      <w:color w:val="auto"/>
                      <w:kern w:val="0"/>
                      <w:sz w:val="18"/>
                      <w:szCs w:val="18"/>
                      <w:lang w:bidi="ar"/>
                    </w:rPr>
                    <w:t>类</w:t>
                  </w:r>
                </w:p>
              </w:tc>
              <w:tc>
                <w:tcPr>
                  <w:tcW w:w="543" w:type="pct"/>
                  <w:noWrap w:val="0"/>
                  <w:tcMar>
                    <w:top w:w="10" w:type="dxa"/>
                    <w:left w:w="10" w:type="dxa"/>
                    <w:right w:w="10" w:type="dxa"/>
                  </w:tcMar>
                  <w:vAlign w:val="center"/>
                </w:tcPr>
                <w:p w14:paraId="620D8363">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705" w:type="pct"/>
                  <w:noWrap w:val="0"/>
                  <w:tcMar>
                    <w:top w:w="10" w:type="dxa"/>
                    <w:left w:w="10" w:type="dxa"/>
                    <w:right w:w="10" w:type="dxa"/>
                  </w:tcMar>
                  <w:vAlign w:val="center"/>
                </w:tcPr>
                <w:p w14:paraId="56D1390C">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636" w:type="pct"/>
                  <w:noWrap w:val="0"/>
                  <w:tcMar>
                    <w:top w:w="10" w:type="dxa"/>
                    <w:left w:w="10" w:type="dxa"/>
                    <w:right w:w="10" w:type="dxa"/>
                  </w:tcMar>
                  <w:vAlign w:val="center"/>
                </w:tcPr>
                <w:p w14:paraId="6998F03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14立方</w:t>
                  </w:r>
                </w:p>
              </w:tc>
              <w:tc>
                <w:tcPr>
                  <w:tcW w:w="653" w:type="pct"/>
                  <w:noWrap w:val="0"/>
                  <w:tcMar>
                    <w:top w:w="10" w:type="dxa"/>
                    <w:left w:w="10" w:type="dxa"/>
                    <w:right w:w="10" w:type="dxa"/>
                  </w:tcMar>
                  <w:vAlign w:val="center"/>
                </w:tcPr>
                <w:p w14:paraId="3BD809F6">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1144" w:type="pct"/>
                  <w:noWrap w:val="0"/>
                  <w:tcMar>
                    <w:top w:w="10" w:type="dxa"/>
                    <w:left w:w="10" w:type="dxa"/>
                    <w:right w:w="10" w:type="dxa"/>
                  </w:tcMar>
                  <w:vAlign w:val="center"/>
                </w:tcPr>
                <w:p w14:paraId="164555F3">
                  <w:pPr>
                    <w:jc w:val="center"/>
                    <w:textAlignment w:val="center"/>
                    <w:rPr>
                      <w:color w:val="auto"/>
                      <w:kern w:val="0"/>
                      <w:sz w:val="18"/>
                      <w:szCs w:val="18"/>
                      <w:lang w:bidi="ar"/>
                    </w:rPr>
                  </w:pPr>
                  <w:r>
                    <w:rPr>
                      <w:rFonts w:hint="eastAsia"/>
                      <w:color w:val="auto"/>
                      <w:kern w:val="0"/>
                      <w:sz w:val="18"/>
                      <w:szCs w:val="18"/>
                      <w:lang w:val="en-US" w:eastAsia="zh-CN" w:bidi="ar"/>
                    </w:rPr>
                    <w:t>由专业厂界更换直接回收处理，厂家具备该项危废处理资质</w:t>
                  </w:r>
                </w:p>
              </w:tc>
              <w:tc>
                <w:tcPr>
                  <w:tcW w:w="640" w:type="pct"/>
                  <w:noWrap w:val="0"/>
                  <w:tcMar>
                    <w:top w:w="10" w:type="dxa"/>
                    <w:left w:w="10" w:type="dxa"/>
                    <w:right w:w="10" w:type="dxa"/>
                  </w:tcMar>
                  <w:vAlign w:val="center"/>
                </w:tcPr>
                <w:p w14:paraId="355491B8">
                  <w:pPr>
                    <w:widowControl/>
                    <w:jc w:val="center"/>
                    <w:textAlignment w:val="center"/>
                    <w:rPr>
                      <w:rFonts w:hint="eastAsia"/>
                      <w:color w:val="auto"/>
                      <w:kern w:val="0"/>
                      <w:sz w:val="18"/>
                      <w:szCs w:val="18"/>
                      <w:lang w:bidi="ar"/>
                    </w:rPr>
                  </w:pPr>
                  <w:r>
                    <w:rPr>
                      <w:rFonts w:hint="eastAsia"/>
                      <w:color w:val="auto"/>
                      <w:kern w:val="0"/>
                      <w:sz w:val="18"/>
                      <w:szCs w:val="18"/>
                      <w:lang w:bidi="ar"/>
                    </w:rPr>
                    <w:t>符合</w:t>
                  </w:r>
                </w:p>
              </w:tc>
            </w:tr>
          </w:tbl>
          <w:p w14:paraId="362B7E7E">
            <w:pPr>
              <w:pStyle w:val="84"/>
              <w:rPr>
                <w:rFonts w:hint="eastAsia"/>
                <w:color w:val="auto"/>
                <w:lang w:val="en-US" w:eastAsia="zh-CN"/>
              </w:rPr>
            </w:pPr>
            <w:r>
              <w:rPr>
                <w:rFonts w:hint="eastAsia"/>
                <w:color w:val="auto"/>
                <w:lang w:val="en-US" w:eastAsia="zh-CN"/>
              </w:rPr>
              <w:t>厂区现有</w:t>
            </w:r>
            <w:r>
              <w:rPr>
                <w:color w:val="auto"/>
                <w:lang w:val="en-US" w:eastAsia="zh-CN"/>
              </w:rPr>
              <w:t>危险废物仓库不同危险废物分区的贮存能力均能满足对应危险废物贮存要求。</w:t>
            </w:r>
            <w:r>
              <w:rPr>
                <w:rFonts w:hint="eastAsia"/>
                <w:color w:val="auto"/>
                <w:lang w:val="en-US" w:eastAsia="zh-CN"/>
              </w:rPr>
              <w:t>厂区已按照相关要求</w:t>
            </w:r>
            <w:r>
              <w:rPr>
                <w:color w:val="auto"/>
                <w:lang w:val="en-US" w:eastAsia="zh-CN"/>
              </w:rPr>
              <w:t>危废暂存库做到“四防”（防风、防雨、防晒、防渗漏）控制措施，暂存库地面与裙脚均采用达到标准要求防渗的材料建造，其防渗渗透系数≤10</w:t>
            </w:r>
            <w:r>
              <w:rPr>
                <w:color w:val="auto"/>
                <w:vertAlign w:val="superscript"/>
                <w:lang w:val="en-US" w:eastAsia="zh-CN"/>
              </w:rPr>
              <w:t>-7</w:t>
            </w:r>
            <w:r>
              <w:rPr>
                <w:color w:val="auto"/>
                <w:lang w:val="en-US" w:eastAsia="zh-CN"/>
              </w:rPr>
              <w:t>厘米/秒，防渗建筑材料与危险废物兼容。厂区危险废物暂存间要求基本符合</w:t>
            </w:r>
            <w:r>
              <w:rPr>
                <w:rFonts w:hint="eastAsia"/>
                <w:color w:val="auto"/>
                <w:lang w:val="en-US" w:eastAsia="zh-CN"/>
              </w:rPr>
              <w:t>《危险废物贮存污染控制标准》（GB 18597-2023）</w:t>
            </w:r>
            <w:r>
              <w:rPr>
                <w:color w:val="auto"/>
                <w:lang w:val="en-US" w:eastAsia="zh-CN"/>
              </w:rPr>
              <w:t>相关要求。</w:t>
            </w:r>
          </w:p>
          <w:p w14:paraId="49400DAC">
            <w:pPr>
              <w:pStyle w:val="84"/>
              <w:rPr>
                <w:color w:val="auto"/>
                <w:lang w:val="en-US" w:eastAsia="zh-CN"/>
              </w:rPr>
            </w:pPr>
            <w:r>
              <w:rPr>
                <w:color w:val="auto"/>
                <w:lang w:val="en-US" w:eastAsia="zh-CN"/>
              </w:rPr>
              <w:t>此外，对现有危险废物暂存库设计及危险废物暂存要求，本次评价提出以下补充相关要求：</w:t>
            </w:r>
          </w:p>
          <w:p w14:paraId="6E75B1B3">
            <w:pPr>
              <w:pStyle w:val="84"/>
              <w:rPr>
                <w:color w:val="auto"/>
                <w:lang w:val="en-US" w:eastAsia="zh-CN"/>
              </w:rPr>
            </w:pPr>
            <w:r>
              <w:rPr>
                <w:rFonts w:hint="eastAsia"/>
                <w:bCs w:val="0"/>
                <w:color w:val="auto"/>
                <w:lang w:val="en-US" w:eastAsia="zh-CN"/>
              </w:rPr>
              <w:t>①</w:t>
            </w:r>
            <w:r>
              <w:rPr>
                <w:bCs w:val="0"/>
                <w:color w:val="auto"/>
                <w:lang w:val="en-US" w:eastAsia="zh-CN"/>
              </w:rPr>
              <w:t>按</w:t>
            </w:r>
            <w:r>
              <w:rPr>
                <w:color w:val="auto"/>
                <w:lang w:val="en-US" w:eastAsia="zh-CN"/>
              </w:rPr>
              <w:t>照危废贮存按</w:t>
            </w:r>
            <w:r>
              <w:rPr>
                <w:rFonts w:hint="eastAsia"/>
                <w:color w:val="auto"/>
                <w:lang w:val="en-US" w:eastAsia="zh-CN"/>
              </w:rPr>
              <w:t>《危险废物贮存污染控制标准》（GB18597-2023）</w:t>
            </w:r>
            <w:r>
              <w:rPr>
                <w:color w:val="auto"/>
                <w:lang w:val="en-US" w:eastAsia="zh-CN"/>
              </w:rPr>
              <w:t>要求，对现有的危险废物暂存点设计规范化的边沟及集液池，对墙体裙脚进行防渗处理。</w:t>
            </w:r>
          </w:p>
          <w:p w14:paraId="2EE43EA9">
            <w:pPr>
              <w:pStyle w:val="84"/>
              <w:rPr>
                <w:color w:val="auto"/>
                <w:lang w:val="en-US" w:eastAsia="zh-CN"/>
              </w:rPr>
            </w:pPr>
            <w:r>
              <w:rPr>
                <w:rFonts w:hint="eastAsia"/>
                <w:color w:val="auto"/>
                <w:lang w:val="en-US" w:eastAsia="zh-CN"/>
              </w:rPr>
              <w:t>②</w:t>
            </w:r>
            <w:r>
              <w:rPr>
                <w:color w:val="auto"/>
                <w:lang w:val="en-US" w:eastAsia="zh-CN"/>
              </w:rPr>
              <w:t>本次评价要求对拟建项目产生的危险废物均采用专业容器贮存，</w:t>
            </w:r>
            <w:r>
              <w:rPr>
                <w:rFonts w:hint="eastAsia"/>
                <w:color w:val="auto"/>
                <w:lang w:val="en-US" w:eastAsia="zh-CN"/>
              </w:rPr>
              <w:t>或</w:t>
            </w:r>
            <w:r>
              <w:rPr>
                <w:color w:val="auto"/>
                <w:lang w:val="en-US" w:eastAsia="zh-CN"/>
              </w:rPr>
              <w:t>采用防渗漏袋装密封贮存暂存于危废暂存间内。同时本次评价要求企业应对危险废物存放设施实施严格的管理：</w:t>
            </w:r>
          </w:p>
          <w:p w14:paraId="478EE029">
            <w:pPr>
              <w:pStyle w:val="84"/>
              <w:rPr>
                <w:color w:val="auto"/>
                <w:lang w:val="en-US" w:eastAsia="zh-CN"/>
              </w:rPr>
            </w:pPr>
            <w:r>
              <w:rPr>
                <w:color w:val="auto"/>
                <w:lang w:val="en-US" w:eastAsia="zh-CN"/>
              </w:rPr>
              <w:t>Ⅰ、必须定期对贮存的危险废物包装容器及贮存设施进行检查，发现破损，应及时采取措施清理更换；</w:t>
            </w:r>
          </w:p>
          <w:p w14:paraId="338D9532">
            <w:pPr>
              <w:pStyle w:val="84"/>
              <w:rPr>
                <w:color w:val="auto"/>
                <w:lang w:val="en-US" w:eastAsia="zh-CN"/>
              </w:rPr>
            </w:pPr>
            <w:r>
              <w:rPr>
                <w:color w:val="auto"/>
                <w:lang w:val="en-US" w:eastAsia="zh-CN"/>
              </w:rPr>
              <w:t>Ⅱ、危险废物贮存设施应配备通讯设备、照明设施、安全防护服装及工具，并设有应急防护设施。</w:t>
            </w:r>
          </w:p>
          <w:p w14:paraId="3060C627">
            <w:pPr>
              <w:pStyle w:val="84"/>
              <w:rPr>
                <w:color w:val="auto"/>
                <w:lang w:val="en-US" w:eastAsia="zh-CN"/>
              </w:rPr>
            </w:pPr>
            <w:r>
              <w:rPr>
                <w:rFonts w:hint="eastAsia"/>
                <w:color w:val="auto"/>
                <w:lang w:val="en-US" w:eastAsia="zh-CN"/>
              </w:rPr>
              <w:t>③</w:t>
            </w:r>
            <w:r>
              <w:rPr>
                <w:color w:val="auto"/>
                <w:lang w:val="en-US" w:eastAsia="zh-CN"/>
              </w:rPr>
              <w:t>危险废物贮存设施内清理出来的泄漏物，一律按危险废物处理。</w:t>
            </w:r>
          </w:p>
          <w:p w14:paraId="59D52E06">
            <w:pPr>
              <w:pStyle w:val="84"/>
              <w:ind w:firstLine="422"/>
              <w:rPr>
                <w:b/>
                <w:color w:val="auto"/>
                <w:lang w:val="en-US" w:eastAsia="zh-CN"/>
              </w:rPr>
            </w:pPr>
            <w:r>
              <w:rPr>
                <w:b/>
                <w:color w:val="auto"/>
                <w:lang w:val="en-US" w:eastAsia="zh-CN"/>
              </w:rPr>
              <w:t>3、危险废物运输过程的环境影响分析</w:t>
            </w:r>
          </w:p>
          <w:p w14:paraId="34AD8C97">
            <w:pPr>
              <w:pStyle w:val="84"/>
              <w:rPr>
                <w:color w:val="auto"/>
                <w:lang w:val="en-US" w:eastAsia="zh-CN"/>
              </w:rPr>
            </w:pPr>
            <w:r>
              <w:rPr>
                <w:rFonts w:hint="eastAsia"/>
                <w:color w:val="auto"/>
                <w:lang w:val="en-US" w:eastAsia="zh-CN"/>
              </w:rPr>
              <w:t>①</w:t>
            </w:r>
            <w:r>
              <w:rPr>
                <w:color w:val="auto"/>
                <w:lang w:val="en-US" w:eastAsia="zh-CN"/>
              </w:rPr>
              <w:t>本项目危险废物均委托有资质单位运输危险废物，根据《危险废物收集贮存运输技术规范》（HJ2025-2012），资质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7AA40C31">
            <w:pPr>
              <w:pStyle w:val="84"/>
              <w:rPr>
                <w:color w:val="auto"/>
                <w:lang w:val="en-US" w:eastAsia="zh-CN"/>
              </w:rPr>
            </w:pPr>
            <w:r>
              <w:rPr>
                <w:rFonts w:hint="eastAsia"/>
                <w:color w:val="auto"/>
                <w:lang w:val="en-US" w:eastAsia="zh-CN"/>
              </w:rPr>
              <w:t>②</w:t>
            </w:r>
            <w:r>
              <w:rPr>
                <w:color w:val="auto"/>
                <w:lang w:val="en-US" w:eastAsia="zh-CN"/>
              </w:rPr>
              <w:t>危险废物转移过程应按《危险废物转移联单管理办法》执行。</w:t>
            </w:r>
          </w:p>
          <w:p w14:paraId="36553D76">
            <w:pPr>
              <w:pStyle w:val="84"/>
              <w:rPr>
                <w:color w:val="auto"/>
                <w:lang w:val="en-US" w:eastAsia="zh-CN"/>
              </w:rPr>
            </w:pPr>
            <w:r>
              <w:rPr>
                <w:rFonts w:hint="eastAsia"/>
                <w:color w:val="auto"/>
                <w:lang w:val="en-US" w:eastAsia="zh-CN"/>
              </w:rPr>
              <w:t>③</w:t>
            </w:r>
            <w:r>
              <w:rPr>
                <w:color w:val="auto"/>
                <w:lang w:val="en-US" w:eastAsia="zh-CN"/>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14:paraId="14EEA779">
            <w:pPr>
              <w:pStyle w:val="84"/>
              <w:rPr>
                <w:color w:val="auto"/>
                <w:lang w:val="en-US" w:eastAsia="zh-CN"/>
              </w:rPr>
            </w:pPr>
            <w:r>
              <w:rPr>
                <w:rFonts w:hint="eastAsia"/>
                <w:color w:val="auto"/>
                <w:lang w:val="en-US" w:eastAsia="zh-CN"/>
              </w:rPr>
              <w:t>④</w:t>
            </w:r>
            <w:r>
              <w:rPr>
                <w:color w:val="auto"/>
                <w:lang w:val="en-US" w:eastAsia="zh-CN"/>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5BA7C0C6">
            <w:pPr>
              <w:pStyle w:val="84"/>
              <w:rPr>
                <w:color w:val="auto"/>
                <w:lang w:val="en-US" w:eastAsia="zh-CN"/>
              </w:rPr>
            </w:pPr>
            <w:r>
              <w:rPr>
                <w:rFonts w:hint="eastAsia"/>
                <w:color w:val="auto"/>
                <w:lang w:val="en-US" w:eastAsia="zh-CN"/>
              </w:rPr>
              <w:t>⑤</w:t>
            </w:r>
            <w:r>
              <w:rPr>
                <w:color w:val="auto"/>
                <w:lang w:val="en-US" w:eastAsia="zh-CN"/>
              </w:rPr>
              <w:t>危险废物收集、贮存、运输过程中一旦发生意外事故，收集、贮存、运输单位及相关部门应根据风险程度采取如下措施：</w:t>
            </w:r>
          </w:p>
          <w:p w14:paraId="7425D4DB">
            <w:pPr>
              <w:pStyle w:val="84"/>
              <w:rPr>
                <w:color w:val="auto"/>
                <w:lang w:val="en-US" w:eastAsia="zh-CN"/>
              </w:rPr>
            </w:pPr>
            <w:r>
              <w:rPr>
                <w:color w:val="auto"/>
                <w:lang w:val="en-US" w:eastAsia="zh-CN"/>
              </w:rPr>
              <w:t>Ⅰ、设立事故警戒线，启动应急预案，并按《环境保护行政主管部门突发环境事件信息报告办法(试行)》（环发[2006]50号）要求进行报告。</w:t>
            </w:r>
          </w:p>
          <w:p w14:paraId="75760AB9">
            <w:pPr>
              <w:pStyle w:val="84"/>
              <w:rPr>
                <w:color w:val="auto"/>
                <w:lang w:val="en-US" w:eastAsia="zh-CN"/>
              </w:rPr>
            </w:pPr>
            <w:r>
              <w:rPr>
                <w:color w:val="auto"/>
                <w:lang w:val="en-US" w:eastAsia="zh-CN"/>
              </w:rPr>
              <w:t>Ⅱ、若造成事故的危险废物具有剧毒性、易燃性、爆炸性或高传染性，应立即疏散人群，并请求环境保护、消防、医疗、公安等相关部门支援。</w:t>
            </w:r>
          </w:p>
          <w:p w14:paraId="22A73F60">
            <w:pPr>
              <w:pStyle w:val="84"/>
              <w:rPr>
                <w:color w:val="auto"/>
                <w:lang w:val="en-US" w:eastAsia="zh-CN"/>
              </w:rPr>
            </w:pPr>
            <w:r>
              <w:rPr>
                <w:color w:val="auto"/>
                <w:lang w:val="en-US" w:eastAsia="zh-CN"/>
              </w:rPr>
              <w:t>Ⅲ、对事故现场受到污染的土壤和水体等环境介质应进行相应的清理和修复。</w:t>
            </w:r>
          </w:p>
          <w:p w14:paraId="2F7CB4B4">
            <w:pPr>
              <w:pStyle w:val="84"/>
              <w:rPr>
                <w:color w:val="auto"/>
                <w:lang w:val="en-US" w:eastAsia="zh-CN"/>
              </w:rPr>
            </w:pPr>
            <w:r>
              <w:rPr>
                <w:color w:val="auto"/>
                <w:lang w:val="en-US" w:eastAsia="zh-CN"/>
              </w:rPr>
              <w:t>Ⅳ、清理过程中产生的所有废物均应按危险废物进行管理和处置。</w:t>
            </w:r>
          </w:p>
          <w:p w14:paraId="112C1AC9">
            <w:pPr>
              <w:pStyle w:val="84"/>
              <w:rPr>
                <w:color w:val="auto"/>
                <w:lang w:val="en-US" w:eastAsia="zh-CN"/>
              </w:rPr>
            </w:pPr>
            <w:r>
              <w:rPr>
                <w:color w:val="auto"/>
                <w:lang w:val="en-US" w:eastAsia="zh-CN"/>
              </w:rPr>
              <w:t>Ⅴ、进入现场清理和包装危险废物的人员应受过专业培训，穿着防护服，并佩戴相应的防护用具。</w:t>
            </w:r>
          </w:p>
          <w:p w14:paraId="5E8E7F47">
            <w:pPr>
              <w:pStyle w:val="84"/>
              <w:rPr>
                <w:color w:val="auto"/>
                <w:lang w:val="en-US" w:eastAsia="zh-CN"/>
              </w:rPr>
            </w:pPr>
            <w:r>
              <w:rPr>
                <w:color w:val="auto"/>
                <w:lang w:val="en-US" w:eastAsia="zh-CN"/>
              </w:rPr>
              <w:t>综上所述，本项目产生的各类固废均得到了妥善处置，对外环境无影响，项目采取固废污染防治措施可行。</w:t>
            </w:r>
          </w:p>
          <w:p w14:paraId="23F83D1B">
            <w:pPr>
              <w:pStyle w:val="84"/>
              <w:ind w:firstLine="422"/>
              <w:rPr>
                <w:b/>
                <w:color w:val="auto"/>
                <w:lang w:val="en-US" w:eastAsia="zh-CN"/>
              </w:rPr>
            </w:pPr>
            <w:r>
              <w:rPr>
                <w:b/>
                <w:color w:val="auto"/>
                <w:lang w:val="en-US" w:eastAsia="zh-CN"/>
              </w:rPr>
              <w:t>4</w:t>
            </w:r>
            <w:r>
              <w:rPr>
                <w:rFonts w:hint="eastAsia"/>
                <w:b/>
                <w:color w:val="auto"/>
                <w:lang w:val="en-US" w:eastAsia="zh-CN"/>
              </w:rPr>
              <w:t>、危险废物环境管理要求</w:t>
            </w:r>
          </w:p>
          <w:p w14:paraId="258F8492">
            <w:pPr>
              <w:pStyle w:val="84"/>
              <w:rPr>
                <w:color w:val="auto"/>
                <w:lang w:val="en-US" w:eastAsia="zh-CN"/>
              </w:rPr>
            </w:pPr>
            <w:r>
              <w:rPr>
                <w:color w:val="auto"/>
                <w:lang w:val="en-US" w:eastAsia="zh-CN"/>
              </w:rPr>
              <w:t>针对本项目正常运行阶段所产生的危险废物的日常管理提出要求：</w:t>
            </w:r>
          </w:p>
          <w:p w14:paraId="38E767F6">
            <w:pPr>
              <w:pStyle w:val="84"/>
              <w:rPr>
                <w:color w:val="auto"/>
                <w:lang w:val="en-US" w:eastAsia="zh-CN"/>
              </w:rPr>
            </w:pPr>
            <w:r>
              <w:rPr>
                <w:color w:val="auto"/>
                <w:lang w:val="en-US" w:eastAsia="zh-CN"/>
              </w:rPr>
              <w:t>1）履行申报登记制度；</w:t>
            </w:r>
          </w:p>
          <w:p w14:paraId="6D08F659">
            <w:pPr>
              <w:pStyle w:val="84"/>
              <w:rPr>
                <w:color w:val="auto"/>
                <w:lang w:val="en-US" w:eastAsia="zh-CN"/>
              </w:rPr>
            </w:pPr>
            <w:r>
              <w:rPr>
                <w:color w:val="auto"/>
                <w:lang w:val="en-US" w:eastAsia="zh-CN"/>
              </w:rPr>
              <w:t>2）建立台账管理制度，企业须做好危险废物情况的记录，记录上需注明危险废物的名称、来源、数量、特性和包装容器的类别；</w:t>
            </w:r>
          </w:p>
          <w:p w14:paraId="44E4F326">
            <w:pPr>
              <w:pStyle w:val="84"/>
              <w:rPr>
                <w:color w:val="auto"/>
                <w:lang w:val="en-US" w:eastAsia="zh-CN"/>
              </w:rPr>
            </w:pPr>
            <w:r>
              <w:rPr>
                <w:color w:val="auto"/>
                <w:lang w:val="en-US" w:eastAsia="zh-CN"/>
              </w:rPr>
              <w:t>3）委托处置应执行报批和转移联单等制度；</w:t>
            </w:r>
          </w:p>
          <w:p w14:paraId="72EA8A9B">
            <w:pPr>
              <w:pStyle w:val="84"/>
              <w:rPr>
                <w:color w:val="auto"/>
                <w:lang w:val="en-US" w:eastAsia="zh-CN"/>
              </w:rPr>
            </w:pPr>
            <w:r>
              <w:rPr>
                <w:color w:val="auto"/>
                <w:lang w:val="en-US" w:eastAsia="zh-CN"/>
              </w:rPr>
              <w:t>4）定期对暂存的危险废物包装容器及贮存设施进行检查，及早发现破损，及时采取措施清理更换；</w:t>
            </w:r>
          </w:p>
          <w:p w14:paraId="72ED91F8">
            <w:pPr>
              <w:pStyle w:val="84"/>
              <w:rPr>
                <w:color w:val="auto"/>
                <w:lang w:val="en-US" w:eastAsia="zh-CN"/>
              </w:rPr>
            </w:pPr>
            <w:r>
              <w:rPr>
                <w:color w:val="auto"/>
                <w:lang w:val="en-US" w:eastAsia="zh-CN"/>
              </w:rPr>
              <w:t>5）直接从事收集、贮存、运输、利用、处置危险废物的人员，应当接受专业培训，经考核合格，方可从事该项工作。</w:t>
            </w:r>
          </w:p>
          <w:p w14:paraId="7EB043C2">
            <w:pPr>
              <w:pStyle w:val="84"/>
              <w:rPr>
                <w:color w:val="auto"/>
                <w:lang w:val="en-US" w:eastAsia="zh-CN"/>
              </w:rPr>
            </w:pPr>
            <w:r>
              <w:rPr>
                <w:color w:val="auto"/>
                <w:lang w:val="en-US" w:eastAsia="zh-CN"/>
              </w:rPr>
              <w:t>6）固废贮存（处置）场所规范化设置，固体废物贮存</w:t>
            </w:r>
            <w:r>
              <w:rPr>
                <w:rFonts w:hint="eastAsia"/>
                <w:color w:val="auto"/>
                <w:lang w:val="en-US" w:eastAsia="zh-CN"/>
              </w:rPr>
              <w:t>（</w:t>
            </w:r>
            <w:r>
              <w:rPr>
                <w:color w:val="auto"/>
                <w:lang w:val="en-US" w:eastAsia="zh-CN"/>
              </w:rPr>
              <w:t>处置</w:t>
            </w:r>
            <w:r>
              <w:rPr>
                <w:rFonts w:hint="eastAsia"/>
                <w:color w:val="auto"/>
                <w:lang w:val="en-US" w:eastAsia="zh-CN"/>
              </w:rPr>
              <w:t>）</w:t>
            </w:r>
            <w:r>
              <w:rPr>
                <w:color w:val="auto"/>
                <w:lang w:val="en-US" w:eastAsia="zh-CN"/>
              </w:rPr>
              <w:t>场所应在醒目处设置标志牌。</w:t>
            </w:r>
          </w:p>
          <w:p w14:paraId="63B206E7">
            <w:pPr>
              <w:pStyle w:val="84"/>
              <w:rPr>
                <w:color w:val="auto"/>
                <w:lang w:val="en-US" w:eastAsia="zh-CN"/>
              </w:rPr>
            </w:pPr>
            <w:r>
              <w:rPr>
                <w:color w:val="auto"/>
                <w:lang w:val="en-US" w:eastAsia="zh-CN"/>
              </w:rPr>
              <w:t>7）危废应根据其化学特性选择合适的容器和存放地点，通过密闭容器存放，不可混合贮存，容器标签必须标明废物种类、贮存时间，定期处理。</w:t>
            </w:r>
          </w:p>
          <w:p w14:paraId="1CD0072C">
            <w:pPr>
              <w:pStyle w:val="84"/>
              <w:rPr>
                <w:b/>
                <w:color w:val="auto"/>
                <w:lang w:val="en-US" w:eastAsia="zh-CN"/>
              </w:rPr>
            </w:pPr>
            <w:r>
              <w:rPr>
                <w:color w:val="auto"/>
                <w:lang w:val="en-US" w:eastAsia="zh-CN"/>
              </w:rPr>
              <w:t>8）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4BFBF202">
            <w:pPr>
              <w:pStyle w:val="84"/>
              <w:ind w:firstLine="422"/>
              <w:rPr>
                <w:rFonts w:hint="eastAsia"/>
                <w:b/>
                <w:color w:val="auto"/>
                <w:lang w:val="en-US" w:eastAsia="zh-CN"/>
              </w:rPr>
            </w:pPr>
            <w:r>
              <w:rPr>
                <w:rFonts w:hint="eastAsia"/>
                <w:b/>
                <w:color w:val="auto"/>
                <w:lang w:val="en-US" w:eastAsia="zh-CN"/>
              </w:rPr>
              <w:t>五、土壤、地下水</w:t>
            </w:r>
          </w:p>
          <w:p w14:paraId="26ADBC73">
            <w:pPr>
              <w:spacing w:line="360" w:lineRule="auto"/>
              <w:ind w:firstLine="422" w:firstLineChars="200"/>
              <w:rPr>
                <w:rFonts w:hint="eastAsia"/>
                <w:b/>
                <w:bCs/>
                <w:color w:val="auto"/>
                <w:szCs w:val="21"/>
              </w:rPr>
            </w:pPr>
            <w:r>
              <w:rPr>
                <w:rFonts w:hint="eastAsia"/>
                <w:b/>
                <w:bCs/>
                <w:color w:val="auto"/>
                <w:szCs w:val="21"/>
              </w:rPr>
              <w:t>1、地下水、土壤污染途径</w:t>
            </w:r>
          </w:p>
          <w:p w14:paraId="716D4166">
            <w:pPr>
              <w:spacing w:line="360" w:lineRule="auto"/>
              <w:ind w:firstLine="420" w:firstLineChars="200"/>
              <w:rPr>
                <w:rFonts w:hAnsi="宋体"/>
                <w:bCs/>
                <w:color w:val="auto"/>
                <w:szCs w:val="21"/>
              </w:rPr>
            </w:pPr>
            <w:r>
              <w:rPr>
                <w:rFonts w:hint="eastAsia" w:hAnsi="宋体"/>
                <w:bCs/>
                <w:color w:val="auto"/>
                <w:szCs w:val="21"/>
              </w:rPr>
              <w:t>本项目建设完整的“雨污分流、清污分流”排水系统，雨水排入雨水管网。生活污水经化粪池收集后经园区市政污水管网排入</w:t>
            </w:r>
            <w:r>
              <w:rPr>
                <w:rFonts w:hint="eastAsia"/>
                <w:color w:val="auto"/>
                <w:lang w:val="en-US" w:eastAsia="zh-CN"/>
              </w:rPr>
              <w:t>八公山区污水处理厂</w:t>
            </w:r>
            <w:r>
              <w:rPr>
                <w:rFonts w:hint="eastAsia" w:hAnsi="宋体"/>
                <w:bCs/>
                <w:color w:val="auto"/>
                <w:szCs w:val="21"/>
              </w:rPr>
              <w:t>处理后，最终排入</w:t>
            </w:r>
            <w:r>
              <w:rPr>
                <w:rFonts w:hint="eastAsia"/>
                <w:color w:val="auto"/>
                <w:lang w:val="en-US" w:eastAsia="zh-CN"/>
              </w:rPr>
              <w:t>淮河</w:t>
            </w:r>
            <w:r>
              <w:rPr>
                <w:rFonts w:hint="eastAsia" w:hAnsi="宋体"/>
                <w:bCs/>
                <w:color w:val="auto"/>
                <w:szCs w:val="21"/>
              </w:rPr>
              <w:t>。危废库重点防渗；危废间等有液态物质存储区域采取重点防渗措施，液态物料存储于包装桶内，危废间防腐防渗，设置了边沟和集液池，存储物料不会外泄进入外环境对污染地下水和土壤造成污染。</w:t>
            </w:r>
          </w:p>
          <w:p w14:paraId="2A0CB113">
            <w:pPr>
              <w:spacing w:line="360" w:lineRule="auto"/>
              <w:ind w:firstLine="422" w:firstLineChars="200"/>
              <w:rPr>
                <w:rFonts w:hint="eastAsia" w:hAnsi="宋体"/>
                <w:b/>
                <w:bCs/>
                <w:color w:val="auto"/>
                <w:szCs w:val="21"/>
              </w:rPr>
            </w:pPr>
            <w:r>
              <w:rPr>
                <w:rFonts w:hint="eastAsia" w:hAnsi="宋体"/>
                <w:b/>
                <w:bCs/>
                <w:color w:val="auto"/>
                <w:szCs w:val="21"/>
              </w:rPr>
              <w:t>2、地下水、土壤污染防范措施</w:t>
            </w:r>
          </w:p>
          <w:p w14:paraId="48C6A906">
            <w:pPr>
              <w:spacing w:line="360" w:lineRule="auto"/>
              <w:ind w:firstLine="422" w:firstLineChars="200"/>
              <w:rPr>
                <w:rFonts w:hAnsi="宋体"/>
                <w:b/>
                <w:bCs/>
                <w:color w:val="auto"/>
                <w:szCs w:val="21"/>
              </w:rPr>
            </w:pPr>
            <w:r>
              <w:rPr>
                <w:rFonts w:hint="eastAsia" w:hAnsi="宋体"/>
                <w:b/>
                <w:bCs/>
                <w:color w:val="auto"/>
                <w:szCs w:val="21"/>
              </w:rPr>
              <w:t>（1）</w:t>
            </w:r>
            <w:r>
              <w:rPr>
                <w:rFonts w:hAnsi="宋体"/>
                <w:b/>
                <w:bCs/>
                <w:color w:val="auto"/>
                <w:szCs w:val="21"/>
              </w:rPr>
              <w:t>源头控制措施</w:t>
            </w:r>
          </w:p>
          <w:p w14:paraId="59AA93A1">
            <w:pPr>
              <w:spacing w:line="360" w:lineRule="auto"/>
              <w:ind w:firstLine="420" w:firstLineChars="200"/>
              <w:rPr>
                <w:rFonts w:hAnsi="宋体"/>
                <w:bCs/>
                <w:color w:val="auto"/>
                <w:szCs w:val="21"/>
              </w:rPr>
            </w:pPr>
            <w:r>
              <w:rPr>
                <w:rFonts w:hAnsi="宋体"/>
                <w:bCs/>
                <w:color w:val="auto"/>
                <w:szCs w:val="21"/>
              </w:rPr>
              <w:fldChar w:fldCharType="begin"/>
            </w:r>
            <w:r>
              <w:rPr>
                <w:rFonts w:hAnsi="宋体"/>
                <w:bCs/>
                <w:color w:val="auto"/>
                <w:szCs w:val="21"/>
              </w:rPr>
              <w:instrText xml:space="preserve"> </w:instrText>
            </w:r>
            <w:r>
              <w:rPr>
                <w:rFonts w:hint="eastAsia" w:hAnsi="宋体"/>
                <w:bCs/>
                <w:color w:val="auto"/>
                <w:szCs w:val="21"/>
              </w:rPr>
              <w:instrText xml:space="preserve">= 1 \* GB3</w:instrText>
            </w:r>
            <w:r>
              <w:rPr>
                <w:rFonts w:hAnsi="宋体"/>
                <w:bCs/>
                <w:color w:val="auto"/>
                <w:szCs w:val="21"/>
              </w:rPr>
              <w:instrText xml:space="preserve"> </w:instrText>
            </w:r>
            <w:r>
              <w:rPr>
                <w:rFonts w:hAnsi="宋体"/>
                <w:bCs/>
                <w:color w:val="auto"/>
                <w:szCs w:val="21"/>
              </w:rPr>
              <w:fldChar w:fldCharType="separate"/>
            </w:r>
            <w:r>
              <w:rPr>
                <w:rFonts w:hint="eastAsia" w:hAnsi="宋体"/>
                <w:bCs/>
                <w:color w:val="auto"/>
                <w:szCs w:val="21"/>
              </w:rPr>
              <w:t>①</w:t>
            </w:r>
            <w:r>
              <w:rPr>
                <w:rFonts w:hAnsi="宋体"/>
                <w:color w:val="auto"/>
                <w:szCs w:val="21"/>
              </w:rPr>
              <w:fldChar w:fldCharType="end"/>
            </w:r>
            <w:r>
              <w:rPr>
                <w:rFonts w:hAnsi="宋体"/>
                <w:bCs/>
                <w:color w:val="auto"/>
                <w:szCs w:val="21"/>
              </w:rPr>
              <w:t>严格按照国家相关规范要求，对厂区内各污水</w:t>
            </w:r>
            <w:r>
              <w:rPr>
                <w:rFonts w:hint="eastAsia" w:hAnsi="宋体"/>
                <w:bCs/>
                <w:color w:val="auto"/>
                <w:szCs w:val="21"/>
              </w:rPr>
              <w:t>收集设施、液态物料存储设施</w:t>
            </w:r>
            <w:r>
              <w:rPr>
                <w:rFonts w:hAnsi="宋体"/>
                <w:bCs/>
                <w:color w:val="auto"/>
                <w:szCs w:val="21"/>
              </w:rPr>
              <w:t>等采取相应措施，以防止和降低污染物的跑、冒、滴、漏，将污染物泄漏的环境风险事故降到最低程度。</w:t>
            </w:r>
            <w:r>
              <w:rPr>
                <w:rFonts w:hAnsi="宋体"/>
                <w:bCs/>
                <w:color w:val="auto"/>
                <w:szCs w:val="21"/>
              </w:rPr>
              <w:fldChar w:fldCharType="begin"/>
            </w:r>
            <w:r>
              <w:rPr>
                <w:rFonts w:hAnsi="宋体"/>
                <w:bCs/>
                <w:color w:val="auto"/>
                <w:szCs w:val="21"/>
              </w:rPr>
              <w:instrText xml:space="preserve"> </w:instrText>
            </w:r>
            <w:r>
              <w:rPr>
                <w:rFonts w:hint="eastAsia" w:hAnsi="宋体"/>
                <w:bCs/>
                <w:color w:val="auto"/>
                <w:szCs w:val="21"/>
              </w:rPr>
              <w:instrText xml:space="preserve">= 2 \* GB3</w:instrText>
            </w:r>
            <w:r>
              <w:rPr>
                <w:rFonts w:hAnsi="宋体"/>
                <w:bCs/>
                <w:color w:val="auto"/>
                <w:szCs w:val="21"/>
              </w:rPr>
              <w:instrText xml:space="preserve"> </w:instrText>
            </w:r>
            <w:r>
              <w:rPr>
                <w:rFonts w:hAnsi="宋体"/>
                <w:bCs/>
                <w:color w:val="auto"/>
                <w:szCs w:val="21"/>
              </w:rPr>
              <w:fldChar w:fldCharType="separate"/>
            </w:r>
            <w:r>
              <w:rPr>
                <w:rFonts w:hint="eastAsia" w:hAnsi="宋体"/>
                <w:bCs/>
                <w:color w:val="auto"/>
                <w:szCs w:val="21"/>
              </w:rPr>
              <w:t>②</w:t>
            </w:r>
            <w:r>
              <w:rPr>
                <w:rFonts w:hAnsi="宋体"/>
                <w:color w:val="auto"/>
                <w:szCs w:val="21"/>
              </w:rPr>
              <w:fldChar w:fldCharType="end"/>
            </w:r>
            <w:r>
              <w:rPr>
                <w:rFonts w:hAnsi="宋体"/>
                <w:bCs/>
                <w:color w:val="auto"/>
                <w:szCs w:val="21"/>
              </w:rPr>
              <w:t>设备和管线尽量采用“可视化”原则，即尽可能地上敷设和放置，做到污染物“早发现、早处理”，以减少由于埋地泄漏而可能造成的地下水污染。对地下管道、管道内外均采用防腐处理，定期对管道进行检漏，对出现泄漏处的土壤进行换土。</w:t>
            </w:r>
            <w:r>
              <w:rPr>
                <w:rFonts w:hAnsi="宋体"/>
                <w:bCs/>
                <w:color w:val="auto"/>
                <w:szCs w:val="21"/>
              </w:rPr>
              <w:fldChar w:fldCharType="begin"/>
            </w:r>
            <w:r>
              <w:rPr>
                <w:rFonts w:hAnsi="宋体"/>
                <w:bCs/>
                <w:color w:val="auto"/>
                <w:szCs w:val="21"/>
              </w:rPr>
              <w:instrText xml:space="preserve"> </w:instrText>
            </w:r>
            <w:r>
              <w:rPr>
                <w:rFonts w:hint="eastAsia" w:hAnsi="宋体"/>
                <w:bCs/>
                <w:color w:val="auto"/>
                <w:szCs w:val="21"/>
              </w:rPr>
              <w:instrText xml:space="preserve">= 3 \* GB3</w:instrText>
            </w:r>
            <w:r>
              <w:rPr>
                <w:rFonts w:hAnsi="宋体"/>
                <w:bCs/>
                <w:color w:val="auto"/>
                <w:szCs w:val="21"/>
              </w:rPr>
              <w:instrText xml:space="preserve"> </w:instrText>
            </w:r>
            <w:r>
              <w:rPr>
                <w:rFonts w:hAnsi="宋体"/>
                <w:bCs/>
                <w:color w:val="auto"/>
                <w:szCs w:val="21"/>
              </w:rPr>
              <w:fldChar w:fldCharType="separate"/>
            </w:r>
            <w:r>
              <w:rPr>
                <w:rFonts w:hint="eastAsia" w:hAnsi="宋体"/>
                <w:bCs/>
                <w:color w:val="auto"/>
                <w:szCs w:val="21"/>
              </w:rPr>
              <w:t>③</w:t>
            </w:r>
            <w:r>
              <w:rPr>
                <w:rFonts w:hAnsi="宋体"/>
                <w:color w:val="auto"/>
                <w:szCs w:val="21"/>
              </w:rPr>
              <w:fldChar w:fldCharType="end"/>
            </w:r>
            <w:r>
              <w:rPr>
                <w:rFonts w:hAnsi="宋体"/>
                <w:bCs/>
                <w:color w:val="auto"/>
                <w:szCs w:val="21"/>
              </w:rPr>
              <w:t>严格固体废物管理，不接触外界降水，使其不产生淋滤液，严防污染物泄漏到地下水中。</w:t>
            </w:r>
          </w:p>
          <w:p w14:paraId="6A23EF0A">
            <w:pPr>
              <w:spacing w:line="360" w:lineRule="auto"/>
              <w:ind w:firstLine="422" w:firstLineChars="200"/>
              <w:rPr>
                <w:rFonts w:hAnsi="宋体"/>
                <w:b/>
                <w:bCs/>
                <w:color w:val="auto"/>
                <w:szCs w:val="21"/>
              </w:rPr>
            </w:pPr>
            <w:r>
              <w:rPr>
                <w:rFonts w:hint="eastAsia" w:hAnsi="宋体"/>
                <w:b/>
                <w:bCs/>
                <w:color w:val="auto"/>
                <w:szCs w:val="21"/>
              </w:rPr>
              <w:t>（2）</w:t>
            </w:r>
            <w:r>
              <w:rPr>
                <w:rFonts w:hAnsi="宋体"/>
                <w:b/>
                <w:bCs/>
                <w:color w:val="auto"/>
                <w:szCs w:val="21"/>
              </w:rPr>
              <w:t>分区防渗措施</w:t>
            </w:r>
          </w:p>
          <w:p w14:paraId="26BB6C4B">
            <w:pPr>
              <w:spacing w:line="360" w:lineRule="auto"/>
              <w:ind w:firstLine="420" w:firstLineChars="200"/>
              <w:rPr>
                <w:rFonts w:hAnsi="宋体"/>
                <w:bCs/>
                <w:color w:val="auto"/>
                <w:szCs w:val="21"/>
              </w:rPr>
            </w:pPr>
            <w:r>
              <w:rPr>
                <w:rFonts w:hAnsi="宋体"/>
                <w:bCs/>
                <w:color w:val="auto"/>
                <w:szCs w:val="21"/>
              </w:rPr>
              <w:t>针对可能对地下水</w:t>
            </w:r>
            <w:r>
              <w:rPr>
                <w:rFonts w:hint="eastAsia" w:hAnsi="宋体"/>
                <w:bCs/>
                <w:color w:val="auto"/>
                <w:szCs w:val="21"/>
              </w:rPr>
              <w:t>、土壤</w:t>
            </w:r>
            <w:r>
              <w:rPr>
                <w:rFonts w:hAnsi="宋体"/>
                <w:bCs/>
                <w:color w:val="auto"/>
                <w:szCs w:val="21"/>
              </w:rPr>
              <w:t>造成影响的各环节，按照“考虑重点，辐射全面”的防腐防渗原则，按照《环境影响评价技术导则 地下水环境》（HJ610-2016）中提出的根据建设项目场地天然包气带防污性能、污染控制难易程度和污染物特性，防渗技术要求进行划分。项目厂内不同区域实施分区防治，污染区划分为一般防渗区、重点防渗区、简单防渗区。</w:t>
            </w:r>
          </w:p>
          <w:p w14:paraId="721A9E57">
            <w:pPr>
              <w:spacing w:line="360" w:lineRule="auto"/>
              <w:ind w:firstLine="420" w:firstLineChars="200"/>
              <w:rPr>
                <w:rFonts w:hAnsi="宋体"/>
                <w:bCs/>
                <w:color w:val="auto"/>
                <w:szCs w:val="21"/>
              </w:rPr>
            </w:pPr>
            <w:r>
              <w:rPr>
                <w:rFonts w:hAnsi="宋体"/>
                <w:bCs/>
                <w:color w:val="auto"/>
                <w:szCs w:val="21"/>
              </w:rPr>
              <w:fldChar w:fldCharType="begin"/>
            </w:r>
            <w:r>
              <w:rPr>
                <w:rFonts w:hAnsi="宋体"/>
                <w:bCs/>
                <w:color w:val="auto"/>
                <w:szCs w:val="21"/>
              </w:rPr>
              <w:instrText xml:space="preserve"> = 1 \* GB3 </w:instrText>
            </w:r>
            <w:r>
              <w:rPr>
                <w:rFonts w:hAnsi="宋体"/>
                <w:bCs/>
                <w:color w:val="auto"/>
                <w:szCs w:val="21"/>
              </w:rPr>
              <w:fldChar w:fldCharType="separate"/>
            </w:r>
            <w:r>
              <w:rPr>
                <w:rFonts w:hint="eastAsia" w:hAnsi="宋体"/>
                <w:bCs/>
                <w:color w:val="auto"/>
                <w:szCs w:val="21"/>
              </w:rPr>
              <w:t>①</w:t>
            </w:r>
            <w:r>
              <w:rPr>
                <w:rFonts w:hAnsi="宋体"/>
                <w:color w:val="auto"/>
                <w:szCs w:val="21"/>
              </w:rPr>
              <w:fldChar w:fldCharType="end"/>
            </w:r>
            <w:r>
              <w:rPr>
                <w:rFonts w:hAnsi="宋体"/>
                <w:bCs/>
                <w:color w:val="auto"/>
                <w:szCs w:val="21"/>
              </w:rPr>
              <w:t>重点防渗区</w:t>
            </w:r>
          </w:p>
          <w:p w14:paraId="59DFF82F">
            <w:pPr>
              <w:spacing w:line="360" w:lineRule="auto"/>
              <w:ind w:firstLine="420" w:firstLineChars="200"/>
              <w:rPr>
                <w:rFonts w:hAnsi="宋体"/>
                <w:bCs/>
                <w:color w:val="auto"/>
                <w:szCs w:val="21"/>
              </w:rPr>
            </w:pPr>
            <w:r>
              <w:rPr>
                <w:rFonts w:hAnsi="宋体"/>
                <w:bCs/>
                <w:color w:val="auto"/>
                <w:szCs w:val="21"/>
              </w:rPr>
              <w:t>重点污染防治区主要包括</w:t>
            </w:r>
            <w:r>
              <w:rPr>
                <w:rFonts w:hint="eastAsia" w:hAnsi="宋体"/>
                <w:bCs/>
                <w:color w:val="auto"/>
                <w:szCs w:val="21"/>
              </w:rPr>
              <w:t>危废间</w:t>
            </w:r>
            <w:r>
              <w:rPr>
                <w:rFonts w:hAnsi="宋体"/>
                <w:bCs/>
                <w:color w:val="auto"/>
                <w:szCs w:val="21"/>
              </w:rPr>
              <w:t>，防渗措施如下：</w:t>
            </w:r>
          </w:p>
          <w:p w14:paraId="2122CD37">
            <w:pPr>
              <w:spacing w:line="360" w:lineRule="auto"/>
              <w:ind w:firstLine="420" w:firstLineChars="200"/>
              <w:rPr>
                <w:rFonts w:hAnsi="宋体"/>
                <w:bCs/>
                <w:color w:val="auto"/>
                <w:szCs w:val="21"/>
              </w:rPr>
            </w:pPr>
            <w:r>
              <w:rPr>
                <w:rFonts w:hint="eastAsia" w:hAnsi="宋体"/>
                <w:bCs/>
                <w:color w:val="auto"/>
                <w:szCs w:val="21"/>
              </w:rPr>
              <w:t>危废</w:t>
            </w:r>
            <w:r>
              <w:rPr>
                <w:rFonts w:hAnsi="宋体"/>
                <w:bCs/>
                <w:color w:val="auto"/>
                <w:szCs w:val="21"/>
              </w:rPr>
              <w:t>库</w:t>
            </w:r>
            <w:r>
              <w:rPr>
                <w:rFonts w:hint="eastAsia" w:hAnsi="宋体"/>
                <w:bCs/>
                <w:color w:val="auto"/>
                <w:szCs w:val="21"/>
                <w:lang w:eastAsia="zh-CN"/>
              </w:rPr>
              <w:t>、</w:t>
            </w:r>
            <w:r>
              <w:rPr>
                <w:rFonts w:hint="eastAsia" w:hAnsi="宋体"/>
                <w:bCs/>
                <w:color w:val="auto"/>
                <w:szCs w:val="21"/>
                <w:lang w:val="en-US" w:eastAsia="zh-CN"/>
              </w:rPr>
              <w:t>事故池、冲洗平台、液氨储罐围堰内</w:t>
            </w:r>
            <w:r>
              <w:rPr>
                <w:rFonts w:hint="eastAsia" w:hAnsi="宋体"/>
                <w:bCs/>
                <w:color w:val="auto"/>
                <w:szCs w:val="21"/>
              </w:rPr>
              <w:t>等</w:t>
            </w:r>
            <w:r>
              <w:rPr>
                <w:rFonts w:hAnsi="宋体"/>
                <w:bCs/>
                <w:color w:val="auto"/>
                <w:szCs w:val="21"/>
              </w:rPr>
              <w:t>底部采用10cm厚三合土处理，上层再用10-15cm水泥硬化，表层涂环氧树脂环氧树脂，以达到防腐、防渗漏目的，等效黏土防渗层Mb≥6.0m，渗透系数≤1.0×10</w:t>
            </w:r>
            <w:r>
              <w:rPr>
                <w:rFonts w:hAnsi="宋体"/>
                <w:bCs/>
                <w:color w:val="auto"/>
                <w:szCs w:val="21"/>
                <w:vertAlign w:val="superscript"/>
              </w:rPr>
              <w:t>-7</w:t>
            </w:r>
            <w:r>
              <w:rPr>
                <w:rFonts w:hAnsi="宋体"/>
                <w:bCs/>
                <w:color w:val="auto"/>
                <w:szCs w:val="21"/>
              </w:rPr>
              <w:t>cm/s。</w:t>
            </w:r>
          </w:p>
          <w:p w14:paraId="112CB50F">
            <w:pPr>
              <w:spacing w:line="360" w:lineRule="auto"/>
              <w:ind w:firstLine="420" w:firstLineChars="200"/>
              <w:rPr>
                <w:rFonts w:hAnsi="宋体"/>
                <w:bCs/>
                <w:color w:val="auto"/>
                <w:szCs w:val="21"/>
              </w:rPr>
            </w:pPr>
            <w:r>
              <w:rPr>
                <w:rFonts w:hint="eastAsia" w:hAnsi="宋体"/>
                <w:bCs/>
                <w:color w:val="auto"/>
                <w:szCs w:val="21"/>
              </w:rPr>
              <w:t>②</w:t>
            </w:r>
            <w:r>
              <w:rPr>
                <w:rFonts w:hAnsi="宋体"/>
                <w:bCs/>
                <w:color w:val="auto"/>
                <w:szCs w:val="21"/>
              </w:rPr>
              <w:t>一般防渗区</w:t>
            </w:r>
          </w:p>
          <w:p w14:paraId="0055A81B">
            <w:pPr>
              <w:spacing w:line="360" w:lineRule="auto"/>
              <w:ind w:firstLine="420" w:firstLineChars="200"/>
              <w:rPr>
                <w:rFonts w:hAnsi="宋体"/>
                <w:bCs/>
                <w:color w:val="auto"/>
                <w:szCs w:val="21"/>
              </w:rPr>
            </w:pPr>
            <w:r>
              <w:rPr>
                <w:rFonts w:hAnsi="宋体"/>
                <w:bCs/>
                <w:color w:val="auto"/>
                <w:szCs w:val="21"/>
              </w:rPr>
              <w:t>主要包括</w:t>
            </w:r>
            <w:r>
              <w:rPr>
                <w:rFonts w:hint="eastAsia" w:hAnsi="宋体"/>
                <w:bCs/>
                <w:color w:val="auto"/>
                <w:szCs w:val="21"/>
              </w:rPr>
              <w:t>生产厂房，采取</w:t>
            </w:r>
            <w:r>
              <w:rPr>
                <w:rFonts w:hAnsi="宋体"/>
                <w:bCs/>
                <w:color w:val="auto"/>
                <w:szCs w:val="21"/>
              </w:rPr>
              <w:t>水泥硬化处理，采取10cm</w:t>
            </w:r>
            <w:r>
              <w:rPr>
                <w:rFonts w:hint="eastAsia" w:hAnsi="宋体"/>
                <w:bCs/>
                <w:color w:val="auto"/>
                <w:szCs w:val="21"/>
              </w:rPr>
              <w:t>厚</w:t>
            </w:r>
            <w:r>
              <w:rPr>
                <w:rFonts w:hAnsi="宋体"/>
                <w:bCs/>
                <w:color w:val="auto"/>
                <w:szCs w:val="21"/>
              </w:rPr>
              <w:t>三合土铺底，再铺15-20cm的水泥进行硬化。</w:t>
            </w:r>
          </w:p>
          <w:p w14:paraId="6EB7D518">
            <w:pPr>
              <w:spacing w:line="360" w:lineRule="auto"/>
              <w:ind w:firstLine="420" w:firstLineChars="200"/>
              <w:rPr>
                <w:rFonts w:hAnsi="宋体"/>
                <w:bCs/>
                <w:color w:val="auto"/>
                <w:szCs w:val="21"/>
              </w:rPr>
            </w:pPr>
            <w:r>
              <w:rPr>
                <w:rFonts w:hint="eastAsia" w:hAnsi="宋体"/>
                <w:bCs/>
                <w:color w:val="auto"/>
                <w:szCs w:val="21"/>
              </w:rPr>
              <w:t>③</w:t>
            </w:r>
            <w:r>
              <w:rPr>
                <w:rFonts w:hAnsi="宋体"/>
                <w:bCs/>
                <w:color w:val="auto"/>
                <w:szCs w:val="21"/>
              </w:rPr>
              <w:t>简单防渗区</w:t>
            </w:r>
          </w:p>
          <w:p w14:paraId="44B6D8B7">
            <w:pPr>
              <w:spacing w:line="360" w:lineRule="auto"/>
              <w:ind w:firstLine="420" w:firstLineChars="200"/>
              <w:rPr>
                <w:rFonts w:hAnsi="宋体"/>
                <w:bCs/>
                <w:color w:val="auto"/>
                <w:szCs w:val="21"/>
              </w:rPr>
            </w:pPr>
            <w:r>
              <w:rPr>
                <w:rFonts w:hAnsi="宋体"/>
                <w:bCs/>
                <w:color w:val="auto"/>
                <w:szCs w:val="21"/>
              </w:rPr>
              <w:t>主要包括</w:t>
            </w:r>
            <w:r>
              <w:rPr>
                <w:rFonts w:hint="eastAsia" w:hAnsi="宋体"/>
                <w:bCs/>
                <w:color w:val="auto"/>
                <w:szCs w:val="21"/>
              </w:rPr>
              <w:t>办公区、</w:t>
            </w:r>
            <w:r>
              <w:rPr>
                <w:rFonts w:hAnsi="宋体"/>
                <w:bCs/>
                <w:color w:val="auto"/>
                <w:szCs w:val="21"/>
              </w:rPr>
              <w:t>厂区道路等不会对地下水造成污染的区域，一般地面硬化的方式进行防渗处理。</w:t>
            </w:r>
          </w:p>
          <w:p w14:paraId="3F08ED20">
            <w:pPr>
              <w:spacing w:line="360" w:lineRule="auto"/>
              <w:ind w:firstLine="420" w:firstLineChars="200"/>
              <w:rPr>
                <w:rFonts w:hAnsi="宋体"/>
                <w:bCs/>
                <w:color w:val="auto"/>
                <w:szCs w:val="21"/>
              </w:rPr>
            </w:pPr>
            <w:r>
              <w:rPr>
                <w:rFonts w:hAnsi="宋体"/>
                <w:bCs/>
                <w:color w:val="auto"/>
                <w:szCs w:val="21"/>
              </w:rPr>
              <w:t>本项目分区防渗措施见表</w:t>
            </w:r>
            <w:r>
              <w:rPr>
                <w:rFonts w:hint="eastAsia" w:hAnsi="宋体"/>
                <w:bCs/>
                <w:color w:val="auto"/>
                <w:szCs w:val="21"/>
              </w:rPr>
              <w:t>4</w:t>
            </w:r>
            <w:r>
              <w:rPr>
                <w:rFonts w:hAnsi="宋体"/>
                <w:bCs/>
                <w:color w:val="auto"/>
                <w:szCs w:val="21"/>
              </w:rPr>
              <w:t>-18。</w:t>
            </w:r>
          </w:p>
          <w:p w14:paraId="28D28DE6">
            <w:pPr>
              <w:pStyle w:val="86"/>
              <w:rPr>
                <w:rFonts w:hAnsi="宋体"/>
                <w:color w:val="auto"/>
                <w:sz w:val="24"/>
              </w:rPr>
            </w:pPr>
            <w:r>
              <w:rPr>
                <w:rFonts w:hint="eastAsia"/>
                <w:color w:val="auto"/>
              </w:rPr>
              <w:t>表4-</w:t>
            </w:r>
            <w:r>
              <w:rPr>
                <w:color w:val="auto"/>
              </w:rPr>
              <w:t xml:space="preserve">18 </w:t>
            </w:r>
            <w:r>
              <w:rPr>
                <w:rFonts w:hint="eastAsia"/>
                <w:color w:val="auto"/>
              </w:rPr>
              <w:t xml:space="preserve"> 项目分区防渗措施一览表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925"/>
              <w:gridCol w:w="2835"/>
              <w:gridCol w:w="2490"/>
            </w:tblGrid>
            <w:tr w14:paraId="1509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7" w:type="dxa"/>
                  <w:noWrap/>
                  <w:vAlign w:val="center"/>
                </w:tcPr>
                <w:p w14:paraId="5CDA0A13">
                  <w:pPr>
                    <w:widowControl/>
                    <w:ind w:left="-105" w:leftChars="-50" w:right="-105" w:rightChars="-50"/>
                    <w:jc w:val="center"/>
                    <w:rPr>
                      <w:b/>
                      <w:color w:val="auto"/>
                      <w:kern w:val="0"/>
                      <w:sz w:val="18"/>
                      <w:szCs w:val="18"/>
                    </w:rPr>
                  </w:pPr>
                  <w:r>
                    <w:rPr>
                      <w:b/>
                      <w:color w:val="auto"/>
                      <w:kern w:val="0"/>
                      <w:sz w:val="18"/>
                      <w:szCs w:val="18"/>
                    </w:rPr>
                    <w:t>污染区</w:t>
                  </w:r>
                </w:p>
              </w:tc>
              <w:tc>
                <w:tcPr>
                  <w:tcW w:w="1925" w:type="dxa"/>
                  <w:noWrap/>
                  <w:vAlign w:val="center"/>
                </w:tcPr>
                <w:p w14:paraId="63889FBB">
                  <w:pPr>
                    <w:widowControl/>
                    <w:ind w:left="-50" w:right="-50"/>
                    <w:jc w:val="center"/>
                    <w:rPr>
                      <w:b/>
                      <w:color w:val="auto"/>
                      <w:kern w:val="0"/>
                      <w:sz w:val="18"/>
                      <w:szCs w:val="18"/>
                    </w:rPr>
                  </w:pPr>
                  <w:r>
                    <w:rPr>
                      <w:b/>
                      <w:color w:val="auto"/>
                      <w:kern w:val="0"/>
                      <w:sz w:val="18"/>
                      <w:szCs w:val="18"/>
                    </w:rPr>
                    <w:t>构筑物名称</w:t>
                  </w:r>
                </w:p>
              </w:tc>
              <w:tc>
                <w:tcPr>
                  <w:tcW w:w="2835" w:type="dxa"/>
                  <w:noWrap/>
                  <w:vAlign w:val="center"/>
                </w:tcPr>
                <w:p w14:paraId="5F6C99C8">
                  <w:pPr>
                    <w:widowControl/>
                    <w:ind w:left="-50" w:right="-50"/>
                    <w:jc w:val="center"/>
                    <w:rPr>
                      <w:b/>
                      <w:color w:val="auto"/>
                      <w:kern w:val="0"/>
                      <w:sz w:val="18"/>
                      <w:szCs w:val="18"/>
                    </w:rPr>
                  </w:pPr>
                  <w:r>
                    <w:rPr>
                      <w:b/>
                      <w:color w:val="auto"/>
                      <w:kern w:val="0"/>
                      <w:sz w:val="18"/>
                      <w:szCs w:val="18"/>
                    </w:rPr>
                    <w:t>防腐</w:t>
                  </w:r>
                  <w:r>
                    <w:rPr>
                      <w:b/>
                      <w:color w:val="auto"/>
                      <w:sz w:val="18"/>
                      <w:szCs w:val="18"/>
                    </w:rPr>
                    <w:t>防渗</w:t>
                  </w:r>
                  <w:r>
                    <w:rPr>
                      <w:b/>
                      <w:color w:val="auto"/>
                      <w:kern w:val="0"/>
                      <w:sz w:val="18"/>
                      <w:szCs w:val="18"/>
                    </w:rPr>
                    <w:t>措施</w:t>
                  </w:r>
                </w:p>
              </w:tc>
              <w:tc>
                <w:tcPr>
                  <w:tcW w:w="2490" w:type="dxa"/>
                  <w:noWrap w:val="0"/>
                  <w:vAlign w:val="center"/>
                </w:tcPr>
                <w:p w14:paraId="002C0455">
                  <w:pPr>
                    <w:widowControl/>
                    <w:ind w:left="-50" w:right="-50"/>
                    <w:jc w:val="center"/>
                    <w:rPr>
                      <w:b/>
                      <w:color w:val="auto"/>
                      <w:kern w:val="0"/>
                      <w:sz w:val="18"/>
                      <w:szCs w:val="18"/>
                    </w:rPr>
                  </w:pPr>
                  <w:r>
                    <w:rPr>
                      <w:b/>
                      <w:color w:val="auto"/>
                      <w:kern w:val="0"/>
                      <w:sz w:val="18"/>
                      <w:szCs w:val="18"/>
                    </w:rPr>
                    <w:t>防渗技术要求</w:t>
                  </w:r>
                </w:p>
              </w:tc>
            </w:tr>
            <w:tr w14:paraId="00C8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7" w:type="dxa"/>
                  <w:noWrap/>
                  <w:vAlign w:val="center"/>
                </w:tcPr>
                <w:p w14:paraId="5F53CB4D">
                  <w:pPr>
                    <w:widowControl/>
                    <w:ind w:left="-105" w:leftChars="-50" w:right="-105" w:rightChars="-50"/>
                    <w:jc w:val="center"/>
                    <w:rPr>
                      <w:color w:val="auto"/>
                      <w:kern w:val="0"/>
                      <w:sz w:val="18"/>
                      <w:szCs w:val="18"/>
                    </w:rPr>
                  </w:pPr>
                  <w:r>
                    <w:rPr>
                      <w:color w:val="auto"/>
                      <w:kern w:val="0"/>
                      <w:sz w:val="18"/>
                      <w:szCs w:val="18"/>
                    </w:rPr>
                    <w:t>简单</w:t>
                  </w:r>
                </w:p>
                <w:p w14:paraId="6CABDA10">
                  <w:pPr>
                    <w:widowControl/>
                    <w:ind w:left="-105" w:leftChars="-50" w:right="-105" w:rightChars="-50"/>
                    <w:jc w:val="center"/>
                    <w:rPr>
                      <w:color w:val="auto"/>
                      <w:kern w:val="0"/>
                      <w:sz w:val="18"/>
                      <w:szCs w:val="18"/>
                    </w:rPr>
                  </w:pPr>
                  <w:r>
                    <w:rPr>
                      <w:color w:val="auto"/>
                      <w:sz w:val="18"/>
                      <w:szCs w:val="18"/>
                    </w:rPr>
                    <w:t>防渗区</w:t>
                  </w:r>
                </w:p>
              </w:tc>
              <w:tc>
                <w:tcPr>
                  <w:tcW w:w="1925" w:type="dxa"/>
                  <w:noWrap/>
                  <w:vAlign w:val="center"/>
                </w:tcPr>
                <w:p w14:paraId="1F056030">
                  <w:pPr>
                    <w:widowControl/>
                    <w:ind w:left="-105" w:leftChars="-50" w:right="-105" w:rightChars="-50"/>
                    <w:jc w:val="center"/>
                    <w:rPr>
                      <w:color w:val="auto"/>
                      <w:kern w:val="0"/>
                      <w:sz w:val="18"/>
                      <w:szCs w:val="18"/>
                    </w:rPr>
                  </w:pPr>
                  <w:r>
                    <w:rPr>
                      <w:rFonts w:hint="eastAsia"/>
                      <w:color w:val="auto"/>
                      <w:kern w:val="0"/>
                      <w:sz w:val="18"/>
                      <w:szCs w:val="18"/>
                    </w:rPr>
                    <w:t>办公区、厂区道路等</w:t>
                  </w:r>
                </w:p>
              </w:tc>
              <w:tc>
                <w:tcPr>
                  <w:tcW w:w="2835" w:type="dxa"/>
                  <w:noWrap/>
                  <w:vAlign w:val="center"/>
                </w:tcPr>
                <w:p w14:paraId="178B9ABE">
                  <w:pPr>
                    <w:widowControl/>
                    <w:ind w:left="-50" w:right="-50"/>
                    <w:jc w:val="center"/>
                    <w:rPr>
                      <w:color w:val="auto"/>
                      <w:kern w:val="0"/>
                      <w:sz w:val="18"/>
                      <w:szCs w:val="18"/>
                    </w:rPr>
                  </w:pPr>
                  <w:r>
                    <w:rPr>
                      <w:color w:val="auto"/>
                      <w:kern w:val="0"/>
                      <w:sz w:val="18"/>
                      <w:szCs w:val="18"/>
                    </w:rPr>
                    <w:t>天然粘土层+一般地面硬化</w:t>
                  </w:r>
                </w:p>
              </w:tc>
              <w:tc>
                <w:tcPr>
                  <w:tcW w:w="2490" w:type="dxa"/>
                  <w:noWrap w:val="0"/>
                  <w:vAlign w:val="center"/>
                </w:tcPr>
                <w:p w14:paraId="76E8C5F4">
                  <w:pPr>
                    <w:widowControl/>
                    <w:ind w:left="-50" w:right="-50"/>
                    <w:jc w:val="center"/>
                    <w:rPr>
                      <w:color w:val="auto"/>
                      <w:kern w:val="0"/>
                      <w:sz w:val="18"/>
                      <w:szCs w:val="18"/>
                    </w:rPr>
                  </w:pPr>
                  <w:r>
                    <w:rPr>
                      <w:color w:val="auto"/>
                      <w:kern w:val="0"/>
                      <w:sz w:val="18"/>
                      <w:szCs w:val="18"/>
                    </w:rPr>
                    <w:t>一般地面硬化</w:t>
                  </w:r>
                </w:p>
              </w:tc>
            </w:tr>
            <w:tr w14:paraId="1982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7" w:type="dxa"/>
                  <w:noWrap/>
                  <w:vAlign w:val="center"/>
                </w:tcPr>
                <w:p w14:paraId="196F3DEE">
                  <w:pPr>
                    <w:widowControl/>
                    <w:ind w:left="-105" w:leftChars="-50" w:right="-105" w:rightChars="-50"/>
                    <w:jc w:val="center"/>
                    <w:rPr>
                      <w:color w:val="auto"/>
                      <w:kern w:val="0"/>
                      <w:sz w:val="18"/>
                      <w:szCs w:val="18"/>
                    </w:rPr>
                  </w:pPr>
                  <w:r>
                    <w:rPr>
                      <w:color w:val="auto"/>
                      <w:kern w:val="0"/>
                      <w:sz w:val="18"/>
                      <w:szCs w:val="18"/>
                    </w:rPr>
                    <w:t>一般</w:t>
                  </w:r>
                </w:p>
                <w:p w14:paraId="33EBEBD3">
                  <w:pPr>
                    <w:widowControl/>
                    <w:ind w:left="-105" w:leftChars="-50" w:right="-105" w:rightChars="-50"/>
                    <w:jc w:val="center"/>
                    <w:rPr>
                      <w:color w:val="auto"/>
                      <w:kern w:val="0"/>
                      <w:sz w:val="18"/>
                      <w:szCs w:val="18"/>
                    </w:rPr>
                  </w:pPr>
                  <w:r>
                    <w:rPr>
                      <w:color w:val="auto"/>
                      <w:kern w:val="0"/>
                      <w:sz w:val="18"/>
                      <w:szCs w:val="18"/>
                    </w:rPr>
                    <w:t>防渗区</w:t>
                  </w:r>
                </w:p>
              </w:tc>
              <w:tc>
                <w:tcPr>
                  <w:tcW w:w="1925" w:type="dxa"/>
                  <w:noWrap/>
                  <w:vAlign w:val="center"/>
                </w:tcPr>
                <w:p w14:paraId="628FA6A8">
                  <w:pPr>
                    <w:adjustRightInd w:val="0"/>
                    <w:ind w:left="-50" w:right="-50"/>
                    <w:jc w:val="center"/>
                    <w:rPr>
                      <w:color w:val="auto"/>
                      <w:kern w:val="0"/>
                      <w:sz w:val="18"/>
                      <w:szCs w:val="18"/>
                    </w:rPr>
                  </w:pPr>
                  <w:r>
                    <w:rPr>
                      <w:rFonts w:hint="eastAsia"/>
                      <w:color w:val="auto"/>
                      <w:kern w:val="0"/>
                      <w:sz w:val="18"/>
                      <w:szCs w:val="18"/>
                    </w:rPr>
                    <w:t>生产厂房</w:t>
                  </w:r>
                </w:p>
              </w:tc>
              <w:tc>
                <w:tcPr>
                  <w:tcW w:w="2835" w:type="dxa"/>
                  <w:noWrap/>
                  <w:vAlign w:val="center"/>
                </w:tcPr>
                <w:p w14:paraId="056EC00C">
                  <w:pPr>
                    <w:adjustRightInd w:val="0"/>
                    <w:ind w:left="-50" w:right="-50"/>
                    <w:jc w:val="center"/>
                    <w:rPr>
                      <w:color w:val="auto"/>
                      <w:kern w:val="0"/>
                      <w:sz w:val="18"/>
                      <w:szCs w:val="18"/>
                    </w:rPr>
                  </w:pPr>
                  <w:r>
                    <w:rPr>
                      <w:color w:val="auto"/>
                      <w:kern w:val="0"/>
                      <w:sz w:val="18"/>
                      <w:szCs w:val="18"/>
                    </w:rPr>
                    <w:t>水泥硬化处理，采取10cm后三合土铺底，再铺15-20cm的水泥进行硬化</w:t>
                  </w:r>
                </w:p>
              </w:tc>
              <w:tc>
                <w:tcPr>
                  <w:tcW w:w="2490" w:type="dxa"/>
                  <w:noWrap w:val="0"/>
                  <w:vAlign w:val="center"/>
                </w:tcPr>
                <w:p w14:paraId="17EC6784">
                  <w:pPr>
                    <w:widowControl/>
                    <w:ind w:left="-105" w:leftChars="-50" w:right="-105" w:rightChars="-50"/>
                    <w:jc w:val="center"/>
                    <w:rPr>
                      <w:color w:val="auto"/>
                      <w:kern w:val="0"/>
                      <w:sz w:val="18"/>
                      <w:szCs w:val="18"/>
                    </w:rPr>
                  </w:pPr>
                  <w:r>
                    <w:rPr>
                      <w:color w:val="auto"/>
                      <w:kern w:val="0"/>
                      <w:sz w:val="18"/>
                      <w:szCs w:val="18"/>
                    </w:rPr>
                    <w:t>等效黏土防渗层Mb≥1.5m，K≤10</w:t>
                  </w:r>
                  <w:r>
                    <w:rPr>
                      <w:color w:val="auto"/>
                      <w:kern w:val="0"/>
                      <w:sz w:val="18"/>
                      <w:szCs w:val="18"/>
                      <w:vertAlign w:val="superscript"/>
                    </w:rPr>
                    <w:t>-7</w:t>
                  </w:r>
                  <w:r>
                    <w:rPr>
                      <w:color w:val="auto"/>
                      <w:kern w:val="0"/>
                      <w:sz w:val="18"/>
                      <w:szCs w:val="18"/>
                    </w:rPr>
                    <w:t>cm/s；或参照GB16889执行</w:t>
                  </w:r>
                </w:p>
              </w:tc>
            </w:tr>
            <w:tr w14:paraId="3ED1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7" w:type="dxa"/>
                  <w:noWrap/>
                  <w:vAlign w:val="center"/>
                </w:tcPr>
                <w:p w14:paraId="321994A3">
                  <w:pPr>
                    <w:ind w:left="-105" w:leftChars="-50" w:right="-105" w:rightChars="-50"/>
                    <w:jc w:val="center"/>
                    <w:rPr>
                      <w:color w:val="auto"/>
                      <w:sz w:val="18"/>
                      <w:szCs w:val="18"/>
                    </w:rPr>
                  </w:pPr>
                  <w:r>
                    <w:rPr>
                      <w:color w:val="auto"/>
                      <w:sz w:val="18"/>
                      <w:szCs w:val="18"/>
                    </w:rPr>
                    <w:t>重点</w:t>
                  </w:r>
                </w:p>
                <w:p w14:paraId="0AAF3C9E">
                  <w:pPr>
                    <w:ind w:left="-105" w:leftChars="-50" w:right="-105" w:rightChars="-50"/>
                    <w:jc w:val="center"/>
                    <w:rPr>
                      <w:color w:val="auto"/>
                      <w:kern w:val="0"/>
                      <w:sz w:val="18"/>
                      <w:szCs w:val="18"/>
                    </w:rPr>
                  </w:pPr>
                  <w:r>
                    <w:rPr>
                      <w:color w:val="auto"/>
                      <w:sz w:val="18"/>
                      <w:szCs w:val="18"/>
                    </w:rPr>
                    <w:t>防渗区</w:t>
                  </w:r>
                </w:p>
              </w:tc>
              <w:tc>
                <w:tcPr>
                  <w:tcW w:w="1925" w:type="dxa"/>
                  <w:noWrap/>
                  <w:vAlign w:val="center"/>
                </w:tcPr>
                <w:p w14:paraId="63055BBF">
                  <w:pPr>
                    <w:adjustRightInd w:val="0"/>
                    <w:ind w:left="-50" w:right="-50"/>
                    <w:jc w:val="center"/>
                    <w:rPr>
                      <w:rFonts w:hint="default" w:eastAsia="宋体"/>
                      <w:color w:val="auto"/>
                      <w:kern w:val="0"/>
                      <w:sz w:val="18"/>
                      <w:szCs w:val="18"/>
                      <w:lang w:val="en-US" w:eastAsia="zh-CN"/>
                    </w:rPr>
                  </w:pPr>
                  <w:r>
                    <w:rPr>
                      <w:rFonts w:hint="eastAsia" w:hAnsi="宋体"/>
                      <w:bCs/>
                      <w:color w:val="auto"/>
                      <w:sz w:val="18"/>
                      <w:szCs w:val="18"/>
                      <w:lang w:val="en-US" w:eastAsia="zh-CN"/>
                    </w:rPr>
                    <w:t>事故池</w:t>
                  </w:r>
                  <w:r>
                    <w:rPr>
                      <w:rFonts w:hint="eastAsia" w:hAnsi="宋体"/>
                      <w:bCs/>
                      <w:color w:val="auto"/>
                      <w:sz w:val="18"/>
                      <w:szCs w:val="18"/>
                    </w:rPr>
                    <w:t>、危废</w:t>
                  </w:r>
                  <w:r>
                    <w:rPr>
                      <w:rFonts w:hAnsi="宋体"/>
                      <w:bCs/>
                      <w:color w:val="auto"/>
                      <w:sz w:val="18"/>
                      <w:szCs w:val="18"/>
                    </w:rPr>
                    <w:t>库</w:t>
                  </w:r>
                  <w:r>
                    <w:rPr>
                      <w:rFonts w:hint="eastAsia" w:hAnsi="宋体"/>
                      <w:bCs/>
                      <w:color w:val="auto"/>
                      <w:sz w:val="18"/>
                      <w:szCs w:val="18"/>
                      <w:lang w:eastAsia="zh-CN"/>
                    </w:rPr>
                    <w:t>、</w:t>
                  </w:r>
                  <w:r>
                    <w:rPr>
                      <w:rFonts w:hint="eastAsia" w:hAnsi="宋体"/>
                      <w:bCs/>
                      <w:color w:val="auto"/>
                      <w:sz w:val="18"/>
                      <w:szCs w:val="18"/>
                      <w:lang w:val="en-US" w:eastAsia="zh-CN"/>
                    </w:rPr>
                    <w:t>冲洗平台</w:t>
                  </w:r>
                </w:p>
              </w:tc>
              <w:tc>
                <w:tcPr>
                  <w:tcW w:w="2835" w:type="dxa"/>
                  <w:noWrap/>
                  <w:vAlign w:val="center"/>
                </w:tcPr>
                <w:p w14:paraId="34842D22">
                  <w:pPr>
                    <w:adjustRightInd w:val="0"/>
                    <w:ind w:left="-50" w:right="-50"/>
                    <w:jc w:val="center"/>
                    <w:rPr>
                      <w:color w:val="auto"/>
                      <w:kern w:val="0"/>
                      <w:sz w:val="18"/>
                      <w:szCs w:val="18"/>
                    </w:rPr>
                  </w:pPr>
                  <w:r>
                    <w:rPr>
                      <w:color w:val="auto"/>
                      <w:kern w:val="0"/>
                      <w:sz w:val="18"/>
                      <w:szCs w:val="18"/>
                    </w:rPr>
                    <w:t>底部采用10cm厚三合土处理，上层再用10-15cm水泥硬化，表层涂环氧树脂环氧树脂</w:t>
                  </w:r>
                </w:p>
              </w:tc>
              <w:tc>
                <w:tcPr>
                  <w:tcW w:w="2490" w:type="dxa"/>
                  <w:noWrap w:val="0"/>
                  <w:vAlign w:val="center"/>
                </w:tcPr>
                <w:p w14:paraId="1F5DA331">
                  <w:pPr>
                    <w:ind w:left="-50" w:right="-50"/>
                    <w:jc w:val="center"/>
                    <w:rPr>
                      <w:color w:val="auto"/>
                      <w:kern w:val="0"/>
                      <w:sz w:val="18"/>
                      <w:szCs w:val="18"/>
                    </w:rPr>
                  </w:pPr>
                  <w:r>
                    <w:rPr>
                      <w:color w:val="auto"/>
                      <w:kern w:val="0"/>
                      <w:sz w:val="18"/>
                      <w:szCs w:val="18"/>
                    </w:rPr>
                    <w:t>等效黏土防渗层Mb≥6.0m，K≤10</w:t>
                  </w:r>
                  <w:r>
                    <w:rPr>
                      <w:color w:val="auto"/>
                      <w:kern w:val="0"/>
                      <w:sz w:val="18"/>
                      <w:szCs w:val="18"/>
                      <w:vertAlign w:val="superscript"/>
                    </w:rPr>
                    <w:t>-7</w:t>
                  </w:r>
                  <w:r>
                    <w:rPr>
                      <w:color w:val="auto"/>
                      <w:kern w:val="0"/>
                      <w:sz w:val="18"/>
                      <w:szCs w:val="18"/>
                    </w:rPr>
                    <w:t>cm/s；或参照GB18598执行</w:t>
                  </w:r>
                </w:p>
              </w:tc>
            </w:tr>
          </w:tbl>
          <w:p w14:paraId="71000755">
            <w:pPr>
              <w:spacing w:line="360" w:lineRule="auto"/>
              <w:ind w:firstLine="420" w:firstLineChars="200"/>
              <w:rPr>
                <w:color w:val="auto"/>
                <w:kern w:val="0"/>
                <w:szCs w:val="21"/>
              </w:rPr>
            </w:pPr>
            <w:r>
              <w:rPr>
                <w:rFonts w:hint="eastAsia"/>
                <w:color w:val="auto"/>
                <w:szCs w:val="21"/>
              </w:rPr>
              <w:t>项目</w:t>
            </w:r>
            <w:r>
              <w:rPr>
                <w:rFonts w:hint="eastAsia"/>
                <w:color w:val="auto"/>
                <w:kern w:val="0"/>
                <w:szCs w:val="21"/>
              </w:rPr>
              <w:t>危险废物暂存库</w:t>
            </w:r>
            <w:r>
              <w:rPr>
                <w:rFonts w:hint="eastAsia"/>
                <w:color w:val="auto"/>
                <w:kern w:val="0"/>
                <w:szCs w:val="21"/>
                <w:lang w:val="en-US" w:eastAsia="zh-CN"/>
              </w:rPr>
              <w:t>已</w:t>
            </w:r>
            <w:r>
              <w:rPr>
                <w:rFonts w:hint="eastAsia"/>
                <w:color w:val="auto"/>
                <w:kern w:val="0"/>
                <w:szCs w:val="21"/>
              </w:rPr>
              <w:t>按</w:t>
            </w:r>
            <w:r>
              <w:rPr>
                <w:rFonts w:hint="eastAsia"/>
                <w:color w:val="auto"/>
              </w:rPr>
              <w:t>《危险废物贮存污染控制标准》（GB18597-2023）中</w:t>
            </w:r>
            <w:r>
              <w:rPr>
                <w:rFonts w:hint="eastAsia"/>
                <w:color w:val="auto"/>
                <w:kern w:val="0"/>
                <w:szCs w:val="21"/>
              </w:rPr>
              <w:t>的相关要求进行设置。</w:t>
            </w:r>
            <w:r>
              <w:rPr>
                <w:rFonts w:hint="eastAsia"/>
                <w:color w:val="auto"/>
                <w:szCs w:val="21"/>
              </w:rPr>
              <w:t>危废收集后分类存放，废油类采用密闭容器存放，危废暂存间设置导流沟及收集池，暂存间采取重点防渗；可有效防止物料和事故状态下的地面冲洗水泄漏对土壤产生影响。项目危废收集后定期交由有资质单位处置，可有效减少危废贮存对土壤环境的影响。</w:t>
            </w:r>
            <w:r>
              <w:rPr>
                <w:rFonts w:hint="eastAsia"/>
                <w:color w:val="auto"/>
                <w:kern w:val="0"/>
                <w:szCs w:val="21"/>
              </w:rPr>
              <w:t>采取上述措施后，能避免固体废物渗滤液进入土壤。</w:t>
            </w:r>
          </w:p>
          <w:p w14:paraId="265938AE">
            <w:pPr>
              <w:spacing w:line="360" w:lineRule="auto"/>
              <w:ind w:firstLine="420" w:firstLineChars="200"/>
              <w:rPr>
                <w:rFonts w:hint="default" w:eastAsia="宋体"/>
                <w:color w:val="auto"/>
                <w:kern w:val="0"/>
                <w:szCs w:val="21"/>
                <w:lang w:val="en-US" w:eastAsia="zh-CN"/>
              </w:rPr>
            </w:pPr>
            <w:r>
              <w:rPr>
                <w:rFonts w:hint="eastAsia"/>
                <w:color w:val="auto"/>
                <w:kern w:val="0"/>
                <w:szCs w:val="21"/>
              </w:rPr>
              <w:t>因此，正常工况下项目废水和固废不会对区域土壤环境产生不利影响。</w:t>
            </w:r>
            <w:r>
              <w:rPr>
                <w:rFonts w:hint="eastAsia"/>
                <w:color w:val="auto"/>
                <w:kern w:val="0"/>
                <w:szCs w:val="21"/>
                <w:lang w:val="en-US" w:eastAsia="zh-CN"/>
              </w:rPr>
              <w:t>且企业经过多年发展，未发生过土壤、地下水污染事件。</w:t>
            </w:r>
          </w:p>
          <w:p w14:paraId="266BE4E2">
            <w:pPr>
              <w:spacing w:line="360" w:lineRule="auto"/>
              <w:ind w:firstLine="420" w:firstLineChars="200"/>
              <w:rPr>
                <w:rFonts w:hint="eastAsia"/>
                <w:color w:val="auto"/>
                <w:kern w:val="0"/>
                <w:szCs w:val="21"/>
              </w:rPr>
            </w:pPr>
            <w:r>
              <w:rPr>
                <w:rFonts w:hint="eastAsia"/>
                <w:color w:val="auto"/>
                <w:kern w:val="0"/>
                <w:szCs w:val="21"/>
              </w:rPr>
              <w:t>项目厂区设置应急事故池及相应的截断阀，用于收集事故废水，以防污染事故废水对地表径流污染土壤和地下水。</w:t>
            </w:r>
          </w:p>
          <w:p w14:paraId="6E233745">
            <w:pPr>
              <w:adjustRightInd w:val="0"/>
              <w:snapToGrid w:val="0"/>
              <w:spacing w:line="360" w:lineRule="auto"/>
              <w:ind w:firstLine="420" w:firstLineChars="200"/>
              <w:rPr>
                <w:rFonts w:hint="default" w:eastAsia="宋体"/>
                <w:color w:val="auto"/>
                <w:szCs w:val="21"/>
                <w:lang w:val="en-US" w:eastAsia="zh-CN"/>
              </w:rPr>
            </w:pPr>
            <w:r>
              <w:rPr>
                <w:rFonts w:hint="eastAsia"/>
                <w:color w:val="auto"/>
                <w:kern w:val="0"/>
                <w:szCs w:val="21"/>
              </w:rPr>
              <w:t>针对废</w:t>
            </w:r>
            <w:r>
              <w:rPr>
                <w:rFonts w:hint="eastAsia"/>
                <w:color w:val="auto"/>
                <w:kern w:val="0"/>
                <w:szCs w:val="21"/>
                <w:lang w:val="en-US" w:eastAsia="zh-CN"/>
              </w:rPr>
              <w:t>机油</w:t>
            </w:r>
            <w:r>
              <w:rPr>
                <w:rFonts w:hint="eastAsia"/>
                <w:color w:val="auto"/>
                <w:kern w:val="0"/>
                <w:szCs w:val="21"/>
              </w:rPr>
              <w:t>等储存容器破损事故，项目在储存容器下方设置托盘，</w:t>
            </w:r>
            <w:r>
              <w:rPr>
                <w:rFonts w:hint="eastAsia"/>
                <w:color w:val="auto"/>
                <w:kern w:val="0"/>
                <w:szCs w:val="21"/>
                <w:lang w:val="en-US" w:eastAsia="zh-CN"/>
              </w:rPr>
              <w:t>液氨</w:t>
            </w:r>
            <w:r>
              <w:rPr>
                <w:rFonts w:hint="eastAsia"/>
                <w:color w:val="auto"/>
                <w:kern w:val="0"/>
                <w:szCs w:val="21"/>
              </w:rPr>
              <w:t>及危废间设施导流沟和集液池，地面及沟槽内均做重点防渗，少量泄露可以利用托盘回收，如发生大量泄露，则可通过导流沟排入事故池，然后对地面进行清洗，废水委托有资质单位处置；针对油类的泄露事故，企业在车间内放置木屑和吸油毡，一旦发生泄露，立即用木屑和吸油毡进行覆盖，然后进行清扫处理。清扫产生的废物作为危险废物，委托有相应资质的处置单位处置。</w:t>
            </w:r>
          </w:p>
          <w:p w14:paraId="581749CF">
            <w:pPr>
              <w:spacing w:line="360" w:lineRule="auto"/>
              <w:ind w:firstLine="420" w:firstLineChars="200"/>
              <w:rPr>
                <w:color w:val="auto"/>
                <w:szCs w:val="21"/>
              </w:rPr>
            </w:pPr>
          </w:p>
          <w:p w14:paraId="7ECF0569">
            <w:pPr>
              <w:spacing w:line="360" w:lineRule="auto"/>
              <w:ind w:firstLine="420" w:firstLineChars="200"/>
              <w:rPr>
                <w:color w:val="auto"/>
                <w:szCs w:val="21"/>
              </w:rPr>
            </w:pPr>
          </w:p>
          <w:p w14:paraId="38F49EA2">
            <w:pPr>
              <w:spacing w:line="360" w:lineRule="auto"/>
              <w:ind w:firstLine="420" w:firstLineChars="200"/>
              <w:rPr>
                <w:color w:val="auto"/>
                <w:szCs w:val="21"/>
              </w:rPr>
            </w:pPr>
          </w:p>
          <w:p w14:paraId="596D3B2C">
            <w:pPr>
              <w:spacing w:line="360" w:lineRule="auto"/>
              <w:ind w:firstLine="420" w:firstLineChars="200"/>
              <w:rPr>
                <w:rFonts w:hint="eastAsia"/>
                <w:color w:val="auto"/>
                <w:szCs w:val="21"/>
              </w:rPr>
            </w:pPr>
          </w:p>
          <w:p w14:paraId="29C5D075">
            <w:pPr>
              <w:spacing w:line="360" w:lineRule="auto"/>
              <w:ind w:firstLine="420" w:firstLineChars="200"/>
              <w:rPr>
                <w:color w:val="auto"/>
                <w:szCs w:val="21"/>
              </w:rPr>
            </w:pPr>
          </w:p>
          <w:p w14:paraId="104B75B3">
            <w:pPr>
              <w:spacing w:line="360" w:lineRule="auto"/>
              <w:ind w:firstLine="420" w:firstLineChars="200"/>
              <w:rPr>
                <w:color w:val="auto"/>
                <w:szCs w:val="21"/>
              </w:rPr>
            </w:pPr>
          </w:p>
          <w:p w14:paraId="329301E2">
            <w:pPr>
              <w:spacing w:line="360" w:lineRule="auto"/>
              <w:ind w:firstLine="380" w:firstLineChars="200"/>
              <w:rPr>
                <w:rFonts w:hint="eastAsia" w:hAnsi="宋体"/>
                <w:bCs/>
                <w:color w:val="auto"/>
                <w:spacing w:val="-10"/>
              </w:rPr>
            </w:pPr>
          </w:p>
        </w:tc>
      </w:tr>
    </w:tbl>
    <w:p w14:paraId="763C0F37">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558008D">
      <w:pPr>
        <w:pStyle w:val="30"/>
        <w:ind w:firstLine="60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22" w:name="_Hlk54167917"/>
      <w:r>
        <w:rPr>
          <w:rFonts w:hint="eastAsia" w:ascii="黑体" w:hAnsi="黑体" w:eastAsia="黑体"/>
          <w:snapToGrid w:val="0"/>
          <w:color w:val="auto"/>
          <w:sz w:val="30"/>
          <w:szCs w:val="30"/>
        </w:rPr>
        <w:t>环境保护措施监督检查清单</w:t>
      </w:r>
      <w:bookmarkEnd w:id="16"/>
      <w:bookmarkEnd w:id="2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276"/>
        <w:gridCol w:w="1276"/>
        <w:gridCol w:w="3685"/>
        <w:gridCol w:w="1309"/>
      </w:tblGrid>
      <w:tr w14:paraId="4BFB1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tcBorders>
              <w:tl2br w:val="single" w:color="auto" w:sz="4" w:space="0"/>
            </w:tcBorders>
            <w:noWrap w:val="0"/>
            <w:vAlign w:val="top"/>
          </w:tcPr>
          <w:p w14:paraId="0AAE471A">
            <w:pPr>
              <w:adjustRightInd w:val="0"/>
              <w:snapToGrid w:val="0"/>
              <w:ind w:firstLine="420"/>
              <w:rPr>
                <w:color w:val="auto"/>
                <w:szCs w:val="21"/>
              </w:rPr>
            </w:pPr>
            <w:r>
              <w:rPr>
                <w:color w:val="auto"/>
                <w:szCs w:val="21"/>
              </w:rPr>
              <w:t>内容</w:t>
            </w:r>
          </w:p>
          <w:p w14:paraId="20F95C01">
            <w:pPr>
              <w:adjustRightInd w:val="0"/>
              <w:snapToGrid w:val="0"/>
              <w:rPr>
                <w:color w:val="auto"/>
                <w:szCs w:val="21"/>
              </w:rPr>
            </w:pPr>
            <w:r>
              <w:rPr>
                <w:color w:val="auto"/>
                <w:szCs w:val="21"/>
              </w:rPr>
              <w:t>要素</w:t>
            </w:r>
          </w:p>
        </w:tc>
        <w:tc>
          <w:tcPr>
            <w:tcW w:w="1276" w:type="dxa"/>
            <w:noWrap w:val="0"/>
            <w:vAlign w:val="center"/>
          </w:tcPr>
          <w:p w14:paraId="07CA78A8">
            <w:pPr>
              <w:adjustRightInd w:val="0"/>
              <w:snapToGrid w:val="0"/>
              <w:jc w:val="center"/>
              <w:rPr>
                <w:color w:val="auto"/>
                <w:szCs w:val="21"/>
              </w:rPr>
            </w:pPr>
            <w:r>
              <w:rPr>
                <w:color w:val="auto"/>
                <w:szCs w:val="21"/>
              </w:rPr>
              <w:t>排放口(编号、名称)/污染源</w:t>
            </w:r>
          </w:p>
        </w:tc>
        <w:tc>
          <w:tcPr>
            <w:tcW w:w="1276" w:type="dxa"/>
            <w:noWrap w:val="0"/>
            <w:vAlign w:val="center"/>
          </w:tcPr>
          <w:p w14:paraId="2D0BD5C4">
            <w:pPr>
              <w:adjustRightInd w:val="0"/>
              <w:snapToGrid w:val="0"/>
              <w:jc w:val="center"/>
              <w:rPr>
                <w:color w:val="auto"/>
                <w:szCs w:val="21"/>
              </w:rPr>
            </w:pPr>
            <w:r>
              <w:rPr>
                <w:color w:val="auto"/>
                <w:szCs w:val="21"/>
              </w:rPr>
              <w:t>污染物项目</w:t>
            </w:r>
          </w:p>
        </w:tc>
        <w:tc>
          <w:tcPr>
            <w:tcW w:w="3685" w:type="dxa"/>
            <w:noWrap w:val="0"/>
            <w:vAlign w:val="center"/>
          </w:tcPr>
          <w:p w14:paraId="704AD43A">
            <w:pPr>
              <w:adjustRightInd w:val="0"/>
              <w:snapToGrid w:val="0"/>
              <w:jc w:val="center"/>
              <w:rPr>
                <w:color w:val="auto"/>
                <w:szCs w:val="21"/>
              </w:rPr>
            </w:pPr>
            <w:r>
              <w:rPr>
                <w:color w:val="auto"/>
                <w:szCs w:val="21"/>
              </w:rPr>
              <w:t>环境保护措施</w:t>
            </w:r>
          </w:p>
        </w:tc>
        <w:tc>
          <w:tcPr>
            <w:tcW w:w="1309" w:type="dxa"/>
            <w:noWrap w:val="0"/>
            <w:vAlign w:val="center"/>
          </w:tcPr>
          <w:p w14:paraId="1BFB92FE">
            <w:pPr>
              <w:adjustRightInd w:val="0"/>
              <w:snapToGrid w:val="0"/>
              <w:jc w:val="center"/>
              <w:rPr>
                <w:color w:val="auto"/>
                <w:szCs w:val="21"/>
              </w:rPr>
            </w:pPr>
            <w:r>
              <w:rPr>
                <w:color w:val="auto"/>
                <w:szCs w:val="21"/>
              </w:rPr>
              <w:t>执行标准</w:t>
            </w:r>
          </w:p>
        </w:tc>
      </w:tr>
      <w:tr w14:paraId="22B41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vMerge w:val="restart"/>
            <w:noWrap w:val="0"/>
            <w:vAlign w:val="center"/>
          </w:tcPr>
          <w:p w14:paraId="670E6B36">
            <w:pPr>
              <w:adjustRightInd w:val="0"/>
              <w:snapToGrid w:val="0"/>
              <w:jc w:val="center"/>
              <w:rPr>
                <w:color w:val="auto"/>
                <w:szCs w:val="21"/>
              </w:rPr>
            </w:pPr>
            <w:r>
              <w:rPr>
                <w:color w:val="auto"/>
                <w:szCs w:val="21"/>
              </w:rPr>
              <w:t>大气环境</w:t>
            </w:r>
          </w:p>
        </w:tc>
        <w:tc>
          <w:tcPr>
            <w:tcW w:w="1276" w:type="dxa"/>
            <w:noWrap w:val="0"/>
            <w:vAlign w:val="center"/>
          </w:tcPr>
          <w:p w14:paraId="34C656BC">
            <w:pPr>
              <w:adjustRightInd w:val="0"/>
              <w:snapToGrid w:val="0"/>
              <w:jc w:val="center"/>
              <w:rPr>
                <w:color w:val="auto"/>
                <w:szCs w:val="21"/>
              </w:rPr>
            </w:pPr>
            <w:r>
              <w:rPr>
                <w:color w:val="auto"/>
                <w:szCs w:val="21"/>
              </w:rPr>
              <w:t>DA001</w:t>
            </w:r>
          </w:p>
        </w:tc>
        <w:tc>
          <w:tcPr>
            <w:tcW w:w="1276" w:type="dxa"/>
            <w:noWrap w:val="0"/>
            <w:vAlign w:val="center"/>
          </w:tcPr>
          <w:p w14:paraId="4CA2A2E1">
            <w:pPr>
              <w:adjustRightInd w:val="0"/>
              <w:snapToGrid w:val="0"/>
              <w:jc w:val="center"/>
              <w:rPr>
                <w:rFonts w:hint="default" w:eastAsia="宋体"/>
                <w:color w:val="auto"/>
                <w:szCs w:val="21"/>
                <w:lang w:val="en-US" w:eastAsia="zh-CN"/>
              </w:rPr>
            </w:pPr>
            <w:r>
              <w:rPr>
                <w:color w:val="auto"/>
                <w:kern w:val="0"/>
                <w:sz w:val="18"/>
                <w:szCs w:val="18"/>
              </w:rPr>
              <w:t>SO</w:t>
            </w:r>
            <w:r>
              <w:rPr>
                <w:color w:val="auto"/>
                <w:kern w:val="0"/>
                <w:sz w:val="18"/>
                <w:szCs w:val="18"/>
                <w:vertAlign w:val="subscript"/>
              </w:rPr>
              <w:t>2</w:t>
            </w:r>
            <w:r>
              <w:rPr>
                <w:rFonts w:hint="eastAsia"/>
                <w:color w:val="auto"/>
                <w:kern w:val="0"/>
                <w:sz w:val="18"/>
                <w:szCs w:val="18"/>
              </w:rPr>
              <w:t>、</w:t>
            </w:r>
            <w:r>
              <w:rPr>
                <w:color w:val="auto"/>
                <w:kern w:val="0"/>
                <w:sz w:val="18"/>
                <w:szCs w:val="18"/>
              </w:rPr>
              <w:t>NOx</w:t>
            </w:r>
            <w:r>
              <w:rPr>
                <w:rFonts w:hint="eastAsia"/>
                <w:color w:val="auto"/>
                <w:kern w:val="0"/>
                <w:sz w:val="18"/>
                <w:szCs w:val="18"/>
              </w:rPr>
              <w:t>、烟尘</w:t>
            </w:r>
            <w:r>
              <w:rPr>
                <w:rFonts w:hint="eastAsia"/>
                <w:color w:val="auto"/>
                <w:kern w:val="0"/>
                <w:sz w:val="18"/>
                <w:szCs w:val="18"/>
                <w:lang w:eastAsia="zh-CN"/>
              </w:rPr>
              <w:t>、</w:t>
            </w:r>
            <w:r>
              <w:rPr>
                <w:rFonts w:hint="eastAsia"/>
                <w:color w:val="auto"/>
                <w:kern w:val="0"/>
                <w:sz w:val="18"/>
                <w:szCs w:val="18"/>
                <w:lang w:val="en-US" w:eastAsia="zh-CN"/>
              </w:rPr>
              <w:t>氟化物、氨</w:t>
            </w:r>
          </w:p>
        </w:tc>
        <w:tc>
          <w:tcPr>
            <w:tcW w:w="3685" w:type="dxa"/>
            <w:noWrap w:val="0"/>
            <w:vAlign w:val="center"/>
          </w:tcPr>
          <w:p w14:paraId="21248B29">
            <w:pPr>
              <w:adjustRightInd w:val="0"/>
              <w:snapToGrid w:val="0"/>
              <w:jc w:val="center"/>
              <w:rPr>
                <w:color w:val="auto"/>
                <w:szCs w:val="21"/>
              </w:rPr>
            </w:pPr>
            <w:r>
              <w:rPr>
                <w:rFonts w:hint="eastAsia" w:ascii="Times New Roman" w:hAnsi="Times New Roman" w:eastAsia="宋体" w:cs="Times New Roman"/>
                <w:color w:val="auto"/>
                <w:sz w:val="21"/>
                <w:szCs w:val="21"/>
                <w:highlight w:val="none"/>
                <w:lang w:val="en-US" w:eastAsia="zh-CN"/>
              </w:rPr>
              <w:t>熔窑</w:t>
            </w:r>
            <w:r>
              <w:rPr>
                <w:rFonts w:hint="eastAsia" w:ascii="Times New Roman" w:hAnsi="Times New Roman" w:eastAsia="宋体" w:cs="Times New Roman"/>
                <w:color w:val="auto"/>
                <w:sz w:val="21"/>
                <w:szCs w:val="21"/>
                <w:highlight w:val="none"/>
              </w:rPr>
              <w:t>采用天然气为能源，</w:t>
            </w:r>
            <w:r>
              <w:rPr>
                <w:rFonts w:hint="eastAsia" w:ascii="Times New Roman" w:hAnsi="Times New Roman" w:eastAsia="宋体" w:cs="Times New Roman"/>
                <w:color w:val="auto"/>
                <w:sz w:val="21"/>
                <w:szCs w:val="21"/>
                <w:highlight w:val="none"/>
                <w:lang w:val="en-US" w:eastAsia="zh-CN"/>
              </w:rPr>
              <w:t>燃烧采用</w:t>
            </w:r>
            <w:r>
              <w:rPr>
                <w:rFonts w:hint="eastAsia" w:ascii="Times New Roman" w:hAnsi="Times New Roman" w:eastAsia="宋体" w:cs="Times New Roman"/>
                <w:bCs/>
                <w:color w:val="auto"/>
                <w:kern w:val="2"/>
                <w:sz w:val="21"/>
                <w:szCs w:val="21"/>
                <w:lang w:val="en-US" w:eastAsia="zh-CN" w:bidi="ar-SA"/>
              </w:rPr>
              <w:t>陶瓷纤维脱硝除尘一体烟气净化系统（调质脱硫塔+陶瓷滤筒SCR脱硝除尘）</w:t>
            </w:r>
            <w:r>
              <w:rPr>
                <w:rFonts w:hint="eastAsia"/>
                <w:color w:val="auto"/>
                <w:sz w:val="21"/>
                <w:szCs w:val="21"/>
              </w:rPr>
              <w:t>经</w:t>
            </w:r>
            <w:r>
              <w:rPr>
                <w:rFonts w:hint="eastAsia"/>
                <w:color w:val="auto"/>
                <w:sz w:val="21"/>
                <w:szCs w:val="21"/>
                <w:lang w:val="en-US" w:eastAsia="zh-CN"/>
              </w:rPr>
              <w:t>55</w:t>
            </w:r>
            <w:r>
              <w:rPr>
                <w:color w:val="auto"/>
                <w:sz w:val="21"/>
                <w:szCs w:val="21"/>
              </w:rPr>
              <w:t>m</w:t>
            </w:r>
            <w:r>
              <w:rPr>
                <w:rFonts w:hint="eastAsia"/>
                <w:color w:val="auto"/>
                <w:sz w:val="21"/>
                <w:szCs w:val="21"/>
              </w:rPr>
              <w:t>高排气筒（D</w:t>
            </w:r>
            <w:r>
              <w:rPr>
                <w:color w:val="auto"/>
                <w:sz w:val="21"/>
                <w:szCs w:val="21"/>
              </w:rPr>
              <w:t>A001</w:t>
            </w:r>
            <w:r>
              <w:rPr>
                <w:rFonts w:hint="eastAsia"/>
                <w:color w:val="auto"/>
                <w:sz w:val="21"/>
                <w:szCs w:val="21"/>
              </w:rPr>
              <w:t>）外排。</w:t>
            </w:r>
          </w:p>
        </w:tc>
        <w:tc>
          <w:tcPr>
            <w:tcW w:w="1309" w:type="dxa"/>
            <w:noWrap w:val="0"/>
            <w:vAlign w:val="center"/>
          </w:tcPr>
          <w:p w14:paraId="36F8D0BD">
            <w:pPr>
              <w:adjustRightInd w:val="0"/>
              <w:snapToGrid w:val="0"/>
              <w:jc w:val="center"/>
              <w:rPr>
                <w:color w:val="auto"/>
                <w:szCs w:val="21"/>
              </w:rPr>
            </w:pPr>
            <w:r>
              <w:rPr>
                <w:rFonts w:hint="eastAsia"/>
                <w:color w:val="auto"/>
                <w:sz w:val="21"/>
                <w:szCs w:val="21"/>
                <w:lang w:val="en-US" w:eastAsia="zh-CN"/>
              </w:rPr>
              <w:t>DB34/4295-2022</w:t>
            </w:r>
          </w:p>
        </w:tc>
      </w:tr>
      <w:tr w14:paraId="021EF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vMerge w:val="continue"/>
            <w:noWrap w:val="0"/>
            <w:vAlign w:val="center"/>
          </w:tcPr>
          <w:p w14:paraId="1530C7A7">
            <w:pPr>
              <w:adjustRightInd w:val="0"/>
              <w:snapToGrid w:val="0"/>
              <w:jc w:val="center"/>
              <w:rPr>
                <w:color w:val="auto"/>
                <w:szCs w:val="21"/>
              </w:rPr>
            </w:pPr>
          </w:p>
        </w:tc>
        <w:tc>
          <w:tcPr>
            <w:tcW w:w="1276" w:type="dxa"/>
            <w:noWrap w:val="0"/>
            <w:vAlign w:val="center"/>
          </w:tcPr>
          <w:p w14:paraId="2DC21F0C">
            <w:pPr>
              <w:adjustRightInd w:val="0"/>
              <w:snapToGrid w:val="0"/>
              <w:jc w:val="center"/>
              <w:rPr>
                <w:color w:val="auto"/>
                <w:szCs w:val="21"/>
              </w:rPr>
            </w:pPr>
            <w:r>
              <w:rPr>
                <w:rFonts w:hint="eastAsia"/>
                <w:color w:val="auto"/>
                <w:szCs w:val="21"/>
              </w:rPr>
              <w:t>D</w:t>
            </w:r>
            <w:r>
              <w:rPr>
                <w:color w:val="auto"/>
                <w:szCs w:val="21"/>
              </w:rPr>
              <w:t>A002</w:t>
            </w:r>
          </w:p>
        </w:tc>
        <w:tc>
          <w:tcPr>
            <w:tcW w:w="1276" w:type="dxa"/>
            <w:noWrap w:val="0"/>
            <w:vAlign w:val="center"/>
          </w:tcPr>
          <w:p w14:paraId="33C814AF">
            <w:pPr>
              <w:adjustRightInd w:val="0"/>
              <w:snapToGrid w:val="0"/>
              <w:jc w:val="center"/>
              <w:rPr>
                <w:color w:val="auto"/>
                <w:kern w:val="0"/>
                <w:szCs w:val="21"/>
              </w:rPr>
            </w:pPr>
            <w:r>
              <w:rPr>
                <w:color w:val="auto"/>
                <w:szCs w:val="21"/>
              </w:rPr>
              <w:t>颗粒物</w:t>
            </w:r>
          </w:p>
        </w:tc>
        <w:tc>
          <w:tcPr>
            <w:tcW w:w="3685" w:type="dxa"/>
            <w:noWrap w:val="0"/>
            <w:vAlign w:val="center"/>
          </w:tcPr>
          <w:p w14:paraId="3A8C5DF8">
            <w:pPr>
              <w:adjustRightInd w:val="0"/>
              <w:snapToGrid w:val="0"/>
              <w:jc w:val="left"/>
              <w:rPr>
                <w:rFonts w:hint="eastAsia"/>
                <w:color w:val="auto"/>
              </w:rPr>
            </w:pPr>
            <w:r>
              <w:rPr>
                <w:rFonts w:hint="eastAsia" w:ascii="Times New Roman" w:hAnsi="Times New Roman" w:eastAsia="宋体" w:cs="Times New Roman"/>
                <w:color w:val="auto"/>
                <w:sz w:val="21"/>
                <w:szCs w:val="21"/>
                <w:highlight w:val="none"/>
                <w:lang w:val="en-US" w:eastAsia="zh-CN"/>
              </w:rPr>
              <w:t>混料工序粉尘经密闭管道输送物料进入密闭混料机内搅拌，粉尘经布袋除尘器处理后经15m排气筒DA002排放。</w:t>
            </w:r>
          </w:p>
        </w:tc>
        <w:tc>
          <w:tcPr>
            <w:tcW w:w="1309" w:type="dxa"/>
            <w:noWrap w:val="0"/>
            <w:vAlign w:val="center"/>
          </w:tcPr>
          <w:p w14:paraId="3B9BD6B4">
            <w:pPr>
              <w:adjustRightInd w:val="0"/>
              <w:snapToGrid w:val="0"/>
              <w:jc w:val="center"/>
              <w:rPr>
                <w:rFonts w:hint="eastAsia"/>
                <w:color w:val="auto"/>
              </w:rPr>
            </w:pPr>
            <w:r>
              <w:rPr>
                <w:rFonts w:hint="eastAsia"/>
                <w:color w:val="auto"/>
                <w:sz w:val="21"/>
                <w:szCs w:val="21"/>
                <w:lang w:val="en-US" w:eastAsia="zh-CN"/>
              </w:rPr>
              <w:t>DB34/4295-2022</w:t>
            </w:r>
          </w:p>
        </w:tc>
      </w:tr>
      <w:tr w14:paraId="26169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vMerge w:val="continue"/>
            <w:noWrap w:val="0"/>
            <w:vAlign w:val="center"/>
          </w:tcPr>
          <w:p w14:paraId="6312411A">
            <w:pPr>
              <w:adjustRightInd w:val="0"/>
              <w:snapToGrid w:val="0"/>
              <w:jc w:val="center"/>
              <w:rPr>
                <w:color w:val="auto"/>
                <w:szCs w:val="21"/>
              </w:rPr>
            </w:pPr>
          </w:p>
        </w:tc>
        <w:tc>
          <w:tcPr>
            <w:tcW w:w="1276" w:type="dxa"/>
            <w:noWrap w:val="0"/>
            <w:vAlign w:val="center"/>
          </w:tcPr>
          <w:p w14:paraId="137095CF">
            <w:pPr>
              <w:adjustRightInd w:val="0"/>
              <w:snapToGrid w:val="0"/>
              <w:jc w:val="center"/>
              <w:rPr>
                <w:color w:val="auto"/>
                <w:szCs w:val="21"/>
              </w:rPr>
            </w:pPr>
            <w:r>
              <w:rPr>
                <w:color w:val="auto"/>
                <w:szCs w:val="21"/>
              </w:rPr>
              <w:t>DA003</w:t>
            </w:r>
          </w:p>
        </w:tc>
        <w:tc>
          <w:tcPr>
            <w:tcW w:w="1276" w:type="dxa"/>
            <w:noWrap w:val="0"/>
            <w:vAlign w:val="center"/>
          </w:tcPr>
          <w:p w14:paraId="39C5E45F">
            <w:pPr>
              <w:adjustRightInd w:val="0"/>
              <w:snapToGrid w:val="0"/>
              <w:jc w:val="center"/>
              <w:rPr>
                <w:color w:val="auto"/>
                <w:szCs w:val="21"/>
              </w:rPr>
            </w:pPr>
            <w:r>
              <w:rPr>
                <w:color w:val="auto"/>
                <w:szCs w:val="21"/>
              </w:rPr>
              <w:t>颗粒物</w:t>
            </w:r>
          </w:p>
        </w:tc>
        <w:tc>
          <w:tcPr>
            <w:tcW w:w="3685" w:type="dxa"/>
            <w:noWrap w:val="0"/>
            <w:vAlign w:val="center"/>
          </w:tcPr>
          <w:p w14:paraId="5AD67E2D">
            <w:pPr>
              <w:jc w:val="left"/>
              <w:rPr>
                <w:rFonts w:hint="eastAsia"/>
                <w:color w:val="auto"/>
              </w:rPr>
            </w:pPr>
            <w:r>
              <w:rPr>
                <w:rFonts w:hint="eastAsia" w:ascii="Times New Roman" w:hAnsi="Times New Roman" w:eastAsia="宋体" w:cs="Times New Roman"/>
                <w:bCs/>
                <w:color w:val="auto"/>
                <w:kern w:val="2"/>
                <w:sz w:val="21"/>
                <w:szCs w:val="21"/>
                <w:lang w:val="en-US" w:eastAsia="zh-CN" w:bidi="ar-SA"/>
              </w:rPr>
              <w:t>投料</w:t>
            </w:r>
            <w:r>
              <w:rPr>
                <w:rFonts w:hint="default" w:ascii="Times New Roman" w:hAnsi="Times New Roman" w:eastAsia="宋体" w:cs="Times New Roman"/>
                <w:bCs/>
                <w:color w:val="auto"/>
                <w:kern w:val="2"/>
                <w:sz w:val="21"/>
                <w:szCs w:val="21"/>
                <w:lang w:val="en-US" w:eastAsia="zh-CN" w:bidi="ar-SA"/>
              </w:rPr>
              <w:t>粉尘</w:t>
            </w:r>
            <w:r>
              <w:rPr>
                <w:rFonts w:hint="eastAsia" w:ascii="Times New Roman" w:hAnsi="Times New Roman" w:eastAsia="宋体" w:cs="Times New Roman"/>
                <w:bCs/>
                <w:color w:val="auto"/>
                <w:kern w:val="2"/>
                <w:sz w:val="21"/>
                <w:szCs w:val="21"/>
                <w:lang w:val="en-US" w:eastAsia="zh-CN" w:bidi="ar-SA"/>
              </w:rPr>
              <w:t>经</w:t>
            </w:r>
            <w:r>
              <w:rPr>
                <w:rFonts w:hint="default" w:ascii="Times New Roman" w:hAnsi="Times New Roman" w:eastAsia="宋体" w:cs="Times New Roman"/>
                <w:bCs/>
                <w:color w:val="auto"/>
                <w:kern w:val="2"/>
                <w:sz w:val="21"/>
                <w:szCs w:val="21"/>
                <w:lang w:val="en-US" w:eastAsia="zh-CN" w:bidi="ar-SA"/>
              </w:rPr>
              <w:t>集气罩收集，袋式除尘器处理后，</w:t>
            </w:r>
            <w:r>
              <w:rPr>
                <w:rFonts w:hint="eastAsia" w:ascii="Times New Roman" w:hAnsi="Times New Roman" w:eastAsia="宋体" w:cs="Times New Roman"/>
                <w:bCs/>
                <w:color w:val="auto"/>
                <w:kern w:val="2"/>
                <w:sz w:val="21"/>
                <w:szCs w:val="21"/>
                <w:lang w:val="en-US" w:eastAsia="zh-CN" w:bidi="ar-SA"/>
              </w:rPr>
              <w:t>由15m高DA003排气筒</w:t>
            </w:r>
            <w:r>
              <w:rPr>
                <w:rFonts w:hint="default" w:ascii="Times New Roman" w:hAnsi="Times New Roman" w:eastAsia="宋体" w:cs="Times New Roman"/>
                <w:bCs/>
                <w:color w:val="auto"/>
                <w:kern w:val="2"/>
                <w:sz w:val="21"/>
                <w:szCs w:val="21"/>
                <w:lang w:val="en-US" w:eastAsia="zh-CN" w:bidi="ar-SA"/>
              </w:rPr>
              <w:t>排放</w:t>
            </w:r>
            <w:r>
              <w:rPr>
                <w:rFonts w:hint="eastAsia"/>
                <w:color w:val="auto"/>
                <w:sz w:val="21"/>
                <w:szCs w:val="21"/>
              </w:rPr>
              <w:t>。</w:t>
            </w:r>
          </w:p>
        </w:tc>
        <w:tc>
          <w:tcPr>
            <w:tcW w:w="1309" w:type="dxa"/>
            <w:noWrap w:val="0"/>
            <w:vAlign w:val="center"/>
          </w:tcPr>
          <w:p w14:paraId="5C057049">
            <w:pPr>
              <w:adjustRightInd w:val="0"/>
              <w:snapToGrid w:val="0"/>
              <w:jc w:val="center"/>
              <w:rPr>
                <w:color w:val="auto"/>
                <w:szCs w:val="21"/>
              </w:rPr>
            </w:pPr>
            <w:r>
              <w:rPr>
                <w:rFonts w:hint="eastAsia"/>
                <w:color w:val="auto"/>
                <w:sz w:val="21"/>
                <w:szCs w:val="21"/>
                <w:lang w:val="en-US" w:eastAsia="zh-CN"/>
              </w:rPr>
              <w:t>DB34/4295-2022</w:t>
            </w:r>
          </w:p>
        </w:tc>
      </w:tr>
      <w:tr w14:paraId="717A2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vMerge w:val="continue"/>
            <w:noWrap w:val="0"/>
            <w:vAlign w:val="center"/>
          </w:tcPr>
          <w:p w14:paraId="33986DEC">
            <w:pPr>
              <w:adjustRightInd w:val="0"/>
              <w:snapToGrid w:val="0"/>
              <w:jc w:val="center"/>
              <w:rPr>
                <w:color w:val="auto"/>
                <w:szCs w:val="21"/>
              </w:rPr>
            </w:pPr>
          </w:p>
        </w:tc>
        <w:tc>
          <w:tcPr>
            <w:tcW w:w="1276" w:type="dxa"/>
            <w:vMerge w:val="restart"/>
            <w:noWrap w:val="0"/>
            <w:vAlign w:val="center"/>
          </w:tcPr>
          <w:p w14:paraId="4FAB45DA">
            <w:pPr>
              <w:adjustRightInd w:val="0"/>
              <w:snapToGrid w:val="0"/>
              <w:jc w:val="center"/>
              <w:rPr>
                <w:color w:val="auto"/>
                <w:szCs w:val="21"/>
              </w:rPr>
            </w:pPr>
            <w:r>
              <w:rPr>
                <w:color w:val="auto"/>
                <w:szCs w:val="21"/>
              </w:rPr>
              <w:t>厂界</w:t>
            </w:r>
          </w:p>
        </w:tc>
        <w:tc>
          <w:tcPr>
            <w:tcW w:w="1276" w:type="dxa"/>
            <w:noWrap w:val="0"/>
            <w:vAlign w:val="center"/>
          </w:tcPr>
          <w:p w14:paraId="2EDA0502">
            <w:pPr>
              <w:adjustRightInd w:val="0"/>
              <w:snapToGrid w:val="0"/>
              <w:jc w:val="center"/>
              <w:rPr>
                <w:color w:val="auto"/>
                <w:szCs w:val="21"/>
              </w:rPr>
            </w:pPr>
            <w:r>
              <w:rPr>
                <w:rFonts w:hint="eastAsia"/>
                <w:color w:val="auto"/>
                <w:szCs w:val="21"/>
              </w:rPr>
              <w:t>颗粒物</w:t>
            </w:r>
          </w:p>
        </w:tc>
        <w:tc>
          <w:tcPr>
            <w:tcW w:w="3685" w:type="dxa"/>
            <w:noWrap w:val="0"/>
            <w:vAlign w:val="center"/>
          </w:tcPr>
          <w:p w14:paraId="709204FF">
            <w:pPr>
              <w:adjustRightInd w:val="0"/>
              <w:snapToGrid w:val="0"/>
              <w:jc w:val="center"/>
              <w:rPr>
                <w:color w:val="auto"/>
                <w:szCs w:val="21"/>
              </w:rPr>
            </w:pPr>
            <w:r>
              <w:rPr>
                <w:rFonts w:hint="eastAsia"/>
                <w:color w:val="auto"/>
                <w:szCs w:val="21"/>
                <w:lang w:val="en-US" w:eastAsia="zh-CN"/>
              </w:rPr>
              <w:t>粉状物料密闭存储于原料库内；粉状物料于密闭原料库内上料至上料口，密闭输送至卸料斗内进行搅拌混料</w:t>
            </w:r>
            <w:r>
              <w:rPr>
                <w:rFonts w:hint="eastAsia"/>
                <w:color w:val="auto"/>
                <w:szCs w:val="21"/>
              </w:rPr>
              <w:t>。</w:t>
            </w:r>
          </w:p>
        </w:tc>
        <w:tc>
          <w:tcPr>
            <w:tcW w:w="1309" w:type="dxa"/>
            <w:noWrap w:val="0"/>
            <w:vAlign w:val="top"/>
          </w:tcPr>
          <w:p w14:paraId="5943CA3D">
            <w:pPr>
              <w:adjustRightInd w:val="0"/>
              <w:snapToGrid w:val="0"/>
              <w:jc w:val="center"/>
              <w:rPr>
                <w:color w:val="auto"/>
                <w:szCs w:val="21"/>
              </w:rPr>
            </w:pPr>
            <w:r>
              <w:rPr>
                <w:rFonts w:hint="eastAsia"/>
                <w:color w:val="auto"/>
                <w:sz w:val="21"/>
                <w:szCs w:val="21"/>
                <w:lang w:val="en-US" w:eastAsia="zh-CN"/>
              </w:rPr>
              <w:t>DB34/4295-2022</w:t>
            </w:r>
          </w:p>
        </w:tc>
      </w:tr>
      <w:tr w14:paraId="7C741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vMerge w:val="continue"/>
            <w:noWrap w:val="0"/>
            <w:vAlign w:val="center"/>
          </w:tcPr>
          <w:p w14:paraId="0643B13C">
            <w:pPr>
              <w:adjustRightInd w:val="0"/>
              <w:snapToGrid w:val="0"/>
              <w:jc w:val="center"/>
              <w:rPr>
                <w:color w:val="auto"/>
                <w:szCs w:val="21"/>
              </w:rPr>
            </w:pPr>
          </w:p>
        </w:tc>
        <w:tc>
          <w:tcPr>
            <w:tcW w:w="1276" w:type="dxa"/>
            <w:vMerge w:val="continue"/>
            <w:noWrap w:val="0"/>
            <w:vAlign w:val="center"/>
          </w:tcPr>
          <w:p w14:paraId="04B935F5">
            <w:pPr>
              <w:adjustRightInd w:val="0"/>
              <w:snapToGrid w:val="0"/>
              <w:jc w:val="center"/>
              <w:rPr>
                <w:color w:val="auto"/>
                <w:szCs w:val="21"/>
              </w:rPr>
            </w:pPr>
          </w:p>
        </w:tc>
        <w:tc>
          <w:tcPr>
            <w:tcW w:w="1276" w:type="dxa"/>
            <w:noWrap w:val="0"/>
            <w:vAlign w:val="center"/>
          </w:tcPr>
          <w:p w14:paraId="45160A51">
            <w:pPr>
              <w:adjustRightInd w:val="0"/>
              <w:snapToGrid w:val="0"/>
              <w:jc w:val="center"/>
              <w:rPr>
                <w:rFonts w:hint="eastAsia" w:eastAsia="宋体"/>
                <w:color w:val="auto"/>
                <w:szCs w:val="21"/>
                <w:lang w:val="en-US" w:eastAsia="zh-CN"/>
              </w:rPr>
            </w:pPr>
            <w:r>
              <w:rPr>
                <w:rFonts w:hint="eastAsia"/>
                <w:color w:val="auto"/>
                <w:szCs w:val="21"/>
                <w:lang w:val="en-US" w:eastAsia="zh-CN"/>
              </w:rPr>
              <w:t>氨</w:t>
            </w:r>
          </w:p>
        </w:tc>
        <w:tc>
          <w:tcPr>
            <w:tcW w:w="3685" w:type="dxa"/>
            <w:noWrap w:val="0"/>
            <w:vAlign w:val="center"/>
          </w:tcPr>
          <w:p w14:paraId="4FE85E59">
            <w:pPr>
              <w:adjustRightInd w:val="0"/>
              <w:snapToGrid w:val="0"/>
              <w:jc w:val="center"/>
              <w:rPr>
                <w:rFonts w:hint="eastAsia"/>
                <w:color w:val="auto"/>
                <w:szCs w:val="21"/>
              </w:rPr>
            </w:pPr>
            <w:r>
              <w:rPr>
                <w:rFonts w:ascii="宋体" w:hAnsi="宋体" w:eastAsia="宋体" w:cs="宋体"/>
                <w:b w:val="0"/>
                <w:bCs w:val="0"/>
                <w:color w:val="auto"/>
                <w:sz w:val="21"/>
                <w:szCs w:val="21"/>
              </w:rPr>
              <w:t>通</w:t>
            </w:r>
            <w:r>
              <w:rPr>
                <w:rFonts w:hint="default" w:ascii="Times New Roman" w:hAnsi="Times New Roman" w:eastAsia="宋体" w:cs="Times New Roman"/>
                <w:bCs/>
                <w:color w:val="auto"/>
                <w:kern w:val="2"/>
                <w:sz w:val="21"/>
                <w:szCs w:val="21"/>
                <w:lang w:val="en-US" w:eastAsia="zh-CN" w:bidi="ar-SA"/>
              </w:rPr>
              <w:t>过在氨水储罐旁设置水吸收槽，呼吸阀废气收集后引至水吸收槽吸收，可减少氨气的无组织排放；</w:t>
            </w:r>
          </w:p>
        </w:tc>
        <w:tc>
          <w:tcPr>
            <w:tcW w:w="1309" w:type="dxa"/>
            <w:noWrap w:val="0"/>
            <w:vAlign w:val="top"/>
          </w:tcPr>
          <w:p w14:paraId="67F318F9">
            <w:pPr>
              <w:adjustRightInd w:val="0"/>
              <w:snapToGrid w:val="0"/>
              <w:jc w:val="center"/>
              <w:rPr>
                <w:rFonts w:hint="eastAsia"/>
                <w:color w:val="auto"/>
              </w:rPr>
            </w:pPr>
            <w:r>
              <w:rPr>
                <w:rFonts w:hint="eastAsia"/>
                <w:color w:val="auto"/>
                <w:sz w:val="21"/>
                <w:szCs w:val="21"/>
                <w:lang w:val="en-US" w:eastAsia="zh-CN"/>
              </w:rPr>
              <w:t>DB34/4295-2022</w:t>
            </w:r>
          </w:p>
        </w:tc>
      </w:tr>
      <w:tr w14:paraId="1C4A5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1312008F">
            <w:pPr>
              <w:adjustRightInd w:val="0"/>
              <w:snapToGrid w:val="0"/>
              <w:jc w:val="center"/>
              <w:rPr>
                <w:color w:val="auto"/>
                <w:szCs w:val="21"/>
              </w:rPr>
            </w:pPr>
            <w:r>
              <w:rPr>
                <w:color w:val="auto"/>
                <w:szCs w:val="21"/>
              </w:rPr>
              <w:t>地表水环境</w:t>
            </w:r>
          </w:p>
        </w:tc>
        <w:tc>
          <w:tcPr>
            <w:tcW w:w="1276" w:type="dxa"/>
            <w:noWrap w:val="0"/>
            <w:vAlign w:val="center"/>
          </w:tcPr>
          <w:p w14:paraId="36B775E2">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1276" w:type="dxa"/>
            <w:noWrap w:val="0"/>
            <w:vAlign w:val="center"/>
          </w:tcPr>
          <w:p w14:paraId="44E3016F">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3685" w:type="dxa"/>
            <w:noWrap w:val="0"/>
            <w:vAlign w:val="center"/>
          </w:tcPr>
          <w:p w14:paraId="1DD42EBC">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1309" w:type="dxa"/>
            <w:noWrap w:val="0"/>
            <w:vAlign w:val="center"/>
          </w:tcPr>
          <w:p w14:paraId="1D4BD489">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53F60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1C29968D">
            <w:pPr>
              <w:adjustRightInd w:val="0"/>
              <w:snapToGrid w:val="0"/>
              <w:jc w:val="center"/>
              <w:rPr>
                <w:color w:val="auto"/>
                <w:szCs w:val="21"/>
              </w:rPr>
            </w:pPr>
            <w:r>
              <w:rPr>
                <w:color w:val="auto"/>
                <w:szCs w:val="21"/>
              </w:rPr>
              <w:t>声环境</w:t>
            </w:r>
          </w:p>
        </w:tc>
        <w:tc>
          <w:tcPr>
            <w:tcW w:w="1276" w:type="dxa"/>
            <w:noWrap w:val="0"/>
            <w:vAlign w:val="center"/>
          </w:tcPr>
          <w:p w14:paraId="0F5238ED">
            <w:pPr>
              <w:adjustRightInd w:val="0"/>
              <w:snapToGrid w:val="0"/>
              <w:jc w:val="center"/>
              <w:rPr>
                <w:color w:val="auto"/>
                <w:szCs w:val="21"/>
              </w:rPr>
            </w:pPr>
            <w:r>
              <w:rPr>
                <w:color w:val="auto"/>
                <w:szCs w:val="21"/>
              </w:rPr>
              <w:t>运营期</w:t>
            </w:r>
          </w:p>
        </w:tc>
        <w:tc>
          <w:tcPr>
            <w:tcW w:w="1276" w:type="dxa"/>
            <w:noWrap w:val="0"/>
            <w:vAlign w:val="center"/>
          </w:tcPr>
          <w:p w14:paraId="1D381DDC">
            <w:pPr>
              <w:adjustRightInd w:val="0"/>
              <w:snapToGrid w:val="0"/>
              <w:jc w:val="center"/>
              <w:rPr>
                <w:color w:val="auto"/>
                <w:szCs w:val="21"/>
              </w:rPr>
            </w:pPr>
            <w:r>
              <w:rPr>
                <w:color w:val="auto"/>
                <w:szCs w:val="21"/>
              </w:rPr>
              <w:t>等效A声级</w:t>
            </w:r>
          </w:p>
        </w:tc>
        <w:tc>
          <w:tcPr>
            <w:tcW w:w="3685" w:type="dxa"/>
            <w:noWrap w:val="0"/>
            <w:vAlign w:val="center"/>
          </w:tcPr>
          <w:p w14:paraId="7A975EE5">
            <w:pPr>
              <w:adjustRightInd w:val="0"/>
              <w:snapToGrid w:val="0"/>
              <w:jc w:val="center"/>
              <w:rPr>
                <w:color w:val="auto"/>
                <w:szCs w:val="21"/>
              </w:rPr>
            </w:pPr>
            <w:r>
              <w:rPr>
                <w:color w:val="auto"/>
                <w:szCs w:val="21"/>
              </w:rPr>
              <w:t>隔声、减振</w:t>
            </w:r>
          </w:p>
        </w:tc>
        <w:tc>
          <w:tcPr>
            <w:tcW w:w="1309" w:type="dxa"/>
            <w:noWrap w:val="0"/>
            <w:vAlign w:val="center"/>
          </w:tcPr>
          <w:p w14:paraId="744CAFE6">
            <w:pPr>
              <w:adjustRightInd w:val="0"/>
              <w:snapToGrid w:val="0"/>
              <w:jc w:val="center"/>
              <w:rPr>
                <w:rFonts w:hint="eastAsia" w:eastAsia="宋体"/>
                <w:color w:val="auto"/>
                <w:szCs w:val="21"/>
                <w:lang w:eastAsia="zh-CN"/>
              </w:rPr>
            </w:pPr>
            <w:r>
              <w:rPr>
                <w:rFonts w:hint="eastAsia"/>
                <w:color w:val="auto"/>
                <w:szCs w:val="21"/>
                <w:lang w:val="en-US" w:eastAsia="zh-CN"/>
              </w:rPr>
              <w:t>(</w:t>
            </w:r>
            <w:r>
              <w:rPr>
                <w:color w:val="auto"/>
                <w:szCs w:val="21"/>
              </w:rPr>
              <w:t>GB12348-2008</w:t>
            </w:r>
            <w:r>
              <w:rPr>
                <w:rFonts w:hint="eastAsia"/>
                <w:color w:val="auto"/>
                <w:szCs w:val="21"/>
                <w:lang w:val="en-US" w:eastAsia="zh-CN"/>
              </w:rPr>
              <w:t>)</w:t>
            </w:r>
            <w:r>
              <w:rPr>
                <w:color w:val="auto"/>
                <w:szCs w:val="21"/>
              </w:rPr>
              <w:t>3类</w:t>
            </w:r>
          </w:p>
        </w:tc>
      </w:tr>
      <w:tr w14:paraId="5ADEE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7F6526ED">
            <w:pPr>
              <w:adjustRightInd w:val="0"/>
              <w:snapToGrid w:val="0"/>
              <w:jc w:val="center"/>
              <w:rPr>
                <w:color w:val="auto"/>
                <w:szCs w:val="21"/>
              </w:rPr>
            </w:pPr>
            <w:r>
              <w:rPr>
                <w:color w:val="auto"/>
                <w:szCs w:val="21"/>
              </w:rPr>
              <w:t>电磁辐射</w:t>
            </w:r>
          </w:p>
        </w:tc>
        <w:tc>
          <w:tcPr>
            <w:tcW w:w="1276" w:type="dxa"/>
            <w:noWrap w:val="0"/>
            <w:vAlign w:val="center"/>
          </w:tcPr>
          <w:p w14:paraId="413E0532">
            <w:pPr>
              <w:adjustRightInd w:val="0"/>
              <w:snapToGrid w:val="0"/>
              <w:jc w:val="center"/>
              <w:rPr>
                <w:color w:val="auto"/>
                <w:szCs w:val="21"/>
              </w:rPr>
            </w:pPr>
            <w:r>
              <w:rPr>
                <w:rFonts w:hint="eastAsia"/>
                <w:color w:val="auto"/>
                <w:szCs w:val="21"/>
              </w:rPr>
              <w:t>/</w:t>
            </w:r>
          </w:p>
        </w:tc>
        <w:tc>
          <w:tcPr>
            <w:tcW w:w="1276" w:type="dxa"/>
            <w:noWrap w:val="0"/>
            <w:vAlign w:val="center"/>
          </w:tcPr>
          <w:p w14:paraId="64D30455">
            <w:pPr>
              <w:adjustRightInd w:val="0"/>
              <w:snapToGrid w:val="0"/>
              <w:jc w:val="center"/>
              <w:rPr>
                <w:color w:val="auto"/>
                <w:szCs w:val="21"/>
              </w:rPr>
            </w:pPr>
            <w:r>
              <w:rPr>
                <w:rFonts w:hint="eastAsia"/>
                <w:color w:val="auto"/>
                <w:szCs w:val="21"/>
              </w:rPr>
              <w:t>/</w:t>
            </w:r>
          </w:p>
        </w:tc>
        <w:tc>
          <w:tcPr>
            <w:tcW w:w="3685" w:type="dxa"/>
            <w:noWrap w:val="0"/>
            <w:vAlign w:val="center"/>
          </w:tcPr>
          <w:p w14:paraId="65F7086A">
            <w:pPr>
              <w:adjustRightInd w:val="0"/>
              <w:snapToGrid w:val="0"/>
              <w:jc w:val="center"/>
              <w:rPr>
                <w:color w:val="auto"/>
                <w:szCs w:val="21"/>
              </w:rPr>
            </w:pPr>
            <w:r>
              <w:rPr>
                <w:rFonts w:hint="eastAsia"/>
                <w:color w:val="auto"/>
                <w:szCs w:val="21"/>
              </w:rPr>
              <w:t>/</w:t>
            </w:r>
          </w:p>
        </w:tc>
        <w:tc>
          <w:tcPr>
            <w:tcW w:w="1309" w:type="dxa"/>
            <w:noWrap w:val="0"/>
            <w:vAlign w:val="center"/>
          </w:tcPr>
          <w:p w14:paraId="2441EDB0">
            <w:pPr>
              <w:adjustRightInd w:val="0"/>
              <w:snapToGrid w:val="0"/>
              <w:jc w:val="center"/>
              <w:rPr>
                <w:color w:val="auto"/>
                <w:szCs w:val="21"/>
              </w:rPr>
            </w:pPr>
            <w:r>
              <w:rPr>
                <w:rFonts w:hint="eastAsia"/>
                <w:color w:val="auto"/>
                <w:szCs w:val="21"/>
              </w:rPr>
              <w:t>/</w:t>
            </w:r>
          </w:p>
        </w:tc>
      </w:tr>
      <w:tr w14:paraId="7B1D9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0E1DFB71">
            <w:pPr>
              <w:adjustRightInd w:val="0"/>
              <w:snapToGrid w:val="0"/>
              <w:jc w:val="center"/>
              <w:rPr>
                <w:color w:val="auto"/>
                <w:szCs w:val="21"/>
              </w:rPr>
            </w:pPr>
            <w:r>
              <w:rPr>
                <w:color w:val="auto"/>
                <w:szCs w:val="21"/>
              </w:rPr>
              <w:t>固体废物</w:t>
            </w:r>
          </w:p>
        </w:tc>
        <w:tc>
          <w:tcPr>
            <w:tcW w:w="7546" w:type="dxa"/>
            <w:gridSpan w:val="4"/>
            <w:noWrap w:val="0"/>
            <w:vAlign w:val="center"/>
          </w:tcPr>
          <w:p w14:paraId="1A8E5A18">
            <w:pPr>
              <w:adjustRightInd w:val="0"/>
              <w:snapToGrid w:val="0"/>
              <w:jc w:val="center"/>
              <w:rPr>
                <w:color w:val="auto"/>
                <w:szCs w:val="21"/>
              </w:rPr>
            </w:pPr>
            <w:r>
              <w:rPr>
                <w:rFonts w:hint="eastAsia"/>
                <w:bCs/>
                <w:color w:val="auto"/>
              </w:rPr>
              <w:t>利用现有一般固废仓库约</w:t>
            </w:r>
            <w:r>
              <w:rPr>
                <w:rFonts w:hint="eastAsia"/>
                <w:bCs/>
                <w:color w:val="auto"/>
                <w:lang w:val="en-US" w:eastAsia="zh-CN"/>
              </w:rPr>
              <w:t>1</w:t>
            </w:r>
            <w:r>
              <w:rPr>
                <w:rFonts w:hint="eastAsia"/>
                <w:bCs/>
                <w:color w:val="auto"/>
                <w:lang w:val="en-US" w:eastAsia="zh-CN"/>
              </w:rPr>
              <w:t>0</w:t>
            </w:r>
            <w:r>
              <w:rPr>
                <w:rFonts w:hint="eastAsia"/>
                <w:bCs/>
                <w:color w:val="auto"/>
              </w:rPr>
              <w:t>m</w:t>
            </w:r>
            <w:r>
              <w:rPr>
                <w:bCs/>
                <w:color w:val="auto"/>
                <w:vertAlign w:val="superscript"/>
              </w:rPr>
              <w:t>2</w:t>
            </w:r>
            <w:r>
              <w:rPr>
                <w:rFonts w:hint="eastAsia"/>
                <w:bCs/>
                <w:color w:val="auto"/>
              </w:rPr>
              <w:t>，危废仓库约</w:t>
            </w:r>
            <w:r>
              <w:rPr>
                <w:rFonts w:hint="eastAsia"/>
                <w:bCs/>
                <w:color w:val="auto"/>
                <w:lang w:val="en-US" w:eastAsia="zh-CN"/>
              </w:rPr>
              <w:t>6</w:t>
            </w:r>
            <w:r>
              <w:rPr>
                <w:rFonts w:hint="eastAsia"/>
                <w:bCs/>
                <w:color w:val="auto"/>
              </w:rPr>
              <w:t>m</w:t>
            </w:r>
            <w:r>
              <w:rPr>
                <w:bCs/>
                <w:color w:val="auto"/>
                <w:vertAlign w:val="superscript"/>
              </w:rPr>
              <w:t>2</w:t>
            </w:r>
            <w:r>
              <w:rPr>
                <w:rFonts w:hint="eastAsia"/>
                <w:bCs/>
                <w:color w:val="auto"/>
              </w:rPr>
              <w:t>；</w:t>
            </w:r>
            <w:r>
              <w:rPr>
                <w:color w:val="auto"/>
                <w:szCs w:val="21"/>
              </w:rPr>
              <w:t>一般固废合理处理处置；</w:t>
            </w:r>
            <w:r>
              <w:rPr>
                <w:rFonts w:hint="eastAsia"/>
                <w:color w:val="auto"/>
                <w:szCs w:val="21"/>
                <w:lang w:val="en-US" w:eastAsia="zh-CN"/>
              </w:rPr>
              <w:t>废机油及废油桶</w:t>
            </w:r>
            <w:r>
              <w:rPr>
                <w:rFonts w:hint="eastAsia"/>
                <w:color w:val="auto"/>
                <w:szCs w:val="21"/>
              </w:rPr>
              <w:t>，</w:t>
            </w:r>
            <w:r>
              <w:rPr>
                <w:rFonts w:hint="eastAsia"/>
                <w:color w:val="auto"/>
                <w:szCs w:val="21"/>
                <w:lang w:val="en-US" w:eastAsia="zh-CN"/>
              </w:rPr>
              <w:t>收集暂存于</w:t>
            </w:r>
            <w:r>
              <w:rPr>
                <w:rFonts w:hint="eastAsia"/>
                <w:color w:val="auto"/>
                <w:szCs w:val="21"/>
              </w:rPr>
              <w:t>危废暂存间，定期交</w:t>
            </w:r>
            <w:r>
              <w:rPr>
                <w:rFonts w:hint="eastAsia"/>
                <w:color w:val="auto"/>
                <w:szCs w:val="21"/>
                <w:lang w:val="en-US" w:eastAsia="zh-CN"/>
              </w:rPr>
              <w:t>资质单位处置</w:t>
            </w:r>
            <w:r>
              <w:rPr>
                <w:rFonts w:hint="eastAsia"/>
                <w:color w:val="auto"/>
                <w:szCs w:val="21"/>
              </w:rPr>
              <w:t>；</w:t>
            </w:r>
            <w:r>
              <w:rPr>
                <w:rFonts w:hint="eastAsia"/>
                <w:color w:val="auto"/>
                <w:szCs w:val="21"/>
                <w:lang w:val="en-US" w:eastAsia="zh-CN"/>
              </w:rPr>
              <w:t>废催化剂由资质单位厂家更换后直接代为处置；</w:t>
            </w:r>
            <w:r>
              <w:rPr>
                <w:color w:val="auto"/>
                <w:szCs w:val="21"/>
              </w:rPr>
              <w:t>生活垃圾交环卫部门处理</w:t>
            </w:r>
            <w:r>
              <w:rPr>
                <w:rFonts w:hint="eastAsia"/>
                <w:color w:val="auto"/>
                <w:szCs w:val="21"/>
              </w:rPr>
              <w:t>。</w:t>
            </w:r>
          </w:p>
        </w:tc>
      </w:tr>
      <w:tr w14:paraId="73033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56F4FB99">
            <w:pPr>
              <w:adjustRightInd w:val="0"/>
              <w:snapToGrid w:val="0"/>
              <w:jc w:val="center"/>
              <w:rPr>
                <w:color w:val="auto"/>
                <w:szCs w:val="21"/>
              </w:rPr>
            </w:pPr>
            <w:r>
              <w:rPr>
                <w:color w:val="auto"/>
                <w:szCs w:val="21"/>
              </w:rPr>
              <w:t>土壤及地下水污染防治措施</w:t>
            </w:r>
          </w:p>
        </w:tc>
        <w:tc>
          <w:tcPr>
            <w:tcW w:w="7546" w:type="dxa"/>
            <w:gridSpan w:val="4"/>
            <w:noWrap w:val="0"/>
            <w:vAlign w:val="center"/>
          </w:tcPr>
          <w:p w14:paraId="5972BBBE">
            <w:pPr>
              <w:adjustRightInd w:val="0"/>
              <w:snapToGrid w:val="0"/>
              <w:jc w:val="center"/>
              <w:rPr>
                <w:rFonts w:hint="eastAsia"/>
                <w:color w:val="auto"/>
                <w:szCs w:val="21"/>
              </w:rPr>
            </w:pPr>
            <w:r>
              <w:rPr>
                <w:rFonts w:hint="eastAsia" w:hAnsi="宋体"/>
                <w:bCs/>
                <w:color w:val="auto"/>
                <w:szCs w:val="21"/>
              </w:rPr>
              <w:t>危废</w:t>
            </w:r>
            <w:r>
              <w:rPr>
                <w:rFonts w:hAnsi="宋体"/>
                <w:bCs/>
                <w:color w:val="auto"/>
                <w:szCs w:val="21"/>
              </w:rPr>
              <w:t>库</w:t>
            </w:r>
            <w:r>
              <w:rPr>
                <w:rFonts w:hint="eastAsia" w:hAnsi="宋体"/>
                <w:bCs/>
                <w:color w:val="auto"/>
                <w:szCs w:val="21"/>
              </w:rPr>
              <w:t>、</w:t>
            </w:r>
            <w:r>
              <w:rPr>
                <w:rFonts w:hint="eastAsia" w:hAnsi="宋体"/>
                <w:bCs/>
                <w:color w:val="auto"/>
                <w:szCs w:val="21"/>
                <w:lang w:val="en-US" w:eastAsia="zh-CN"/>
              </w:rPr>
              <w:t>事故池、冲洗平台、液氨储罐罐区</w:t>
            </w:r>
            <w:r>
              <w:rPr>
                <w:rFonts w:hint="eastAsia" w:hAnsi="宋体"/>
                <w:bCs/>
                <w:color w:val="auto"/>
                <w:szCs w:val="21"/>
              </w:rPr>
              <w:t>等</w:t>
            </w:r>
            <w:r>
              <w:rPr>
                <w:rFonts w:hint="eastAsia"/>
                <w:bCs/>
                <w:color w:val="auto"/>
              </w:rPr>
              <w:t>采用重点防渗措施；</w:t>
            </w:r>
            <w:r>
              <w:rPr>
                <w:rFonts w:hint="eastAsia" w:hAnsi="宋体"/>
                <w:bCs/>
                <w:color w:val="auto"/>
                <w:szCs w:val="21"/>
              </w:rPr>
              <w:t>生产厂房</w:t>
            </w:r>
            <w:r>
              <w:rPr>
                <w:rFonts w:hint="eastAsia" w:hAnsi="宋体"/>
                <w:bCs/>
                <w:color w:val="auto"/>
                <w:szCs w:val="21"/>
                <w:lang w:eastAsia="zh-CN"/>
              </w:rPr>
              <w:t>、</w:t>
            </w:r>
            <w:r>
              <w:rPr>
                <w:rFonts w:hint="eastAsia" w:hAnsi="宋体"/>
                <w:bCs/>
                <w:color w:val="auto"/>
                <w:szCs w:val="21"/>
                <w:lang w:val="en-US" w:eastAsia="zh-CN"/>
              </w:rPr>
              <w:t>原料库</w:t>
            </w:r>
            <w:r>
              <w:rPr>
                <w:rFonts w:hint="eastAsia"/>
                <w:bCs/>
                <w:color w:val="auto"/>
              </w:rPr>
              <w:t>采用一般防渗处理；</w:t>
            </w:r>
            <w:r>
              <w:rPr>
                <w:rFonts w:hint="eastAsia"/>
                <w:color w:val="auto"/>
                <w:szCs w:val="21"/>
              </w:rPr>
              <w:t>危废收集后分类存放，废油类采用密闭容器存放，危废暂存间设置导流沟及收集池，暂存间采取重点防渗</w:t>
            </w:r>
            <w:r>
              <w:rPr>
                <w:rFonts w:hint="eastAsia"/>
                <w:color w:val="auto"/>
                <w:szCs w:val="21"/>
                <w:lang w:eastAsia="zh-CN"/>
              </w:rPr>
              <w:t>，</w:t>
            </w:r>
            <w:r>
              <w:rPr>
                <w:rFonts w:hint="eastAsia"/>
                <w:color w:val="auto"/>
                <w:szCs w:val="21"/>
              </w:rPr>
              <w:t>可有效防止物料和事故状态下的地面冲洗水泄漏对土壤产生影响。</w:t>
            </w:r>
          </w:p>
        </w:tc>
      </w:tr>
      <w:tr w14:paraId="52BB9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413986AE">
            <w:pPr>
              <w:adjustRightInd w:val="0"/>
              <w:snapToGrid w:val="0"/>
              <w:jc w:val="center"/>
              <w:rPr>
                <w:color w:val="auto"/>
                <w:szCs w:val="21"/>
              </w:rPr>
            </w:pPr>
            <w:r>
              <w:rPr>
                <w:color w:val="auto"/>
                <w:szCs w:val="21"/>
              </w:rPr>
              <w:t>生态保护措施</w:t>
            </w:r>
          </w:p>
        </w:tc>
        <w:tc>
          <w:tcPr>
            <w:tcW w:w="7546" w:type="dxa"/>
            <w:gridSpan w:val="4"/>
            <w:noWrap w:val="0"/>
            <w:vAlign w:val="center"/>
          </w:tcPr>
          <w:p w14:paraId="5F70F89F">
            <w:pPr>
              <w:adjustRightInd w:val="0"/>
              <w:snapToGrid w:val="0"/>
              <w:spacing w:line="360" w:lineRule="auto"/>
              <w:jc w:val="center"/>
              <w:rPr>
                <w:color w:val="auto"/>
                <w:szCs w:val="21"/>
              </w:rPr>
            </w:pPr>
            <w:r>
              <w:rPr>
                <w:color w:val="auto"/>
                <w:szCs w:val="21"/>
              </w:rPr>
              <w:t>无</w:t>
            </w:r>
          </w:p>
        </w:tc>
      </w:tr>
      <w:tr w14:paraId="5810B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284DEBD0">
            <w:pPr>
              <w:adjustRightInd w:val="0"/>
              <w:snapToGrid w:val="0"/>
              <w:jc w:val="center"/>
              <w:rPr>
                <w:color w:val="auto"/>
                <w:spacing w:val="-8"/>
                <w:szCs w:val="21"/>
              </w:rPr>
            </w:pPr>
            <w:r>
              <w:rPr>
                <w:color w:val="auto"/>
                <w:spacing w:val="-8"/>
                <w:szCs w:val="21"/>
              </w:rPr>
              <w:t>环境风险防范措施</w:t>
            </w:r>
          </w:p>
        </w:tc>
        <w:tc>
          <w:tcPr>
            <w:tcW w:w="7546" w:type="dxa"/>
            <w:gridSpan w:val="4"/>
            <w:noWrap w:val="0"/>
            <w:vAlign w:val="center"/>
          </w:tcPr>
          <w:p w14:paraId="2FC441B0">
            <w:pPr>
              <w:pStyle w:val="73"/>
              <w:ind w:left="0" w:leftChars="0" w:firstLine="0" w:firstLineChars="0"/>
              <w:jc w:val="both"/>
              <w:rPr>
                <w:rFonts w:hint="eastAsia"/>
                <w:color w:val="auto"/>
                <w:szCs w:val="21"/>
                <w:lang w:val="en-US" w:eastAsia="zh-CN"/>
              </w:rPr>
            </w:pPr>
            <w:r>
              <w:rPr>
                <w:rFonts w:hint="eastAsia" w:ascii="Times New Roman" w:hAnsi="Times New Roman" w:eastAsia="宋体" w:cs="Times New Roman"/>
                <w:bCs/>
                <w:color w:val="auto"/>
                <w:kern w:val="2"/>
                <w:sz w:val="21"/>
                <w:szCs w:val="24"/>
                <w:lang w:val="en-US" w:eastAsia="zh-CN" w:bidi="ar-SA"/>
              </w:rPr>
              <w:t>危废收集后分类存放，废油类、废含油抹布等采用密闭容器存放，危废暂存间设置导流沟及收集池，暂存间采取重点防渗，可有效防止物料和事故状态下的地面冲洗水泄漏对土壤产生影响。一旦液态物料泄露，可及时收集，泄漏收集的物料全部交由有危险废物处理资质的单位统一清运处置。制定风险应急预案，储备应急物资，厂区内设置事故池</w:t>
            </w:r>
            <w:r>
              <w:rPr>
                <w:rFonts w:hint="eastAsia" w:eastAsia="宋体" w:cs="Times New Roman"/>
                <w:bCs/>
                <w:color w:val="auto"/>
                <w:kern w:val="2"/>
                <w:sz w:val="21"/>
                <w:szCs w:val="24"/>
                <w:lang w:val="en-US" w:eastAsia="zh-CN" w:bidi="ar-SA"/>
              </w:rPr>
              <w:t>3</w:t>
            </w:r>
            <w:r>
              <w:rPr>
                <w:rFonts w:hint="eastAsia" w:ascii="Times New Roman" w:hAnsi="Times New Roman" w:eastAsia="宋体" w:cs="Times New Roman"/>
                <w:bCs/>
                <w:color w:val="auto"/>
                <w:kern w:val="2"/>
                <w:sz w:val="21"/>
                <w:szCs w:val="24"/>
                <w:lang w:val="en-US" w:eastAsia="zh-CN" w:bidi="ar-SA"/>
              </w:rPr>
              <w:t>00立方，</w:t>
            </w:r>
            <w:r>
              <w:rPr>
                <w:rFonts w:hint="eastAsia" w:eastAsia="宋体" w:cs="Times New Roman"/>
                <w:bCs/>
                <w:color w:val="auto"/>
                <w:kern w:val="2"/>
                <w:sz w:val="21"/>
                <w:szCs w:val="24"/>
                <w:lang w:val="en-US" w:eastAsia="zh-CN" w:bidi="ar-SA"/>
              </w:rPr>
              <w:t>并设置截流设施，</w:t>
            </w:r>
            <w:r>
              <w:rPr>
                <w:rFonts w:hint="eastAsia" w:ascii="Times New Roman" w:hAnsi="Times New Roman" w:eastAsia="宋体" w:cs="Times New Roman"/>
                <w:bCs/>
                <w:color w:val="auto"/>
                <w:kern w:val="2"/>
                <w:sz w:val="21"/>
                <w:szCs w:val="24"/>
                <w:lang w:val="en-US" w:eastAsia="zh-CN" w:bidi="ar-SA"/>
              </w:rPr>
              <w:t>有效收集厂区事故废水。</w:t>
            </w:r>
          </w:p>
        </w:tc>
      </w:tr>
      <w:tr w14:paraId="219A5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69" w:hRule="atLeast"/>
          <w:jc w:val="center"/>
        </w:trPr>
        <w:tc>
          <w:tcPr>
            <w:tcW w:w="1254" w:type="dxa"/>
            <w:noWrap w:val="0"/>
            <w:vAlign w:val="center"/>
          </w:tcPr>
          <w:p w14:paraId="3EEEA2D2">
            <w:pPr>
              <w:adjustRightInd w:val="0"/>
              <w:snapToGrid w:val="0"/>
              <w:jc w:val="center"/>
              <w:rPr>
                <w:color w:val="auto"/>
                <w:spacing w:val="-8"/>
                <w:szCs w:val="21"/>
              </w:rPr>
            </w:pPr>
            <w:r>
              <w:rPr>
                <w:color w:val="auto"/>
                <w:spacing w:val="-8"/>
                <w:szCs w:val="21"/>
              </w:rPr>
              <w:t>其他环境管理要求</w:t>
            </w:r>
          </w:p>
        </w:tc>
        <w:tc>
          <w:tcPr>
            <w:tcW w:w="7546" w:type="dxa"/>
            <w:gridSpan w:val="4"/>
            <w:noWrap w:val="0"/>
            <w:vAlign w:val="center"/>
          </w:tcPr>
          <w:p w14:paraId="1C9A7C06">
            <w:pPr>
              <w:adjustRightInd w:val="0"/>
              <w:snapToGrid w:val="0"/>
              <w:spacing w:line="360" w:lineRule="auto"/>
              <w:ind w:firstLine="420" w:firstLineChars="200"/>
              <w:rPr>
                <w:bCs/>
                <w:color w:val="auto"/>
                <w:szCs w:val="21"/>
              </w:rPr>
            </w:pPr>
            <w:r>
              <w:rPr>
                <w:rFonts w:hint="eastAsia"/>
                <w:bCs/>
                <w:color w:val="auto"/>
                <w:szCs w:val="21"/>
              </w:rPr>
              <w:t>（</w:t>
            </w:r>
            <w:r>
              <w:rPr>
                <w:bCs/>
                <w:color w:val="auto"/>
                <w:szCs w:val="21"/>
              </w:rPr>
              <w:t>1</w:t>
            </w:r>
            <w:r>
              <w:rPr>
                <w:rFonts w:hint="eastAsia"/>
                <w:bCs/>
                <w:color w:val="auto"/>
                <w:szCs w:val="21"/>
              </w:rPr>
              <w:t>）</w:t>
            </w:r>
            <w:r>
              <w:rPr>
                <w:rFonts w:hint="eastAsia"/>
                <w:color w:val="auto"/>
              </w:rPr>
              <w:t>根据《固定污染源排污许可分类管理名录（2019年版）》，本项目</w:t>
            </w:r>
            <w:r>
              <w:rPr>
                <w:rFonts w:hint="eastAsia"/>
                <w:color w:val="auto"/>
                <w:lang w:val="en-US" w:eastAsia="zh-CN"/>
              </w:rPr>
              <w:t>技改扩建完成后，</w:t>
            </w:r>
            <w:r>
              <w:rPr>
                <w:rFonts w:hint="eastAsia"/>
                <w:color w:val="auto"/>
              </w:rPr>
              <w:t>应在投产前完成排污</w:t>
            </w:r>
            <w:r>
              <w:rPr>
                <w:rFonts w:hint="eastAsia"/>
                <w:color w:val="auto"/>
                <w:lang w:val="en-US" w:eastAsia="zh-CN"/>
              </w:rPr>
              <w:t>许可简化管理手续</w:t>
            </w:r>
            <w:r>
              <w:rPr>
                <w:rFonts w:hint="eastAsia"/>
                <w:color w:val="auto"/>
              </w:rPr>
              <w:t>。</w:t>
            </w:r>
          </w:p>
          <w:p w14:paraId="3D3480EF">
            <w:pPr>
              <w:adjustRightInd w:val="0"/>
              <w:snapToGrid w:val="0"/>
              <w:spacing w:line="360" w:lineRule="auto"/>
              <w:ind w:firstLine="420" w:firstLineChars="200"/>
              <w:rPr>
                <w:rFonts w:hint="eastAsia"/>
                <w:bCs/>
                <w:color w:val="auto"/>
                <w:szCs w:val="21"/>
              </w:rPr>
            </w:pPr>
            <w:r>
              <w:rPr>
                <w:rFonts w:hint="eastAsia"/>
                <w:bCs/>
                <w:color w:val="auto"/>
                <w:szCs w:val="21"/>
              </w:rPr>
              <w:t>（</w:t>
            </w:r>
            <w:r>
              <w:rPr>
                <w:bCs/>
                <w:color w:val="auto"/>
                <w:szCs w:val="21"/>
              </w:rPr>
              <w:t>2</w:t>
            </w:r>
            <w:r>
              <w:rPr>
                <w:rFonts w:hint="eastAsia"/>
                <w:bCs/>
                <w:color w:val="auto"/>
                <w:szCs w:val="21"/>
              </w:rPr>
              <w:t>）项目环保竣工验收：建设单位应根据环保竣工验收相关要求，自主开展相关工作。建设项目配套建设的环境保护设施经验收合格，方可投入生产或者使用，未经验收或者验收不合格的，不得投入生产或者使用。</w:t>
            </w:r>
          </w:p>
          <w:p w14:paraId="4C413DEC">
            <w:pPr>
              <w:adjustRightInd w:val="0"/>
              <w:snapToGrid w:val="0"/>
              <w:spacing w:line="360" w:lineRule="auto"/>
              <w:ind w:firstLine="420" w:firstLineChars="200"/>
              <w:rPr>
                <w:bCs/>
                <w:color w:val="auto"/>
                <w:szCs w:val="21"/>
              </w:rPr>
            </w:pPr>
            <w:r>
              <w:rPr>
                <w:rFonts w:hint="eastAsia"/>
                <w:bCs/>
                <w:color w:val="auto"/>
                <w:szCs w:val="21"/>
              </w:rPr>
              <w:t>（3）建设单位应严格落实《关于开展排放口规范化整治工作的通知》（环发[1999]24号）、《排污口规范化整治技术要求》（环监[1996]470号）、《安徽省污染源排放口规范化整治管理办法》（环法函〔2005〕114号）等文件要求，按规定设置排放口。</w:t>
            </w:r>
          </w:p>
          <w:p w14:paraId="11BEEFE9">
            <w:pPr>
              <w:adjustRightInd w:val="0"/>
              <w:snapToGrid w:val="0"/>
              <w:spacing w:line="360" w:lineRule="auto"/>
              <w:rPr>
                <w:bCs/>
                <w:color w:val="auto"/>
                <w:szCs w:val="21"/>
              </w:rPr>
            </w:pPr>
          </w:p>
          <w:p w14:paraId="12EBF920">
            <w:pPr>
              <w:adjustRightInd w:val="0"/>
              <w:snapToGrid w:val="0"/>
              <w:spacing w:line="360" w:lineRule="auto"/>
              <w:rPr>
                <w:bCs/>
                <w:color w:val="auto"/>
                <w:szCs w:val="21"/>
              </w:rPr>
            </w:pPr>
          </w:p>
          <w:p w14:paraId="4EBEE040">
            <w:pPr>
              <w:adjustRightInd w:val="0"/>
              <w:snapToGrid w:val="0"/>
              <w:spacing w:line="360" w:lineRule="auto"/>
              <w:rPr>
                <w:bCs/>
                <w:color w:val="auto"/>
                <w:szCs w:val="21"/>
              </w:rPr>
            </w:pPr>
          </w:p>
          <w:p w14:paraId="01C47492">
            <w:pPr>
              <w:adjustRightInd w:val="0"/>
              <w:snapToGrid w:val="0"/>
              <w:spacing w:line="360" w:lineRule="auto"/>
              <w:rPr>
                <w:bCs/>
                <w:color w:val="auto"/>
                <w:szCs w:val="21"/>
              </w:rPr>
            </w:pPr>
          </w:p>
          <w:p w14:paraId="44F8FE79">
            <w:pPr>
              <w:adjustRightInd w:val="0"/>
              <w:snapToGrid w:val="0"/>
              <w:spacing w:line="360" w:lineRule="auto"/>
              <w:rPr>
                <w:bCs/>
                <w:color w:val="auto"/>
                <w:szCs w:val="21"/>
              </w:rPr>
            </w:pPr>
          </w:p>
          <w:p w14:paraId="7A1CBBBC">
            <w:pPr>
              <w:adjustRightInd w:val="0"/>
              <w:snapToGrid w:val="0"/>
              <w:spacing w:line="360" w:lineRule="auto"/>
              <w:rPr>
                <w:bCs/>
                <w:color w:val="auto"/>
                <w:szCs w:val="21"/>
              </w:rPr>
            </w:pPr>
          </w:p>
          <w:p w14:paraId="774326F0">
            <w:pPr>
              <w:adjustRightInd w:val="0"/>
              <w:snapToGrid w:val="0"/>
              <w:spacing w:line="360" w:lineRule="auto"/>
              <w:rPr>
                <w:bCs/>
                <w:color w:val="auto"/>
                <w:szCs w:val="21"/>
              </w:rPr>
            </w:pPr>
          </w:p>
          <w:p w14:paraId="68746899">
            <w:pPr>
              <w:adjustRightInd w:val="0"/>
              <w:snapToGrid w:val="0"/>
              <w:spacing w:line="360" w:lineRule="auto"/>
              <w:rPr>
                <w:bCs/>
                <w:color w:val="auto"/>
                <w:szCs w:val="21"/>
              </w:rPr>
            </w:pPr>
          </w:p>
          <w:p w14:paraId="5A0A428C">
            <w:pPr>
              <w:adjustRightInd w:val="0"/>
              <w:snapToGrid w:val="0"/>
              <w:spacing w:line="360" w:lineRule="auto"/>
              <w:rPr>
                <w:bCs/>
                <w:color w:val="auto"/>
                <w:szCs w:val="21"/>
              </w:rPr>
            </w:pPr>
          </w:p>
          <w:p w14:paraId="7A1941B2">
            <w:pPr>
              <w:adjustRightInd w:val="0"/>
              <w:snapToGrid w:val="0"/>
              <w:spacing w:line="360" w:lineRule="auto"/>
              <w:rPr>
                <w:bCs/>
                <w:color w:val="auto"/>
                <w:szCs w:val="21"/>
              </w:rPr>
            </w:pPr>
          </w:p>
          <w:p w14:paraId="6FFBF6F0">
            <w:pPr>
              <w:adjustRightInd w:val="0"/>
              <w:snapToGrid w:val="0"/>
              <w:spacing w:line="360" w:lineRule="auto"/>
              <w:rPr>
                <w:bCs/>
                <w:color w:val="auto"/>
                <w:szCs w:val="21"/>
              </w:rPr>
            </w:pPr>
          </w:p>
          <w:p w14:paraId="5E31080E">
            <w:pPr>
              <w:adjustRightInd w:val="0"/>
              <w:snapToGrid w:val="0"/>
              <w:spacing w:line="360" w:lineRule="auto"/>
              <w:rPr>
                <w:bCs/>
                <w:color w:val="auto"/>
                <w:szCs w:val="21"/>
              </w:rPr>
            </w:pPr>
          </w:p>
          <w:p w14:paraId="4B4A0205">
            <w:pPr>
              <w:adjustRightInd w:val="0"/>
              <w:snapToGrid w:val="0"/>
              <w:spacing w:line="360" w:lineRule="auto"/>
              <w:rPr>
                <w:rFonts w:hint="eastAsia"/>
                <w:bCs/>
                <w:color w:val="auto"/>
                <w:szCs w:val="21"/>
              </w:rPr>
            </w:pPr>
          </w:p>
          <w:p w14:paraId="40570371">
            <w:pPr>
              <w:adjustRightInd w:val="0"/>
              <w:snapToGrid w:val="0"/>
              <w:spacing w:line="360" w:lineRule="auto"/>
              <w:rPr>
                <w:bCs/>
                <w:color w:val="auto"/>
                <w:szCs w:val="21"/>
              </w:rPr>
            </w:pPr>
          </w:p>
          <w:p w14:paraId="40C2F614">
            <w:pPr>
              <w:adjustRightInd w:val="0"/>
              <w:snapToGrid w:val="0"/>
              <w:spacing w:line="360" w:lineRule="auto"/>
              <w:rPr>
                <w:bCs/>
                <w:color w:val="auto"/>
                <w:szCs w:val="21"/>
              </w:rPr>
            </w:pPr>
          </w:p>
          <w:p w14:paraId="6C463457">
            <w:pPr>
              <w:adjustRightInd w:val="0"/>
              <w:snapToGrid w:val="0"/>
              <w:spacing w:line="360" w:lineRule="auto"/>
              <w:rPr>
                <w:bCs/>
                <w:color w:val="auto"/>
                <w:szCs w:val="21"/>
              </w:rPr>
            </w:pPr>
          </w:p>
          <w:p w14:paraId="0AFFDE02">
            <w:pPr>
              <w:adjustRightInd w:val="0"/>
              <w:snapToGrid w:val="0"/>
              <w:spacing w:line="360" w:lineRule="auto"/>
              <w:rPr>
                <w:bCs/>
                <w:color w:val="auto"/>
                <w:szCs w:val="21"/>
              </w:rPr>
            </w:pPr>
          </w:p>
          <w:p w14:paraId="023CB1AD">
            <w:pPr>
              <w:adjustRightInd w:val="0"/>
              <w:snapToGrid w:val="0"/>
              <w:spacing w:line="360" w:lineRule="auto"/>
              <w:rPr>
                <w:bCs/>
                <w:color w:val="auto"/>
                <w:szCs w:val="21"/>
              </w:rPr>
            </w:pPr>
          </w:p>
          <w:p w14:paraId="175DC69A">
            <w:pPr>
              <w:adjustRightInd w:val="0"/>
              <w:snapToGrid w:val="0"/>
              <w:spacing w:line="360" w:lineRule="auto"/>
              <w:rPr>
                <w:bCs/>
                <w:color w:val="auto"/>
                <w:szCs w:val="21"/>
              </w:rPr>
            </w:pPr>
          </w:p>
          <w:p w14:paraId="35C43306">
            <w:pPr>
              <w:adjustRightInd w:val="0"/>
              <w:snapToGrid w:val="0"/>
              <w:spacing w:line="360" w:lineRule="auto"/>
              <w:rPr>
                <w:bCs/>
                <w:color w:val="auto"/>
                <w:szCs w:val="21"/>
              </w:rPr>
            </w:pPr>
          </w:p>
          <w:p w14:paraId="6CB6FEF2">
            <w:pPr>
              <w:adjustRightInd w:val="0"/>
              <w:snapToGrid w:val="0"/>
              <w:spacing w:line="360" w:lineRule="auto"/>
              <w:rPr>
                <w:bCs/>
                <w:color w:val="auto"/>
                <w:szCs w:val="21"/>
              </w:rPr>
            </w:pPr>
          </w:p>
          <w:p w14:paraId="3F4D91E2">
            <w:pPr>
              <w:adjustRightInd w:val="0"/>
              <w:snapToGrid w:val="0"/>
              <w:spacing w:line="360" w:lineRule="auto"/>
              <w:rPr>
                <w:bCs/>
                <w:color w:val="auto"/>
                <w:szCs w:val="21"/>
              </w:rPr>
            </w:pPr>
          </w:p>
          <w:p w14:paraId="7BFE9AA9">
            <w:pPr>
              <w:adjustRightInd w:val="0"/>
              <w:snapToGrid w:val="0"/>
              <w:spacing w:line="360" w:lineRule="auto"/>
              <w:rPr>
                <w:bCs/>
                <w:color w:val="auto"/>
                <w:szCs w:val="21"/>
              </w:rPr>
            </w:pPr>
          </w:p>
          <w:p w14:paraId="5C624E78">
            <w:pPr>
              <w:adjustRightInd w:val="0"/>
              <w:snapToGrid w:val="0"/>
              <w:spacing w:line="360" w:lineRule="auto"/>
              <w:rPr>
                <w:bCs/>
                <w:color w:val="auto"/>
                <w:szCs w:val="21"/>
              </w:rPr>
            </w:pPr>
          </w:p>
          <w:p w14:paraId="686BFCD9">
            <w:pPr>
              <w:adjustRightInd w:val="0"/>
              <w:snapToGrid w:val="0"/>
              <w:spacing w:line="360" w:lineRule="auto"/>
              <w:rPr>
                <w:bCs/>
                <w:color w:val="auto"/>
                <w:szCs w:val="21"/>
              </w:rPr>
            </w:pPr>
          </w:p>
          <w:p w14:paraId="5FBCCE09">
            <w:pPr>
              <w:adjustRightInd w:val="0"/>
              <w:snapToGrid w:val="0"/>
              <w:spacing w:line="360" w:lineRule="auto"/>
              <w:rPr>
                <w:rFonts w:hint="eastAsia"/>
                <w:bCs/>
                <w:color w:val="auto"/>
                <w:szCs w:val="21"/>
              </w:rPr>
            </w:pPr>
          </w:p>
          <w:p w14:paraId="24171484">
            <w:pPr>
              <w:adjustRightInd w:val="0"/>
              <w:snapToGrid w:val="0"/>
              <w:spacing w:line="360" w:lineRule="auto"/>
              <w:rPr>
                <w:rFonts w:hint="eastAsia"/>
                <w:bCs/>
                <w:color w:val="auto"/>
                <w:szCs w:val="21"/>
              </w:rPr>
            </w:pPr>
          </w:p>
        </w:tc>
      </w:tr>
    </w:tbl>
    <w:p w14:paraId="6A97760C">
      <w:pPr>
        <w:pStyle w:val="30"/>
        <w:ind w:firstLine="480"/>
        <w:jc w:val="center"/>
        <w:outlineLvl w:val="0"/>
        <w:rPr>
          <w:rFonts w:ascii="黑体" w:hAnsi="黑体" w:eastAsia="黑体"/>
          <w:snapToGrid w:val="0"/>
          <w:color w:val="auto"/>
          <w:sz w:val="30"/>
          <w:szCs w:val="30"/>
        </w:rPr>
      </w:pPr>
      <w:r>
        <w:rPr>
          <w:snapToGrid w:val="0"/>
          <w:color w:val="auto"/>
        </w:rPr>
        <w:br w:type="page"/>
      </w:r>
      <w:bookmarkStart w:id="23" w:name="_Toc68109907"/>
      <w:r>
        <w:rPr>
          <w:rFonts w:hint="eastAsia" w:ascii="黑体" w:hAnsi="黑体" w:eastAsia="黑体"/>
          <w:snapToGrid w:val="0"/>
          <w:color w:val="auto"/>
          <w:sz w:val="30"/>
          <w:szCs w:val="30"/>
        </w:rPr>
        <w:t>六、结论</w:t>
      </w:r>
      <w:bookmarkEnd w:id="2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F753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trHeight w:val="11991" w:hRule="atLeast"/>
          <w:jc w:val="center"/>
        </w:trPr>
        <w:tc>
          <w:tcPr>
            <w:tcW w:w="8865" w:type="dxa"/>
            <w:noWrap w:val="0"/>
            <w:vAlign w:val="top"/>
          </w:tcPr>
          <w:p w14:paraId="7A3EA3CA">
            <w:pPr>
              <w:spacing w:line="360" w:lineRule="auto"/>
              <w:ind w:firstLine="480"/>
              <w:rPr>
                <w:rFonts w:hint="eastAsia" w:ascii="宋体" w:cs="宋体"/>
                <w:color w:val="auto"/>
                <w:sz w:val="24"/>
                <w:lang w:val="en-US" w:eastAsia="zh-CN"/>
              </w:rPr>
            </w:pPr>
            <w:r>
              <w:rPr>
                <w:rFonts w:hint="eastAsia"/>
                <w:color w:val="auto"/>
                <w:szCs w:val="21"/>
              </w:rPr>
              <w:t>安徽廖氏玻璃科技有限公司</w:t>
            </w:r>
            <w:r>
              <w:rPr>
                <w:rFonts w:hint="eastAsia"/>
                <w:color w:val="auto"/>
                <w:szCs w:val="21"/>
                <w:lang w:val="en-US" w:eastAsia="zh-CN"/>
              </w:rPr>
              <w:t>炉窑技改项目</w:t>
            </w:r>
            <w:r>
              <w:rPr>
                <w:color w:val="auto"/>
                <w:szCs w:val="21"/>
              </w:rPr>
              <w:t>符合国家和当地产业政策，项目选址合理、可行。项目运营对周边环境会带来一定的环境影响，但通过落实本评价提出的各项环保措施后，其环境影响能得到有效控制，不会对区域环境质量带来明显影响。因此，在严格执行“三同时”制度、保证各项环保设施和措施正常运行的条件下，从环境影响角度考虑，该项目建设是可行的。</w:t>
            </w:r>
          </w:p>
        </w:tc>
      </w:tr>
    </w:tbl>
    <w:p w14:paraId="14344B79">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6BBF101">
      <w:pPr>
        <w:pStyle w:val="30"/>
        <w:adjustRightInd w:val="0"/>
        <w:snapToGrid w:val="0"/>
        <w:spacing w:before="0" w:beforeAutospacing="0" w:after="0" w:afterAutospacing="0"/>
        <w:outlineLvl w:val="0"/>
        <w:rPr>
          <w:rFonts w:ascii="黑体" w:hAnsi="黑体" w:eastAsia="黑体"/>
          <w:snapToGrid w:val="0"/>
          <w:color w:val="auto"/>
          <w:sz w:val="32"/>
          <w:szCs w:val="32"/>
        </w:rPr>
      </w:pPr>
      <w:bookmarkStart w:id="24" w:name="_Toc68109908"/>
      <w:r>
        <w:rPr>
          <w:rFonts w:hint="eastAsia" w:ascii="黑体" w:hAnsi="黑体" w:eastAsia="黑体"/>
          <w:snapToGrid w:val="0"/>
          <w:color w:val="auto"/>
          <w:sz w:val="32"/>
          <w:szCs w:val="32"/>
        </w:rPr>
        <w:t>附表</w:t>
      </w:r>
      <w:bookmarkEnd w:id="24"/>
    </w:p>
    <w:p w14:paraId="260CA029">
      <w:pPr>
        <w:pStyle w:val="30"/>
        <w:adjustRightInd w:val="0"/>
        <w:snapToGrid w:val="0"/>
        <w:spacing w:before="240" w:beforeLines="100" w:beforeAutospacing="0" w:after="240" w:afterLines="100" w:afterAutospacing="0"/>
        <w:jc w:val="center"/>
        <w:outlineLvl w:val="0"/>
        <w:rPr>
          <w:rFonts w:hint="eastAsia" w:ascii="方正小标宋_GBK" w:hAnsi="黑体" w:eastAsia="方正小标宋_GBK"/>
          <w:snapToGrid w:val="0"/>
          <w:color w:val="auto"/>
          <w:sz w:val="32"/>
          <w:szCs w:val="32"/>
        </w:rPr>
      </w:pPr>
      <w:bookmarkStart w:id="25" w:name="_Toc68109909"/>
      <w:r>
        <w:rPr>
          <w:rFonts w:hint="eastAsia" w:ascii="方正小标宋_GBK" w:hAnsi="黑体" w:eastAsia="方正小标宋_GBK"/>
          <w:snapToGrid w:val="0"/>
          <w:color w:val="auto"/>
          <w:sz w:val="32"/>
          <w:szCs w:val="32"/>
        </w:rPr>
        <w:t>建设项目污染物排放量汇总表</w:t>
      </w:r>
      <w:bookmarkEnd w:id="25"/>
    </w:p>
    <w:tbl>
      <w:tblPr>
        <w:tblStyle w:val="35"/>
        <w:tblW w:w="14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1383"/>
      </w:tblGrid>
      <w:tr w14:paraId="6C538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op w:val="single" w:color="auto" w:sz="4" w:space="0"/>
              <w:left w:val="single" w:color="auto" w:sz="4" w:space="0"/>
              <w:bottom w:val="single" w:color="auto" w:sz="4" w:space="0"/>
              <w:tl2br w:val="single" w:color="auto" w:sz="4" w:space="0"/>
            </w:tcBorders>
            <w:noWrap w:val="0"/>
            <w:tcMar>
              <w:left w:w="28" w:type="dxa"/>
              <w:right w:w="28" w:type="dxa"/>
            </w:tcMar>
            <w:vAlign w:val="center"/>
          </w:tcPr>
          <w:p w14:paraId="186EA6C5">
            <w:pPr>
              <w:pStyle w:val="73"/>
              <w:spacing w:line="240" w:lineRule="auto"/>
              <w:jc w:val="right"/>
              <w:rPr>
                <w:snapToGrid w:val="0"/>
                <w:color w:val="auto"/>
                <w:sz w:val="21"/>
                <w:szCs w:val="21"/>
                <w:lang w:val="en-US" w:eastAsia="zh-CN"/>
              </w:rPr>
            </w:pPr>
            <w:r>
              <w:rPr>
                <w:snapToGrid w:val="0"/>
                <w:color w:val="auto"/>
                <w:sz w:val="21"/>
                <w:szCs w:val="21"/>
                <w:lang w:val="en-US" w:eastAsia="zh-CN"/>
              </w:rPr>
              <w:t>项目</w:t>
            </w:r>
          </w:p>
          <w:p w14:paraId="0020C372">
            <w:pPr>
              <w:pStyle w:val="73"/>
              <w:spacing w:line="240" w:lineRule="auto"/>
              <w:jc w:val="left"/>
              <w:rPr>
                <w:snapToGrid w:val="0"/>
                <w:color w:val="auto"/>
                <w:sz w:val="21"/>
                <w:szCs w:val="21"/>
                <w:lang w:val="en-US" w:eastAsia="zh-CN"/>
              </w:rPr>
            </w:pPr>
            <w:r>
              <w:rPr>
                <w:snapToGrid w:val="0"/>
                <w:color w:val="auto"/>
                <w:sz w:val="21"/>
                <w:szCs w:val="21"/>
                <w:lang w:val="en-US" w:eastAsia="zh-CN"/>
              </w:rPr>
              <w:t>分类</w:t>
            </w:r>
          </w:p>
        </w:tc>
        <w:tc>
          <w:tcPr>
            <w:tcW w:w="1417" w:type="dxa"/>
            <w:tcBorders>
              <w:top w:val="single" w:color="auto" w:sz="4" w:space="0"/>
              <w:bottom w:val="single" w:color="auto" w:sz="4" w:space="0"/>
            </w:tcBorders>
            <w:noWrap w:val="0"/>
            <w:tcMar>
              <w:left w:w="28" w:type="dxa"/>
              <w:right w:w="28" w:type="dxa"/>
            </w:tcMar>
            <w:vAlign w:val="center"/>
          </w:tcPr>
          <w:p w14:paraId="1C77E199">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污染物名称</w:t>
            </w:r>
          </w:p>
        </w:tc>
        <w:tc>
          <w:tcPr>
            <w:tcW w:w="1701" w:type="dxa"/>
            <w:tcBorders>
              <w:top w:val="single" w:color="auto" w:sz="4" w:space="0"/>
              <w:bottom w:val="single" w:color="auto" w:sz="4" w:space="0"/>
            </w:tcBorders>
            <w:noWrap w:val="0"/>
            <w:tcMar>
              <w:left w:w="28" w:type="dxa"/>
              <w:right w:w="28" w:type="dxa"/>
            </w:tcMar>
            <w:vAlign w:val="center"/>
          </w:tcPr>
          <w:p w14:paraId="395AA092">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现有工程</w:t>
            </w:r>
          </w:p>
          <w:p w14:paraId="71695A94">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排放量（固体废物产生量）</w:t>
            </w:r>
            <w:r>
              <w:rPr>
                <w:snapToGrid w:val="0"/>
                <w:color w:val="auto"/>
                <w:sz w:val="21"/>
                <w:szCs w:val="21"/>
                <w:lang w:val="en-US" w:eastAsia="zh-CN"/>
              </w:rPr>
              <w:fldChar w:fldCharType="begin"/>
            </w:r>
            <w:r>
              <w:rPr>
                <w:snapToGrid w:val="0"/>
                <w:color w:val="auto"/>
                <w:sz w:val="21"/>
                <w:szCs w:val="21"/>
                <w:lang w:val="en-US" w:eastAsia="zh-CN"/>
              </w:rPr>
              <w:instrText xml:space="preserve"> = 1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①</w:t>
            </w:r>
            <w:r>
              <w:rPr>
                <w:snapToGrid w:val="0"/>
                <w:color w:val="auto"/>
                <w:sz w:val="21"/>
                <w:szCs w:val="21"/>
                <w:lang w:val="en-US" w:eastAsia="zh-CN"/>
              </w:rPr>
              <w:fldChar w:fldCharType="end"/>
            </w:r>
          </w:p>
        </w:tc>
        <w:tc>
          <w:tcPr>
            <w:tcW w:w="1276" w:type="dxa"/>
            <w:tcBorders>
              <w:top w:val="single" w:color="auto" w:sz="4" w:space="0"/>
              <w:bottom w:val="single" w:color="auto" w:sz="4" w:space="0"/>
            </w:tcBorders>
            <w:noWrap w:val="0"/>
            <w:tcMar>
              <w:left w:w="28" w:type="dxa"/>
              <w:right w:w="28" w:type="dxa"/>
            </w:tcMar>
            <w:vAlign w:val="center"/>
          </w:tcPr>
          <w:p w14:paraId="3389C9FA">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现有工程</w:t>
            </w:r>
          </w:p>
          <w:p w14:paraId="251ED504">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许可排放量</w:t>
            </w:r>
          </w:p>
          <w:p w14:paraId="1CB97F47">
            <w:pPr>
              <w:pStyle w:val="73"/>
              <w:spacing w:line="240" w:lineRule="auto"/>
              <w:rPr>
                <w:snapToGrid w:val="0"/>
                <w:color w:val="auto"/>
                <w:sz w:val="21"/>
                <w:szCs w:val="21"/>
                <w:lang w:val="en-US" w:eastAsia="zh-CN"/>
              </w:rPr>
            </w:pPr>
            <w:r>
              <w:rPr>
                <w:snapToGrid w:val="0"/>
                <w:color w:val="auto"/>
                <w:sz w:val="21"/>
                <w:szCs w:val="21"/>
                <w:lang w:val="en-US" w:eastAsia="zh-CN"/>
              </w:rPr>
              <w:fldChar w:fldCharType="begin"/>
            </w:r>
            <w:r>
              <w:rPr>
                <w:snapToGrid w:val="0"/>
                <w:color w:val="auto"/>
                <w:sz w:val="21"/>
                <w:szCs w:val="21"/>
                <w:lang w:val="en-US" w:eastAsia="zh-CN"/>
              </w:rPr>
              <w:instrText xml:space="preserve"> = 2 \* GB3 \* MERGEFORMAT </w:instrText>
            </w:r>
            <w:r>
              <w:rPr>
                <w:snapToGrid w:val="0"/>
                <w:color w:val="auto"/>
                <w:sz w:val="21"/>
                <w:szCs w:val="21"/>
                <w:lang w:val="en-US" w:eastAsia="zh-CN"/>
              </w:rPr>
              <w:fldChar w:fldCharType="separate"/>
            </w:r>
            <w:r>
              <w:rPr>
                <w:rFonts w:hint="eastAsia" w:ascii="宋体" w:hAnsi="宋体" w:cs="宋体"/>
                <w:snapToGrid w:val="0"/>
                <w:color w:val="auto"/>
                <w:sz w:val="21"/>
                <w:szCs w:val="21"/>
                <w:lang w:val="en-US" w:eastAsia="zh-CN"/>
              </w:rPr>
              <w:t>②</w:t>
            </w:r>
            <w:r>
              <w:rPr>
                <w:snapToGrid w:val="0"/>
                <w:color w:val="auto"/>
                <w:sz w:val="21"/>
                <w:szCs w:val="21"/>
                <w:lang w:val="en-US" w:eastAsia="zh-CN"/>
              </w:rPr>
              <w:fldChar w:fldCharType="end"/>
            </w:r>
          </w:p>
        </w:tc>
        <w:tc>
          <w:tcPr>
            <w:tcW w:w="1701" w:type="dxa"/>
            <w:tcBorders>
              <w:top w:val="single" w:color="auto" w:sz="4" w:space="0"/>
              <w:bottom w:val="single" w:color="auto" w:sz="4" w:space="0"/>
            </w:tcBorders>
            <w:noWrap w:val="0"/>
            <w:tcMar>
              <w:left w:w="28" w:type="dxa"/>
              <w:right w:w="28" w:type="dxa"/>
            </w:tcMar>
            <w:vAlign w:val="center"/>
          </w:tcPr>
          <w:p w14:paraId="656EF113">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在建工程</w:t>
            </w:r>
          </w:p>
          <w:p w14:paraId="7D5CB6F3">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排放量（固体废物产生量）</w:t>
            </w:r>
            <w:r>
              <w:rPr>
                <w:snapToGrid w:val="0"/>
                <w:color w:val="auto"/>
                <w:sz w:val="21"/>
                <w:szCs w:val="21"/>
                <w:lang w:val="en-US" w:eastAsia="zh-CN"/>
              </w:rPr>
              <w:fldChar w:fldCharType="begin"/>
            </w:r>
            <w:r>
              <w:rPr>
                <w:snapToGrid w:val="0"/>
                <w:color w:val="auto"/>
                <w:sz w:val="21"/>
                <w:szCs w:val="21"/>
                <w:lang w:val="en-US" w:eastAsia="zh-CN"/>
              </w:rPr>
              <w:instrText xml:space="preserve"> = 3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③</w:t>
            </w:r>
            <w:r>
              <w:rPr>
                <w:snapToGrid w:val="0"/>
                <w:color w:val="auto"/>
                <w:sz w:val="21"/>
                <w:szCs w:val="21"/>
                <w:lang w:val="en-US" w:eastAsia="zh-CN"/>
              </w:rPr>
              <w:fldChar w:fldCharType="end"/>
            </w:r>
          </w:p>
        </w:tc>
        <w:tc>
          <w:tcPr>
            <w:tcW w:w="1559" w:type="dxa"/>
            <w:tcBorders>
              <w:top w:val="single" w:color="auto" w:sz="4" w:space="0"/>
              <w:bottom w:val="single" w:color="auto" w:sz="4" w:space="0"/>
            </w:tcBorders>
            <w:noWrap w:val="0"/>
            <w:tcMar>
              <w:left w:w="28" w:type="dxa"/>
              <w:right w:w="28" w:type="dxa"/>
            </w:tcMar>
            <w:vAlign w:val="center"/>
          </w:tcPr>
          <w:p w14:paraId="120F5249">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本项目排放量（固体废物产生量）</w:t>
            </w:r>
            <w:r>
              <w:rPr>
                <w:snapToGrid w:val="0"/>
                <w:color w:val="auto"/>
                <w:sz w:val="21"/>
                <w:szCs w:val="21"/>
                <w:lang w:val="en-US" w:eastAsia="zh-CN"/>
              </w:rPr>
              <w:fldChar w:fldCharType="begin"/>
            </w:r>
            <w:r>
              <w:rPr>
                <w:snapToGrid w:val="0"/>
                <w:color w:val="auto"/>
                <w:sz w:val="21"/>
                <w:szCs w:val="21"/>
                <w:lang w:val="en-US" w:eastAsia="zh-CN"/>
              </w:rPr>
              <w:instrText xml:space="preserve"> = 4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④</w:t>
            </w:r>
            <w:r>
              <w:rPr>
                <w:snapToGrid w:val="0"/>
                <w:color w:val="auto"/>
                <w:sz w:val="21"/>
                <w:szCs w:val="21"/>
                <w:lang w:val="en-US" w:eastAsia="zh-CN"/>
              </w:rPr>
              <w:fldChar w:fldCharType="end"/>
            </w:r>
          </w:p>
        </w:tc>
        <w:tc>
          <w:tcPr>
            <w:tcW w:w="1761" w:type="dxa"/>
            <w:tcBorders>
              <w:top w:val="single" w:color="auto" w:sz="4" w:space="0"/>
              <w:bottom w:val="single" w:color="auto" w:sz="4" w:space="0"/>
            </w:tcBorders>
            <w:noWrap w:val="0"/>
            <w:tcMar>
              <w:left w:w="28" w:type="dxa"/>
              <w:right w:w="28" w:type="dxa"/>
            </w:tcMar>
            <w:vAlign w:val="center"/>
          </w:tcPr>
          <w:p w14:paraId="57EB5A54">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以新带老削减量</w:t>
            </w:r>
          </w:p>
          <w:p w14:paraId="0231FD86">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（新建项目不填）</w:t>
            </w:r>
            <w:r>
              <w:rPr>
                <w:snapToGrid w:val="0"/>
                <w:color w:val="auto"/>
                <w:sz w:val="21"/>
                <w:szCs w:val="21"/>
                <w:lang w:val="en-US" w:eastAsia="zh-CN"/>
              </w:rPr>
              <w:fldChar w:fldCharType="begin"/>
            </w:r>
            <w:r>
              <w:rPr>
                <w:snapToGrid w:val="0"/>
                <w:color w:val="auto"/>
                <w:sz w:val="21"/>
                <w:szCs w:val="21"/>
                <w:lang w:val="en-US" w:eastAsia="zh-CN"/>
              </w:rPr>
              <w:instrText xml:space="preserve"> = 5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⑤</w:t>
            </w:r>
            <w:r>
              <w:rPr>
                <w:snapToGrid w:val="0"/>
                <w:color w:val="auto"/>
                <w:sz w:val="21"/>
                <w:szCs w:val="21"/>
                <w:lang w:val="en-US" w:eastAsia="zh-CN"/>
              </w:rPr>
              <w:fldChar w:fldCharType="end"/>
            </w:r>
          </w:p>
        </w:tc>
        <w:tc>
          <w:tcPr>
            <w:tcW w:w="1959" w:type="dxa"/>
            <w:tcBorders>
              <w:top w:val="single" w:color="auto" w:sz="4" w:space="0"/>
              <w:bottom w:val="single" w:color="auto" w:sz="4" w:space="0"/>
            </w:tcBorders>
            <w:noWrap w:val="0"/>
            <w:tcMar>
              <w:left w:w="28" w:type="dxa"/>
              <w:right w:w="28" w:type="dxa"/>
            </w:tcMar>
            <w:vAlign w:val="center"/>
          </w:tcPr>
          <w:p w14:paraId="43A6647F">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本项目建成后</w:t>
            </w:r>
          </w:p>
          <w:p w14:paraId="6125F9E0">
            <w:pPr>
              <w:pStyle w:val="73"/>
              <w:spacing w:line="240" w:lineRule="auto"/>
              <w:ind w:left="0" w:leftChars="0" w:firstLine="0" w:firstLineChars="0"/>
              <w:jc w:val="both"/>
              <w:rPr>
                <w:snapToGrid w:val="0"/>
                <w:color w:val="auto"/>
                <w:sz w:val="21"/>
                <w:szCs w:val="21"/>
                <w:lang w:val="en-US" w:eastAsia="zh-CN"/>
              </w:rPr>
            </w:pPr>
            <w:r>
              <w:rPr>
                <w:snapToGrid w:val="0"/>
                <w:color w:val="auto"/>
                <w:sz w:val="21"/>
                <w:szCs w:val="21"/>
                <w:lang w:val="en-US" w:eastAsia="zh-CN"/>
              </w:rPr>
              <w:t>全厂排放量（固体废物产生量）</w:t>
            </w:r>
            <w:r>
              <w:rPr>
                <w:snapToGrid w:val="0"/>
                <w:color w:val="auto"/>
                <w:sz w:val="21"/>
                <w:szCs w:val="21"/>
                <w:lang w:val="en-US" w:eastAsia="zh-CN"/>
              </w:rPr>
              <w:fldChar w:fldCharType="begin"/>
            </w:r>
            <w:r>
              <w:rPr>
                <w:snapToGrid w:val="0"/>
                <w:color w:val="auto"/>
                <w:sz w:val="21"/>
                <w:szCs w:val="21"/>
                <w:lang w:val="en-US" w:eastAsia="zh-CN"/>
              </w:rPr>
              <w:instrText xml:space="preserve"> = 6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⑥</w:t>
            </w:r>
            <w:r>
              <w:rPr>
                <w:snapToGrid w:val="0"/>
                <w:color w:val="auto"/>
                <w:sz w:val="21"/>
                <w:szCs w:val="21"/>
                <w:lang w:val="en-US" w:eastAsia="zh-CN"/>
              </w:rPr>
              <w:fldChar w:fldCharType="end"/>
            </w:r>
          </w:p>
        </w:tc>
        <w:tc>
          <w:tcPr>
            <w:tcW w:w="1383" w:type="dxa"/>
            <w:tcBorders>
              <w:top w:val="single" w:color="auto" w:sz="4" w:space="0"/>
              <w:bottom w:val="single" w:color="auto" w:sz="4" w:space="0"/>
              <w:right w:val="single" w:color="auto" w:sz="4" w:space="0"/>
            </w:tcBorders>
            <w:noWrap w:val="0"/>
            <w:tcMar>
              <w:left w:w="28" w:type="dxa"/>
              <w:right w:w="28" w:type="dxa"/>
            </w:tcMar>
            <w:vAlign w:val="center"/>
          </w:tcPr>
          <w:p w14:paraId="0BBE901C">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变化量</w:t>
            </w:r>
          </w:p>
          <w:p w14:paraId="70710C86">
            <w:pPr>
              <w:pStyle w:val="73"/>
              <w:spacing w:line="240" w:lineRule="auto"/>
              <w:rPr>
                <w:snapToGrid w:val="0"/>
                <w:color w:val="auto"/>
                <w:sz w:val="21"/>
                <w:szCs w:val="21"/>
                <w:lang w:val="en-US" w:eastAsia="zh-CN"/>
              </w:rPr>
            </w:pPr>
            <w:r>
              <w:rPr>
                <w:snapToGrid w:val="0"/>
                <w:color w:val="auto"/>
                <w:sz w:val="21"/>
                <w:szCs w:val="21"/>
                <w:lang w:val="en-US" w:eastAsia="zh-CN"/>
              </w:rPr>
              <w:fldChar w:fldCharType="begin"/>
            </w:r>
            <w:r>
              <w:rPr>
                <w:snapToGrid w:val="0"/>
                <w:color w:val="auto"/>
                <w:sz w:val="21"/>
                <w:szCs w:val="21"/>
                <w:lang w:val="en-US" w:eastAsia="zh-CN"/>
              </w:rPr>
              <w:instrText xml:space="preserve"> = 7 \* GB3 \* MERGEFORMAT </w:instrText>
            </w:r>
            <w:r>
              <w:rPr>
                <w:snapToGrid w:val="0"/>
                <w:color w:val="auto"/>
                <w:sz w:val="21"/>
                <w:szCs w:val="21"/>
                <w:lang w:val="en-US" w:eastAsia="zh-CN"/>
              </w:rPr>
              <w:fldChar w:fldCharType="separate"/>
            </w:r>
            <w:r>
              <w:rPr>
                <w:rFonts w:hint="eastAsia" w:ascii="宋体" w:hAnsi="宋体" w:cs="宋体"/>
                <w:color w:val="auto"/>
                <w:kern w:val="2"/>
                <w:sz w:val="21"/>
                <w:szCs w:val="21"/>
                <w:lang w:val="en-US" w:eastAsia="zh-CN"/>
              </w:rPr>
              <w:t>⑦</w:t>
            </w:r>
            <w:r>
              <w:rPr>
                <w:snapToGrid w:val="0"/>
                <w:color w:val="auto"/>
                <w:sz w:val="21"/>
                <w:szCs w:val="21"/>
                <w:lang w:val="en-US" w:eastAsia="zh-CN"/>
              </w:rPr>
              <w:fldChar w:fldCharType="end"/>
            </w:r>
          </w:p>
        </w:tc>
      </w:tr>
      <w:tr w14:paraId="2753E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tcBorders>
              <w:top w:val="single" w:color="auto" w:sz="4" w:space="0"/>
              <w:left w:val="single" w:color="auto" w:sz="4" w:space="0"/>
              <w:right w:val="single" w:color="auto" w:sz="4" w:space="0"/>
            </w:tcBorders>
            <w:noWrap w:val="0"/>
            <w:vAlign w:val="center"/>
          </w:tcPr>
          <w:p w14:paraId="4F912106">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废气</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878E0B1">
            <w:pPr>
              <w:pStyle w:val="73"/>
              <w:spacing w:line="240" w:lineRule="auto"/>
              <w:jc w:val="center"/>
              <w:rPr>
                <w:snapToGrid w:val="0"/>
                <w:color w:val="auto"/>
                <w:sz w:val="21"/>
                <w:szCs w:val="21"/>
                <w:lang w:val="en-US" w:eastAsia="zh-CN"/>
              </w:rPr>
            </w:pPr>
            <w:r>
              <w:rPr>
                <w:color w:val="auto"/>
                <w:sz w:val="21"/>
                <w:szCs w:val="21"/>
                <w:lang w:val="en-US" w:eastAsia="zh-CN"/>
              </w:rPr>
              <w:t>颗粒物</w:t>
            </w:r>
          </w:p>
        </w:tc>
        <w:tc>
          <w:tcPr>
            <w:tcW w:w="1701" w:type="dxa"/>
            <w:tcBorders>
              <w:top w:val="single" w:color="auto" w:sz="4" w:space="0"/>
              <w:bottom w:val="single" w:color="auto" w:sz="4" w:space="0"/>
            </w:tcBorders>
            <w:noWrap w:val="0"/>
            <w:vAlign w:val="center"/>
          </w:tcPr>
          <w:p w14:paraId="23C702EF">
            <w:pPr>
              <w:pStyle w:val="73"/>
              <w:spacing w:line="240" w:lineRule="auto"/>
              <w:jc w:val="left"/>
              <w:rPr>
                <w:rFonts w:hint="eastAsia"/>
                <w:snapToGrid w:val="0"/>
                <w:color w:val="auto"/>
                <w:sz w:val="21"/>
                <w:szCs w:val="21"/>
                <w:lang w:val="en-US" w:eastAsia="zh-CN"/>
              </w:rPr>
            </w:pPr>
            <w:r>
              <w:rPr>
                <w:rFonts w:hint="eastAsia"/>
                <w:color w:val="auto"/>
                <w:sz w:val="21"/>
                <w:szCs w:val="21"/>
                <w:lang w:val="en-US" w:eastAsia="zh-CN"/>
              </w:rPr>
              <w:t>4.034</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C7DF499">
            <w:pPr>
              <w:pStyle w:val="73"/>
              <w:spacing w:line="240" w:lineRule="auto"/>
              <w:ind w:left="0" w:leftChars="0"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E6C743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D73FBDE">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4.234</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531B8306">
            <w:pPr>
              <w:pStyle w:val="73"/>
              <w:spacing w:line="240" w:lineRule="auto"/>
              <w:ind w:firstLine="420" w:firstLineChars="200"/>
              <w:jc w:val="left"/>
              <w:rPr>
                <w:snapToGrid w:val="0"/>
                <w:color w:val="auto"/>
                <w:sz w:val="21"/>
                <w:szCs w:val="21"/>
                <w:lang w:val="en-US" w:eastAsia="zh-CN"/>
              </w:rPr>
            </w:pPr>
            <w:r>
              <w:rPr>
                <w:rFonts w:hint="eastAsia"/>
                <w:color w:val="auto"/>
                <w:sz w:val="21"/>
                <w:szCs w:val="21"/>
                <w:lang w:val="en-US" w:eastAsia="zh-CN"/>
              </w:rPr>
              <w:t>4.034</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6C8C8D58">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4.234</w:t>
            </w:r>
            <w:r>
              <w:rPr>
                <w:color w:val="auto"/>
                <w:sz w:val="21"/>
                <w:szCs w:val="21"/>
                <w:lang w:val="en-US" w:eastAsia="zh-CN"/>
              </w:rPr>
              <w:t>t/a</w:t>
            </w:r>
          </w:p>
        </w:tc>
        <w:tc>
          <w:tcPr>
            <w:tcW w:w="1383" w:type="dxa"/>
            <w:tcBorders>
              <w:top w:val="nil"/>
              <w:left w:val="nil"/>
              <w:bottom w:val="single" w:color="auto" w:sz="8" w:space="0"/>
              <w:right w:val="single" w:color="auto" w:sz="8" w:space="0"/>
            </w:tcBorders>
            <w:noWrap w:val="0"/>
            <w:vAlign w:val="center"/>
          </w:tcPr>
          <w:p w14:paraId="56A10018">
            <w:pPr>
              <w:pStyle w:val="73"/>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+0.</w:t>
            </w:r>
            <w:r>
              <w:rPr>
                <w:rFonts w:hint="eastAsia" w:eastAsia="等线"/>
                <w:color w:val="auto"/>
                <w:sz w:val="21"/>
                <w:szCs w:val="21"/>
                <w:lang w:val="en-US" w:eastAsia="zh-CN"/>
              </w:rPr>
              <w:t>2</w:t>
            </w:r>
            <w:r>
              <w:rPr>
                <w:color w:val="auto"/>
                <w:sz w:val="21"/>
                <w:szCs w:val="21"/>
                <w:lang w:val="en-US" w:eastAsia="zh-CN"/>
              </w:rPr>
              <w:t>t/a</w:t>
            </w:r>
          </w:p>
        </w:tc>
      </w:tr>
      <w:tr w14:paraId="69DE9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left w:val="single" w:color="auto" w:sz="4" w:space="0"/>
              <w:right w:val="single" w:color="auto" w:sz="4" w:space="0"/>
            </w:tcBorders>
            <w:noWrap w:val="0"/>
            <w:vAlign w:val="center"/>
          </w:tcPr>
          <w:p w14:paraId="60DCDB21">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71B050B">
            <w:pPr>
              <w:pStyle w:val="73"/>
              <w:spacing w:line="240" w:lineRule="auto"/>
              <w:jc w:val="center"/>
              <w:rPr>
                <w:snapToGrid w:val="0"/>
                <w:color w:val="auto"/>
                <w:sz w:val="21"/>
                <w:szCs w:val="21"/>
                <w:lang w:val="en-US" w:eastAsia="zh-CN"/>
              </w:rPr>
            </w:pPr>
            <w:r>
              <w:rPr>
                <w:rFonts w:eastAsia="等线"/>
                <w:color w:val="auto"/>
                <w:sz w:val="21"/>
                <w:szCs w:val="21"/>
                <w:lang w:val="en-US" w:eastAsia="zh-CN"/>
              </w:rPr>
              <w:t>SO</w:t>
            </w:r>
            <w:r>
              <w:rPr>
                <w:rFonts w:eastAsia="等线"/>
                <w:color w:val="auto"/>
                <w:sz w:val="21"/>
                <w:szCs w:val="21"/>
                <w:vertAlign w:val="subscript"/>
                <w:lang w:val="en-US" w:eastAsia="zh-CN"/>
              </w:rPr>
              <w:t>2</w:t>
            </w:r>
          </w:p>
        </w:tc>
        <w:tc>
          <w:tcPr>
            <w:tcW w:w="1701" w:type="dxa"/>
            <w:tcBorders>
              <w:top w:val="single" w:color="auto" w:sz="4" w:space="0"/>
              <w:bottom w:val="single" w:color="auto" w:sz="4" w:space="0"/>
            </w:tcBorders>
            <w:noWrap w:val="0"/>
            <w:vAlign w:val="center"/>
          </w:tcPr>
          <w:p w14:paraId="58270AA4">
            <w:pPr>
              <w:pStyle w:val="73"/>
              <w:spacing w:line="240" w:lineRule="auto"/>
              <w:jc w:val="left"/>
              <w:rPr>
                <w:snapToGrid w:val="0"/>
                <w:color w:val="auto"/>
                <w:sz w:val="21"/>
                <w:szCs w:val="21"/>
                <w:lang w:val="en-US" w:eastAsia="zh-CN"/>
              </w:rPr>
            </w:pPr>
            <w:r>
              <w:rPr>
                <w:rFonts w:hint="eastAsia" w:eastAsia="等线"/>
                <w:color w:val="auto"/>
                <w:sz w:val="21"/>
                <w:szCs w:val="21"/>
                <w:lang w:val="en-US" w:eastAsia="zh-CN"/>
              </w:rPr>
              <w:t>1.01</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58D5A09">
            <w:pPr>
              <w:pStyle w:val="73"/>
              <w:spacing w:line="240" w:lineRule="auto"/>
              <w:ind w:left="0" w:leftChars="0"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0.077</w:t>
            </w:r>
            <w:r>
              <w:rPr>
                <w:color w:val="auto"/>
                <w:sz w:val="21"/>
                <w:szCs w:val="21"/>
                <w:lang w:val="en-US" w:eastAsia="zh-CN"/>
              </w:rPr>
              <w:t>t/a</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F81ECE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39A1672">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5.9024</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1349ECB3">
            <w:pPr>
              <w:pStyle w:val="73"/>
              <w:spacing w:line="240" w:lineRule="auto"/>
              <w:ind w:firstLine="420" w:firstLineChars="200"/>
              <w:jc w:val="left"/>
              <w:rPr>
                <w:snapToGrid w:val="0"/>
                <w:color w:val="auto"/>
                <w:sz w:val="21"/>
                <w:szCs w:val="21"/>
                <w:lang w:val="en-US" w:eastAsia="zh-CN"/>
              </w:rPr>
            </w:pPr>
            <w:r>
              <w:rPr>
                <w:rFonts w:hint="eastAsia" w:eastAsia="等线"/>
                <w:color w:val="auto"/>
                <w:sz w:val="21"/>
                <w:szCs w:val="21"/>
                <w:lang w:val="en-US" w:eastAsia="zh-CN"/>
              </w:rPr>
              <w:t>1.01</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2C8FEBF9">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5.9024</w:t>
            </w:r>
            <w:r>
              <w:rPr>
                <w:color w:val="auto"/>
                <w:sz w:val="21"/>
                <w:szCs w:val="21"/>
                <w:lang w:val="en-US" w:eastAsia="zh-CN"/>
              </w:rPr>
              <w:t>t/a</w:t>
            </w:r>
          </w:p>
        </w:tc>
        <w:tc>
          <w:tcPr>
            <w:tcW w:w="1383" w:type="dxa"/>
            <w:tcBorders>
              <w:top w:val="nil"/>
              <w:left w:val="nil"/>
              <w:bottom w:val="single" w:color="auto" w:sz="8" w:space="0"/>
              <w:right w:val="single" w:color="auto" w:sz="8" w:space="0"/>
            </w:tcBorders>
            <w:noWrap w:val="0"/>
            <w:vAlign w:val="center"/>
          </w:tcPr>
          <w:p w14:paraId="47A79D30">
            <w:pPr>
              <w:pStyle w:val="73"/>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w:t>
            </w:r>
            <w:r>
              <w:rPr>
                <w:rFonts w:hint="eastAsia" w:eastAsia="等线"/>
                <w:color w:val="auto"/>
                <w:sz w:val="21"/>
                <w:szCs w:val="21"/>
                <w:lang w:val="en-US" w:eastAsia="zh-CN"/>
              </w:rPr>
              <w:t>4.8924</w:t>
            </w:r>
            <w:r>
              <w:rPr>
                <w:color w:val="auto"/>
                <w:sz w:val="21"/>
                <w:szCs w:val="21"/>
                <w:lang w:val="en-US" w:eastAsia="zh-CN"/>
              </w:rPr>
              <w:t>t/a</w:t>
            </w:r>
          </w:p>
        </w:tc>
      </w:tr>
      <w:tr w14:paraId="7B3A4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left w:val="single" w:color="auto" w:sz="4" w:space="0"/>
              <w:right w:val="single" w:color="auto" w:sz="4" w:space="0"/>
            </w:tcBorders>
            <w:noWrap w:val="0"/>
            <w:vAlign w:val="center"/>
          </w:tcPr>
          <w:p w14:paraId="2BB4535F">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8BC27D4">
            <w:pPr>
              <w:pStyle w:val="73"/>
              <w:spacing w:line="240" w:lineRule="auto"/>
              <w:jc w:val="center"/>
              <w:rPr>
                <w:snapToGrid w:val="0"/>
                <w:color w:val="auto"/>
                <w:sz w:val="21"/>
                <w:szCs w:val="21"/>
                <w:lang w:val="en-US" w:eastAsia="zh-CN"/>
              </w:rPr>
            </w:pPr>
            <w:r>
              <w:rPr>
                <w:rFonts w:eastAsia="等线"/>
                <w:color w:val="auto"/>
                <w:sz w:val="21"/>
                <w:szCs w:val="21"/>
                <w:lang w:val="en-US" w:eastAsia="zh-CN"/>
              </w:rPr>
              <w:t>NOx</w:t>
            </w:r>
          </w:p>
        </w:tc>
        <w:tc>
          <w:tcPr>
            <w:tcW w:w="1701" w:type="dxa"/>
            <w:tcBorders>
              <w:top w:val="single" w:color="auto" w:sz="4" w:space="0"/>
              <w:bottom w:val="single" w:color="auto" w:sz="4" w:space="0"/>
            </w:tcBorders>
            <w:noWrap w:val="0"/>
            <w:vAlign w:val="center"/>
          </w:tcPr>
          <w:p w14:paraId="18BB00D6">
            <w:pPr>
              <w:pStyle w:val="73"/>
              <w:spacing w:line="240" w:lineRule="auto"/>
              <w:jc w:val="left"/>
              <w:rPr>
                <w:rFonts w:hint="eastAsia"/>
                <w:snapToGrid w:val="0"/>
                <w:color w:val="auto"/>
                <w:sz w:val="21"/>
                <w:szCs w:val="21"/>
                <w:lang w:val="en-US" w:eastAsia="zh-CN"/>
              </w:rPr>
            </w:pPr>
            <w:r>
              <w:rPr>
                <w:rFonts w:hint="eastAsia" w:eastAsia="等线"/>
                <w:color w:val="auto"/>
                <w:sz w:val="21"/>
                <w:szCs w:val="21"/>
                <w:lang w:val="en-US" w:eastAsia="zh-CN"/>
              </w:rPr>
              <w:t>3.18</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F59F52">
            <w:pPr>
              <w:pStyle w:val="73"/>
              <w:spacing w:line="240" w:lineRule="auto"/>
              <w:ind w:left="0" w:leftChars="0"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11.974</w:t>
            </w:r>
            <w:r>
              <w:rPr>
                <w:color w:val="auto"/>
                <w:sz w:val="21"/>
                <w:szCs w:val="21"/>
                <w:lang w:val="en-US" w:eastAsia="zh-CN"/>
              </w:rPr>
              <w:t>t/a</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74AD390">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50E9979">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29.947</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7552AF79">
            <w:pPr>
              <w:pStyle w:val="73"/>
              <w:spacing w:line="240" w:lineRule="auto"/>
              <w:ind w:firstLine="420" w:firstLineChars="200"/>
              <w:jc w:val="left"/>
              <w:rPr>
                <w:rFonts w:hint="eastAsia"/>
                <w:snapToGrid w:val="0"/>
                <w:color w:val="auto"/>
                <w:sz w:val="21"/>
                <w:szCs w:val="21"/>
                <w:lang w:val="en-US" w:eastAsia="zh-CN"/>
              </w:rPr>
            </w:pPr>
            <w:r>
              <w:rPr>
                <w:rFonts w:hint="eastAsia" w:eastAsia="等线"/>
                <w:color w:val="auto"/>
                <w:sz w:val="21"/>
                <w:szCs w:val="21"/>
                <w:lang w:val="en-US" w:eastAsia="zh-CN"/>
              </w:rPr>
              <w:t>3.18</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6D449BC4">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29.947</w:t>
            </w:r>
            <w:r>
              <w:rPr>
                <w:color w:val="auto"/>
                <w:sz w:val="21"/>
                <w:szCs w:val="21"/>
                <w:lang w:val="en-US" w:eastAsia="zh-CN"/>
              </w:rPr>
              <w:t>t/a</w:t>
            </w:r>
          </w:p>
        </w:tc>
        <w:tc>
          <w:tcPr>
            <w:tcW w:w="1383" w:type="dxa"/>
            <w:tcBorders>
              <w:top w:val="nil"/>
              <w:left w:val="nil"/>
              <w:bottom w:val="single" w:color="auto" w:sz="8" w:space="0"/>
              <w:right w:val="single" w:color="auto" w:sz="8" w:space="0"/>
            </w:tcBorders>
            <w:noWrap w:val="0"/>
            <w:vAlign w:val="center"/>
          </w:tcPr>
          <w:p w14:paraId="0C6A442A">
            <w:pPr>
              <w:pStyle w:val="73"/>
              <w:spacing w:line="240" w:lineRule="auto"/>
              <w:ind w:left="0" w:leftChars="0" w:firstLine="0" w:firstLineChars="0"/>
              <w:jc w:val="center"/>
              <w:rPr>
                <w:rFonts w:hint="eastAsia"/>
                <w:color w:val="auto"/>
                <w:sz w:val="21"/>
                <w:szCs w:val="21"/>
                <w:lang w:val="en-US" w:eastAsia="zh-CN"/>
              </w:rPr>
            </w:pPr>
            <w:r>
              <w:rPr>
                <w:rFonts w:eastAsia="等线"/>
                <w:color w:val="auto"/>
                <w:sz w:val="21"/>
                <w:szCs w:val="21"/>
                <w:lang w:val="en-US" w:eastAsia="zh-CN"/>
              </w:rPr>
              <w:t>+1.590</w:t>
            </w:r>
            <w:r>
              <w:rPr>
                <w:color w:val="auto"/>
                <w:sz w:val="21"/>
                <w:szCs w:val="21"/>
                <w:lang w:val="en-US" w:eastAsia="zh-CN"/>
              </w:rPr>
              <w:t>t/a</w:t>
            </w:r>
          </w:p>
        </w:tc>
      </w:tr>
      <w:tr w14:paraId="48D1E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left w:val="single" w:color="auto" w:sz="4" w:space="0"/>
              <w:bottom w:val="single" w:color="auto" w:sz="4" w:space="0"/>
              <w:right w:val="single" w:color="auto" w:sz="4" w:space="0"/>
            </w:tcBorders>
            <w:noWrap w:val="0"/>
            <w:vAlign w:val="center"/>
          </w:tcPr>
          <w:p w14:paraId="7694E047">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0DE11EB">
            <w:pPr>
              <w:pStyle w:val="73"/>
              <w:spacing w:line="240" w:lineRule="auto"/>
              <w:jc w:val="center"/>
              <w:rPr>
                <w:rFonts w:hint="default" w:eastAsia="等线"/>
                <w:color w:val="auto"/>
                <w:sz w:val="21"/>
                <w:szCs w:val="21"/>
                <w:lang w:val="en-US" w:eastAsia="zh-CN"/>
              </w:rPr>
            </w:pPr>
            <w:r>
              <w:rPr>
                <w:rFonts w:hint="eastAsia" w:ascii="宋体" w:hAnsi="宋体" w:eastAsia="宋体" w:cs="宋体"/>
                <w:color w:val="auto"/>
                <w:sz w:val="21"/>
                <w:szCs w:val="21"/>
                <w:lang w:val="en-US" w:eastAsia="zh-CN"/>
              </w:rPr>
              <w:t>氨</w:t>
            </w:r>
          </w:p>
        </w:tc>
        <w:tc>
          <w:tcPr>
            <w:tcW w:w="1701" w:type="dxa"/>
            <w:tcBorders>
              <w:top w:val="single" w:color="auto" w:sz="4" w:space="0"/>
              <w:bottom w:val="single" w:color="auto" w:sz="4" w:space="0"/>
            </w:tcBorders>
            <w:noWrap w:val="0"/>
            <w:vAlign w:val="center"/>
          </w:tcPr>
          <w:p w14:paraId="24F6F4FC">
            <w:pPr>
              <w:pStyle w:val="73"/>
              <w:spacing w:line="240" w:lineRule="auto"/>
              <w:jc w:val="left"/>
              <w:rPr>
                <w:rFonts w:hint="default" w:eastAsia="等线"/>
                <w:color w:val="auto"/>
                <w:sz w:val="21"/>
                <w:szCs w:val="21"/>
                <w:lang w:val="en-US" w:eastAsia="zh-CN"/>
              </w:rPr>
            </w:pPr>
            <w:r>
              <w:rPr>
                <w:rFonts w:hint="eastAsia" w:eastAsia="等线"/>
                <w:color w:val="auto"/>
                <w:sz w:val="21"/>
                <w:szCs w:val="21"/>
                <w:lang w:val="en-US" w:eastAsia="zh-CN"/>
              </w:rPr>
              <w:t>0.395</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D14C003">
            <w:pPr>
              <w:pStyle w:val="73"/>
              <w:spacing w:line="240" w:lineRule="auto"/>
              <w:ind w:left="0" w:leftChars="0" w:firstLine="0" w:firstLineChars="0"/>
              <w:jc w:val="center"/>
              <w:rPr>
                <w:rFonts w:hint="default"/>
                <w:snapToGrid w:val="0"/>
                <w:color w:val="auto"/>
                <w:sz w:val="21"/>
                <w:szCs w:val="21"/>
                <w:lang w:val="en-US" w:eastAsia="zh-CN"/>
              </w:rPr>
            </w:pPr>
            <w:r>
              <w:rPr>
                <w:rFonts w:hint="eastAsia"/>
                <w:snapToGrid w:val="0"/>
                <w:color w:val="auto"/>
                <w:sz w:val="21"/>
                <w:szCs w:val="21"/>
                <w:lang w:val="en-US" w:eastAsia="zh-C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A5AC0F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27F5D78">
            <w:pPr>
              <w:pStyle w:val="73"/>
              <w:spacing w:line="240" w:lineRule="auto"/>
              <w:ind w:left="0" w:leftChars="0" w:firstLine="0" w:firstLineChars="0"/>
              <w:jc w:val="center"/>
              <w:rPr>
                <w:color w:val="auto"/>
                <w:sz w:val="21"/>
                <w:szCs w:val="21"/>
                <w:lang w:val="en-US" w:eastAsia="zh-CN"/>
              </w:rPr>
            </w:pPr>
            <w:r>
              <w:rPr>
                <w:rFonts w:hint="eastAsia" w:eastAsia="等线"/>
                <w:color w:val="auto"/>
                <w:sz w:val="21"/>
                <w:szCs w:val="21"/>
                <w:lang w:val="en-US" w:eastAsia="zh-CN"/>
              </w:rPr>
              <w:t>0.395</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6DE87FB">
            <w:pPr>
              <w:pStyle w:val="73"/>
              <w:spacing w:line="240" w:lineRule="auto"/>
              <w:ind w:firstLine="420" w:firstLineChars="200"/>
              <w:jc w:val="left"/>
              <w:rPr>
                <w:rFonts w:eastAsia="等线"/>
                <w:color w:val="auto"/>
                <w:sz w:val="21"/>
                <w:szCs w:val="21"/>
                <w:lang w:val="en-US" w:eastAsia="zh-CN"/>
              </w:rPr>
            </w:pPr>
            <w:r>
              <w:rPr>
                <w:rFonts w:hint="eastAsia" w:eastAsia="等线"/>
                <w:color w:val="auto"/>
                <w:sz w:val="21"/>
                <w:szCs w:val="21"/>
                <w:lang w:val="en-US" w:eastAsia="zh-CN"/>
              </w:rPr>
              <w:t>0.395</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48AA0B01">
            <w:pPr>
              <w:pStyle w:val="73"/>
              <w:spacing w:line="240" w:lineRule="auto"/>
              <w:ind w:left="0" w:leftChars="0" w:firstLine="0" w:firstLineChars="0"/>
              <w:jc w:val="center"/>
              <w:rPr>
                <w:color w:val="auto"/>
                <w:sz w:val="21"/>
                <w:szCs w:val="21"/>
                <w:lang w:val="en-US" w:eastAsia="zh-CN"/>
              </w:rPr>
            </w:pPr>
            <w:r>
              <w:rPr>
                <w:rFonts w:hint="eastAsia" w:eastAsia="等线"/>
                <w:color w:val="auto"/>
                <w:sz w:val="21"/>
                <w:szCs w:val="21"/>
                <w:lang w:val="en-US" w:eastAsia="zh-CN"/>
              </w:rPr>
              <w:t>0.395</w:t>
            </w:r>
            <w:r>
              <w:rPr>
                <w:color w:val="auto"/>
                <w:sz w:val="21"/>
                <w:szCs w:val="21"/>
                <w:lang w:val="en-US" w:eastAsia="zh-CN"/>
              </w:rPr>
              <w:t>t/a</w:t>
            </w:r>
          </w:p>
        </w:tc>
        <w:tc>
          <w:tcPr>
            <w:tcW w:w="1383" w:type="dxa"/>
            <w:tcBorders>
              <w:top w:val="nil"/>
              <w:left w:val="nil"/>
              <w:bottom w:val="single" w:color="auto" w:sz="8" w:space="0"/>
              <w:right w:val="single" w:color="auto" w:sz="8" w:space="0"/>
            </w:tcBorders>
            <w:noWrap w:val="0"/>
            <w:vAlign w:val="center"/>
          </w:tcPr>
          <w:p w14:paraId="145A9980">
            <w:pPr>
              <w:pStyle w:val="73"/>
              <w:spacing w:line="240" w:lineRule="auto"/>
              <w:ind w:left="0" w:leftChars="0" w:firstLine="0" w:firstLineChars="0"/>
              <w:jc w:val="center"/>
              <w:rPr>
                <w:rFonts w:eastAsia="等线"/>
                <w:color w:val="auto"/>
                <w:sz w:val="21"/>
                <w:szCs w:val="21"/>
                <w:lang w:val="en-US" w:eastAsia="zh-CN"/>
              </w:rPr>
            </w:pPr>
            <w:r>
              <w:rPr>
                <w:rFonts w:eastAsia="等线"/>
                <w:color w:val="auto"/>
                <w:sz w:val="21"/>
                <w:szCs w:val="21"/>
                <w:lang w:val="en-US" w:eastAsia="zh-CN"/>
              </w:rPr>
              <w:t>+0</w:t>
            </w:r>
            <w:r>
              <w:rPr>
                <w:color w:val="auto"/>
                <w:sz w:val="21"/>
                <w:szCs w:val="21"/>
                <w:lang w:val="en-US" w:eastAsia="zh-CN"/>
              </w:rPr>
              <w:t>t/a</w:t>
            </w:r>
          </w:p>
        </w:tc>
      </w:tr>
      <w:tr w14:paraId="71172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tcBorders>
              <w:top w:val="single" w:color="auto" w:sz="4" w:space="0"/>
              <w:left w:val="single" w:color="auto" w:sz="4" w:space="0"/>
              <w:bottom w:val="single" w:color="auto" w:sz="4" w:space="0"/>
              <w:right w:val="single" w:color="auto" w:sz="4" w:space="0"/>
            </w:tcBorders>
            <w:noWrap w:val="0"/>
            <w:vAlign w:val="center"/>
          </w:tcPr>
          <w:p w14:paraId="3F841E15">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废水</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5C8BC94">
            <w:pPr>
              <w:pStyle w:val="73"/>
              <w:spacing w:line="240" w:lineRule="auto"/>
              <w:jc w:val="center"/>
              <w:rPr>
                <w:snapToGrid w:val="0"/>
                <w:color w:val="auto"/>
                <w:sz w:val="21"/>
                <w:szCs w:val="21"/>
                <w:lang w:val="en-US" w:eastAsia="zh-CN"/>
              </w:rPr>
            </w:pPr>
            <w:r>
              <w:rPr>
                <w:snapToGrid w:val="0"/>
                <w:color w:val="auto"/>
                <w:sz w:val="21"/>
                <w:szCs w:val="21"/>
                <w:lang w:val="en-US" w:eastAsia="zh-CN"/>
              </w:rPr>
              <w:t>废水量</w:t>
            </w:r>
          </w:p>
        </w:tc>
        <w:tc>
          <w:tcPr>
            <w:tcW w:w="1701" w:type="dxa"/>
            <w:tcBorders>
              <w:top w:val="single" w:color="auto" w:sz="4" w:space="0"/>
              <w:bottom w:val="single" w:color="auto" w:sz="4" w:space="0"/>
            </w:tcBorders>
            <w:noWrap w:val="0"/>
            <w:vAlign w:val="center"/>
          </w:tcPr>
          <w:p w14:paraId="367A7C87">
            <w:pPr>
              <w:pStyle w:val="73"/>
              <w:spacing w:line="240" w:lineRule="auto"/>
              <w:jc w:val="left"/>
              <w:rPr>
                <w:snapToGrid w:val="0"/>
                <w:color w:val="auto"/>
                <w:sz w:val="21"/>
                <w:szCs w:val="21"/>
                <w:lang w:val="en-US" w:eastAsia="zh-CN"/>
              </w:rPr>
            </w:pPr>
            <w:r>
              <w:rPr>
                <w:rFonts w:hint="eastAsia" w:eastAsia="等线"/>
                <w:color w:val="auto"/>
                <w:sz w:val="21"/>
                <w:szCs w:val="21"/>
                <w:lang w:val="en-US" w:eastAsia="zh-CN"/>
              </w:rPr>
              <w:t>6670</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503D0DB">
            <w:pPr>
              <w:pStyle w:val="73"/>
              <w:spacing w:line="240" w:lineRule="auto"/>
              <w:ind w:left="0" w:leftChars="0" w:firstLine="0" w:firstLineChars="0"/>
              <w:jc w:val="left"/>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C92733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D96AA2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61466C9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46AE9CD9">
            <w:pPr>
              <w:pStyle w:val="73"/>
              <w:spacing w:line="240" w:lineRule="auto"/>
              <w:ind w:firstLine="420" w:firstLineChars="200"/>
              <w:jc w:val="left"/>
              <w:rPr>
                <w:snapToGrid w:val="0"/>
                <w:color w:val="auto"/>
                <w:sz w:val="21"/>
                <w:szCs w:val="21"/>
                <w:lang w:val="en-US" w:eastAsia="zh-CN"/>
              </w:rPr>
            </w:pPr>
            <w:r>
              <w:rPr>
                <w:rFonts w:hint="eastAsia" w:eastAsia="等线"/>
                <w:color w:val="auto"/>
                <w:sz w:val="21"/>
                <w:szCs w:val="21"/>
                <w:lang w:val="en-US" w:eastAsia="zh-CN"/>
              </w:rPr>
              <w:t>6670</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34157CEF">
            <w:pPr>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+0</w:t>
            </w:r>
            <w:r>
              <w:rPr>
                <w:color w:val="auto"/>
                <w:sz w:val="21"/>
                <w:szCs w:val="21"/>
                <w:lang w:val="en-US" w:eastAsia="zh-CN"/>
              </w:rPr>
              <w:t>t/a</w:t>
            </w:r>
          </w:p>
        </w:tc>
      </w:tr>
      <w:tr w14:paraId="4EA5F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57B7E48D">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E6E5EB9">
            <w:pPr>
              <w:pStyle w:val="73"/>
              <w:spacing w:line="240" w:lineRule="auto"/>
              <w:jc w:val="center"/>
              <w:rPr>
                <w:snapToGrid w:val="0"/>
                <w:color w:val="auto"/>
                <w:sz w:val="21"/>
                <w:szCs w:val="21"/>
                <w:lang w:val="en-US" w:eastAsia="zh-CN"/>
              </w:rPr>
            </w:pPr>
            <w:r>
              <w:rPr>
                <w:snapToGrid w:val="0"/>
                <w:color w:val="auto"/>
                <w:sz w:val="21"/>
                <w:szCs w:val="21"/>
                <w:lang w:val="en-US" w:eastAsia="zh-CN"/>
              </w:rPr>
              <w:t>COD</w:t>
            </w:r>
          </w:p>
        </w:tc>
        <w:tc>
          <w:tcPr>
            <w:tcW w:w="1701" w:type="dxa"/>
            <w:tcBorders>
              <w:top w:val="single" w:color="auto" w:sz="4" w:space="0"/>
              <w:bottom w:val="single" w:color="auto" w:sz="4" w:space="0"/>
            </w:tcBorders>
            <w:noWrap w:val="0"/>
            <w:vAlign w:val="center"/>
          </w:tcPr>
          <w:p w14:paraId="0F66D74A">
            <w:pPr>
              <w:pStyle w:val="73"/>
              <w:spacing w:line="240" w:lineRule="auto"/>
              <w:jc w:val="left"/>
              <w:rPr>
                <w:snapToGrid w:val="0"/>
                <w:color w:val="auto"/>
                <w:sz w:val="21"/>
                <w:szCs w:val="21"/>
                <w:lang w:val="en-US" w:eastAsia="zh-CN"/>
              </w:rPr>
            </w:pPr>
            <w:r>
              <w:rPr>
                <w:rFonts w:eastAsia="等线"/>
                <w:color w:val="auto"/>
                <w:sz w:val="21"/>
                <w:szCs w:val="21"/>
                <w:lang w:val="en-US" w:eastAsia="zh-CN"/>
              </w:rPr>
              <w:t>0.</w:t>
            </w:r>
            <w:r>
              <w:rPr>
                <w:rFonts w:hint="eastAsia" w:eastAsia="等线"/>
                <w:color w:val="auto"/>
                <w:sz w:val="21"/>
                <w:szCs w:val="21"/>
                <w:lang w:val="en-US" w:eastAsia="zh-CN"/>
              </w:rPr>
              <w:t>105</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3885A2A">
            <w:pPr>
              <w:pStyle w:val="73"/>
              <w:spacing w:line="240" w:lineRule="auto"/>
              <w:ind w:left="0" w:leftChars="0" w:firstLine="0" w:firstLineChars="0"/>
              <w:jc w:val="left"/>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D2634B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2775DD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49C2E93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8FA23C7">
            <w:pPr>
              <w:pStyle w:val="73"/>
              <w:spacing w:line="240" w:lineRule="auto"/>
              <w:ind w:firstLine="420" w:firstLineChars="200"/>
              <w:jc w:val="left"/>
              <w:rPr>
                <w:snapToGrid w:val="0"/>
                <w:color w:val="auto"/>
                <w:sz w:val="21"/>
                <w:szCs w:val="21"/>
                <w:lang w:val="en-US" w:eastAsia="zh-CN"/>
              </w:rPr>
            </w:pPr>
            <w:r>
              <w:rPr>
                <w:rFonts w:eastAsia="等线"/>
                <w:color w:val="auto"/>
                <w:sz w:val="21"/>
                <w:szCs w:val="21"/>
                <w:lang w:val="en-US" w:eastAsia="zh-CN"/>
              </w:rPr>
              <w:t>0.</w:t>
            </w:r>
            <w:r>
              <w:rPr>
                <w:rFonts w:hint="eastAsia" w:eastAsia="等线"/>
                <w:color w:val="auto"/>
                <w:sz w:val="21"/>
                <w:szCs w:val="21"/>
                <w:lang w:val="en-US" w:eastAsia="zh-CN"/>
              </w:rPr>
              <w:t>105</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4C54B4D1">
            <w:pPr>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+0</w:t>
            </w:r>
            <w:r>
              <w:rPr>
                <w:color w:val="auto"/>
                <w:sz w:val="21"/>
                <w:szCs w:val="21"/>
                <w:lang w:val="en-US" w:eastAsia="zh-CN"/>
              </w:rPr>
              <w:t>t/a</w:t>
            </w:r>
          </w:p>
        </w:tc>
      </w:tr>
      <w:tr w14:paraId="36883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6E9331F5">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A4A7DA6">
            <w:pPr>
              <w:pStyle w:val="73"/>
              <w:spacing w:line="240" w:lineRule="auto"/>
              <w:jc w:val="center"/>
              <w:rPr>
                <w:snapToGrid w:val="0"/>
                <w:color w:val="auto"/>
                <w:sz w:val="21"/>
                <w:szCs w:val="21"/>
                <w:lang w:val="en-US" w:eastAsia="zh-CN"/>
              </w:rPr>
            </w:pPr>
            <w:r>
              <w:rPr>
                <w:snapToGrid w:val="0"/>
                <w:color w:val="auto"/>
                <w:sz w:val="21"/>
                <w:szCs w:val="21"/>
                <w:lang w:val="en-US" w:eastAsia="zh-CN"/>
              </w:rPr>
              <w:t>氨氮</w:t>
            </w:r>
          </w:p>
        </w:tc>
        <w:tc>
          <w:tcPr>
            <w:tcW w:w="1701" w:type="dxa"/>
            <w:tcBorders>
              <w:top w:val="single" w:color="auto" w:sz="4" w:space="0"/>
              <w:bottom w:val="single" w:color="auto" w:sz="4" w:space="0"/>
            </w:tcBorders>
            <w:noWrap w:val="0"/>
            <w:vAlign w:val="center"/>
          </w:tcPr>
          <w:p w14:paraId="796E1969">
            <w:pPr>
              <w:pStyle w:val="73"/>
              <w:spacing w:line="240" w:lineRule="auto"/>
              <w:jc w:val="left"/>
              <w:rPr>
                <w:snapToGrid w:val="0"/>
                <w:color w:val="auto"/>
                <w:sz w:val="21"/>
                <w:szCs w:val="21"/>
                <w:lang w:val="en-US" w:eastAsia="zh-CN"/>
              </w:rPr>
            </w:pPr>
            <w:r>
              <w:rPr>
                <w:rFonts w:eastAsia="等线"/>
                <w:color w:val="auto"/>
                <w:sz w:val="21"/>
                <w:szCs w:val="21"/>
                <w:lang w:val="en-US" w:eastAsia="zh-CN"/>
              </w:rPr>
              <w:t>0.00</w:t>
            </w:r>
            <w:r>
              <w:rPr>
                <w:rFonts w:hint="eastAsia" w:eastAsia="等线"/>
                <w:color w:val="auto"/>
                <w:sz w:val="21"/>
                <w:szCs w:val="21"/>
                <w:lang w:val="en-US" w:eastAsia="zh-CN"/>
              </w:rPr>
              <w:t>85</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C79EEF">
            <w:pPr>
              <w:pStyle w:val="73"/>
              <w:spacing w:line="240" w:lineRule="auto"/>
              <w:ind w:left="0" w:leftChars="0" w:firstLine="0" w:firstLineChars="0"/>
              <w:jc w:val="left"/>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63C98A6">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8BE2641">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3EBE7C6C">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44919245">
            <w:pPr>
              <w:pStyle w:val="73"/>
              <w:spacing w:line="240" w:lineRule="auto"/>
              <w:ind w:firstLine="420" w:firstLineChars="200"/>
              <w:jc w:val="left"/>
              <w:rPr>
                <w:snapToGrid w:val="0"/>
                <w:color w:val="auto"/>
                <w:sz w:val="21"/>
                <w:szCs w:val="21"/>
                <w:lang w:val="en-US" w:eastAsia="zh-CN"/>
              </w:rPr>
            </w:pPr>
            <w:r>
              <w:rPr>
                <w:rFonts w:eastAsia="等线"/>
                <w:color w:val="auto"/>
                <w:sz w:val="21"/>
                <w:szCs w:val="21"/>
                <w:lang w:val="en-US" w:eastAsia="zh-CN"/>
              </w:rPr>
              <w:t>0.00</w:t>
            </w:r>
            <w:r>
              <w:rPr>
                <w:rFonts w:hint="eastAsia" w:eastAsia="等线"/>
                <w:color w:val="auto"/>
                <w:sz w:val="21"/>
                <w:szCs w:val="21"/>
                <w:lang w:val="en-US" w:eastAsia="zh-CN"/>
              </w:rPr>
              <w:t>85</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673601FB">
            <w:pPr>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+0</w:t>
            </w:r>
            <w:r>
              <w:rPr>
                <w:color w:val="auto"/>
                <w:sz w:val="21"/>
                <w:szCs w:val="21"/>
                <w:lang w:val="en-US" w:eastAsia="zh-CN"/>
              </w:rPr>
              <w:t>t/a</w:t>
            </w:r>
          </w:p>
        </w:tc>
      </w:tr>
      <w:tr w14:paraId="29958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tcBorders>
              <w:top w:val="single" w:color="auto" w:sz="4" w:space="0"/>
              <w:left w:val="single" w:color="auto" w:sz="4" w:space="0"/>
              <w:bottom w:val="single" w:color="auto" w:sz="4" w:space="0"/>
              <w:right w:val="single" w:color="auto" w:sz="4" w:space="0"/>
            </w:tcBorders>
            <w:noWrap w:val="0"/>
            <w:vAlign w:val="center"/>
          </w:tcPr>
          <w:p w14:paraId="4957AD12">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一般工业固体废物</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23AE8A5">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不合格品</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23A1909">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color w:val="auto"/>
                <w:sz w:val="21"/>
                <w:szCs w:val="21"/>
                <w:lang w:val="en-US" w:eastAsia="zh-CN"/>
              </w:rPr>
              <w:t>180</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7AFC191">
            <w:pPr>
              <w:pStyle w:val="73"/>
              <w:spacing w:line="240" w:lineRule="auto"/>
              <w:ind w:left="0" w:leftChars="0" w:firstLine="0" w:firstLineChars="0"/>
              <w:jc w:val="left"/>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AB035A">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76C0A3E">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2700</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0188F8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color w:val="auto"/>
                <w:sz w:val="21"/>
                <w:szCs w:val="21"/>
                <w:lang w:val="en-US" w:eastAsia="zh-CN"/>
              </w:rPr>
              <w:t>180</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4503C82A">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3500</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26FECB76">
            <w:pPr>
              <w:pStyle w:val="73"/>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w:t>
            </w:r>
            <w:r>
              <w:rPr>
                <w:rFonts w:hint="eastAsia" w:eastAsia="等线"/>
                <w:color w:val="auto"/>
                <w:sz w:val="21"/>
                <w:szCs w:val="21"/>
                <w:lang w:val="en-US" w:eastAsia="zh-CN"/>
              </w:rPr>
              <w:t>3320</w:t>
            </w:r>
            <w:r>
              <w:rPr>
                <w:color w:val="auto"/>
                <w:sz w:val="21"/>
                <w:szCs w:val="21"/>
                <w:lang w:val="en-US" w:eastAsia="zh-CN"/>
              </w:rPr>
              <w:t>t/a</w:t>
            </w:r>
          </w:p>
        </w:tc>
      </w:tr>
      <w:tr w14:paraId="76750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371CF0A5">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5EED358">
            <w:pPr>
              <w:pStyle w:val="73"/>
              <w:spacing w:line="240" w:lineRule="auto"/>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废包装材料</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4E873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color w:val="auto"/>
                <w:sz w:val="21"/>
                <w:szCs w:val="21"/>
                <w:lang w:val="en-US" w:eastAsia="zh-CN"/>
              </w:rPr>
            </w:pPr>
            <w:r>
              <w:rPr>
                <w:rFonts w:hint="eastAsia"/>
                <w:color w:val="auto"/>
                <w:sz w:val="21"/>
                <w:szCs w:val="21"/>
                <w:lang w:val="en-US" w:eastAsia="zh-CN"/>
              </w:rPr>
              <w:t>1</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B7A515">
            <w:pPr>
              <w:pStyle w:val="73"/>
              <w:spacing w:line="240" w:lineRule="auto"/>
              <w:ind w:left="0" w:leftChars="0" w:firstLine="0" w:firstLineChars="0"/>
              <w:jc w:val="left"/>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F12DB92">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9899158">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0.5</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566C8245">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color w:val="auto"/>
                <w:sz w:val="21"/>
                <w:szCs w:val="21"/>
                <w:lang w:val="en-US" w:eastAsia="zh-CN"/>
              </w:rPr>
              <w:t>1</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6BBBBF48">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0.5</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1DDC841E">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-0.5</w:t>
            </w:r>
            <w:r>
              <w:rPr>
                <w:color w:val="auto"/>
                <w:sz w:val="21"/>
                <w:szCs w:val="21"/>
                <w:lang w:val="en-US" w:eastAsia="zh-CN"/>
              </w:rPr>
              <w:t>t/a</w:t>
            </w:r>
          </w:p>
        </w:tc>
      </w:tr>
      <w:tr w14:paraId="59D4E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0FED559A">
            <w:pPr>
              <w:pStyle w:val="73"/>
              <w:spacing w:line="240" w:lineRule="auto"/>
              <w:jc w:val="center"/>
              <w:rPr>
                <w:snapToGrid w:val="0"/>
                <w:color w:val="auto"/>
                <w:sz w:val="21"/>
                <w:szCs w:val="21"/>
                <w:lang w:val="en-US" w:eastAsia="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98773D2">
            <w:pPr>
              <w:pStyle w:val="73"/>
              <w:spacing w:line="240" w:lineRule="auto"/>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布袋收集粉尘</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49B23CD">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color w:val="auto"/>
                <w:sz w:val="21"/>
                <w:szCs w:val="21"/>
                <w:lang w:val="en-US" w:eastAsia="zh-CN"/>
              </w:rPr>
              <w:t>31</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6552EF2">
            <w:pPr>
              <w:pStyle w:val="73"/>
              <w:spacing w:line="240" w:lineRule="auto"/>
              <w:ind w:left="0" w:leftChars="0" w:firstLine="0" w:firstLineChars="0"/>
              <w:jc w:val="left"/>
              <w:rPr>
                <w:rFonts w:hint="eastAsia"/>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A2591D8">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5ACBB09">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116.73</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D2EB8B7">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color w:val="auto"/>
                <w:sz w:val="21"/>
                <w:szCs w:val="21"/>
                <w:lang w:val="en-US" w:eastAsia="zh-CN"/>
              </w:rPr>
              <w:t>31</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2C9FCD4D">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116.73</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0254644A">
            <w:pPr>
              <w:pStyle w:val="73"/>
              <w:spacing w:line="240" w:lineRule="auto"/>
              <w:ind w:left="0" w:leftChars="0" w:firstLine="0" w:firstLineChars="0"/>
              <w:jc w:val="center"/>
              <w:rPr>
                <w:rFonts w:hint="eastAsia"/>
                <w:color w:val="auto"/>
                <w:sz w:val="21"/>
                <w:szCs w:val="21"/>
                <w:lang w:val="en-US" w:eastAsia="zh-CN"/>
              </w:rPr>
            </w:pPr>
            <w:r>
              <w:rPr>
                <w:rFonts w:eastAsia="等线"/>
                <w:color w:val="auto"/>
                <w:sz w:val="21"/>
                <w:szCs w:val="21"/>
                <w:lang w:val="en-US" w:eastAsia="zh-CN"/>
              </w:rPr>
              <w:t>+</w:t>
            </w:r>
            <w:r>
              <w:rPr>
                <w:rFonts w:hint="eastAsia" w:eastAsia="等线"/>
                <w:color w:val="auto"/>
                <w:sz w:val="21"/>
                <w:szCs w:val="21"/>
                <w:lang w:val="en-US" w:eastAsia="zh-CN"/>
              </w:rPr>
              <w:t>85.73</w:t>
            </w:r>
            <w:r>
              <w:rPr>
                <w:color w:val="auto"/>
                <w:sz w:val="21"/>
                <w:szCs w:val="21"/>
                <w:lang w:val="en-US" w:eastAsia="zh-CN"/>
              </w:rPr>
              <w:t>t/a</w:t>
            </w:r>
          </w:p>
        </w:tc>
      </w:tr>
      <w:tr w14:paraId="4E2FE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108F12CE">
            <w:pPr>
              <w:pStyle w:val="73"/>
              <w:spacing w:line="240" w:lineRule="auto"/>
              <w:jc w:val="center"/>
              <w:rPr>
                <w:snapToGrid w:val="0"/>
                <w:color w:val="auto"/>
                <w:sz w:val="21"/>
                <w:szCs w:val="21"/>
                <w:lang w:val="en-US" w:eastAsia="zh-CN"/>
              </w:rPr>
            </w:pPr>
          </w:p>
        </w:tc>
        <w:tc>
          <w:tcPr>
            <w:tcW w:w="1417" w:type="dxa"/>
            <w:tcBorders>
              <w:top w:val="single" w:color="auto" w:sz="4" w:space="0"/>
              <w:bottom w:val="single" w:color="auto" w:sz="4" w:space="0"/>
            </w:tcBorders>
            <w:noWrap w:val="0"/>
            <w:vAlign w:val="center"/>
          </w:tcPr>
          <w:p w14:paraId="52BB3AE6">
            <w:pPr>
              <w:pStyle w:val="73"/>
              <w:spacing w:line="240" w:lineRule="auto"/>
              <w:ind w:left="0" w:leftChars="0" w:firstLine="0" w:firstLineChars="0"/>
              <w:jc w:val="center"/>
              <w:rPr>
                <w:rFonts w:hint="eastAsia"/>
                <w:color w:val="auto"/>
                <w:sz w:val="21"/>
                <w:szCs w:val="21"/>
                <w:lang w:val="en-US" w:eastAsia="zh-CN"/>
              </w:rPr>
            </w:pPr>
            <w:r>
              <w:rPr>
                <w:color w:val="auto"/>
                <w:sz w:val="21"/>
                <w:szCs w:val="21"/>
                <w:lang w:val="en-US" w:eastAsia="zh-CN"/>
              </w:rPr>
              <w:t>生活垃圾</w:t>
            </w:r>
          </w:p>
        </w:tc>
        <w:tc>
          <w:tcPr>
            <w:tcW w:w="1701" w:type="dxa"/>
            <w:tcBorders>
              <w:top w:val="single" w:color="auto" w:sz="4" w:space="0"/>
              <w:bottom w:val="single" w:color="auto" w:sz="4" w:space="0"/>
            </w:tcBorders>
            <w:noWrap w:val="0"/>
            <w:vAlign w:val="center"/>
          </w:tcPr>
          <w:p w14:paraId="3BEA2C3B">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color w:val="auto"/>
                <w:sz w:val="21"/>
                <w:szCs w:val="21"/>
                <w:lang w:val="en-US" w:eastAsia="zh-CN"/>
              </w:rPr>
              <w:t>45</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81626AE">
            <w:pPr>
              <w:pStyle w:val="73"/>
              <w:spacing w:line="240" w:lineRule="auto"/>
              <w:ind w:left="0" w:leftChars="0" w:firstLine="0" w:firstLineChars="0"/>
              <w:jc w:val="both"/>
              <w:rPr>
                <w:rFonts w:hint="eastAsia"/>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0E04F9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2074368">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21.12</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33DD463D">
            <w:pPr>
              <w:pStyle w:val="73"/>
              <w:spacing w:line="240" w:lineRule="auto"/>
              <w:ind w:left="0" w:leftChars="0" w:firstLine="0" w:firstLineChars="0"/>
              <w:jc w:val="center"/>
              <w:rPr>
                <w:rFonts w:hint="eastAsia"/>
                <w:snapToGrid w:val="0"/>
                <w:color w:val="auto"/>
                <w:sz w:val="21"/>
                <w:szCs w:val="21"/>
                <w:lang w:val="en-US" w:eastAsia="zh-CN"/>
              </w:rPr>
            </w:pPr>
            <w:r>
              <w:rPr>
                <w:rFonts w:hint="eastAsia"/>
                <w:color w:val="auto"/>
                <w:sz w:val="21"/>
                <w:szCs w:val="21"/>
                <w:lang w:val="en-US" w:eastAsia="zh-CN"/>
              </w:rPr>
              <w:t>45</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4DAE665F">
            <w:pPr>
              <w:pStyle w:val="73"/>
              <w:spacing w:line="240" w:lineRule="auto"/>
              <w:ind w:left="0" w:leftChars="0" w:firstLine="0" w:firstLineChars="0"/>
              <w:jc w:val="center"/>
              <w:rPr>
                <w:color w:val="auto"/>
                <w:sz w:val="21"/>
                <w:szCs w:val="21"/>
                <w:lang w:val="en-US" w:eastAsia="zh-CN"/>
              </w:rPr>
            </w:pPr>
            <w:r>
              <w:rPr>
                <w:rFonts w:hint="eastAsia"/>
                <w:color w:val="auto"/>
                <w:sz w:val="21"/>
                <w:szCs w:val="21"/>
                <w:lang w:val="en-US" w:eastAsia="zh-CN"/>
              </w:rPr>
              <w:t>21.12</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10AF3B6E">
            <w:pPr>
              <w:pStyle w:val="73"/>
              <w:spacing w:line="240" w:lineRule="auto"/>
              <w:ind w:left="0" w:leftChars="0" w:firstLine="0" w:firstLineChars="0"/>
              <w:jc w:val="center"/>
              <w:rPr>
                <w:rFonts w:hint="eastAsia"/>
                <w:color w:val="auto"/>
                <w:sz w:val="21"/>
                <w:szCs w:val="21"/>
                <w:lang w:val="en-US" w:eastAsia="zh-CN"/>
              </w:rPr>
            </w:pPr>
            <w:r>
              <w:rPr>
                <w:rFonts w:eastAsia="等线"/>
                <w:color w:val="auto"/>
                <w:sz w:val="21"/>
                <w:szCs w:val="21"/>
                <w:lang w:val="en-US" w:eastAsia="zh-CN"/>
              </w:rPr>
              <w:t>-</w:t>
            </w:r>
            <w:r>
              <w:rPr>
                <w:rFonts w:hint="eastAsia" w:eastAsia="等线"/>
                <w:color w:val="auto"/>
                <w:sz w:val="21"/>
                <w:szCs w:val="21"/>
                <w:lang w:val="en-US" w:eastAsia="zh-CN"/>
              </w:rPr>
              <w:t>23.88</w:t>
            </w:r>
            <w:r>
              <w:rPr>
                <w:color w:val="auto"/>
                <w:sz w:val="21"/>
                <w:szCs w:val="21"/>
                <w:lang w:val="en-US" w:eastAsia="zh-CN"/>
              </w:rPr>
              <w:t>t/a</w:t>
            </w:r>
          </w:p>
        </w:tc>
      </w:tr>
      <w:tr w14:paraId="14959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tcBorders>
              <w:top w:val="single" w:color="auto" w:sz="4" w:space="0"/>
              <w:left w:val="single" w:color="auto" w:sz="4" w:space="0"/>
              <w:bottom w:val="single" w:color="auto" w:sz="4" w:space="0"/>
              <w:right w:val="single" w:color="auto" w:sz="4" w:space="0"/>
            </w:tcBorders>
            <w:noWrap w:val="0"/>
            <w:vAlign w:val="center"/>
          </w:tcPr>
          <w:p w14:paraId="1191639B">
            <w:pPr>
              <w:pStyle w:val="73"/>
              <w:spacing w:line="240" w:lineRule="auto"/>
              <w:ind w:left="0" w:leftChars="0" w:firstLine="0" w:firstLineChars="0"/>
              <w:jc w:val="center"/>
              <w:rPr>
                <w:snapToGrid w:val="0"/>
                <w:color w:val="auto"/>
                <w:sz w:val="21"/>
                <w:szCs w:val="21"/>
                <w:lang w:val="en-US" w:eastAsia="zh-CN"/>
              </w:rPr>
            </w:pPr>
            <w:r>
              <w:rPr>
                <w:snapToGrid w:val="0"/>
                <w:color w:val="auto"/>
                <w:sz w:val="21"/>
                <w:szCs w:val="21"/>
                <w:lang w:val="en-US" w:eastAsia="zh-CN"/>
              </w:rPr>
              <w:t>危险废物</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E4A9505">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废机油</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5DAF85F">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snapToGrid w:val="0"/>
                <w:color w:val="auto"/>
                <w:sz w:val="21"/>
                <w:szCs w:val="21"/>
                <w:lang w:val="en-US" w:eastAsia="zh-CN"/>
              </w:rPr>
            </w:pPr>
            <w:r>
              <w:rPr>
                <w:rFonts w:hint="eastAsia"/>
                <w:color w:val="auto"/>
                <w:sz w:val="21"/>
                <w:szCs w:val="21"/>
                <w:lang w:val="en-US" w:eastAsia="zh-CN"/>
              </w:rPr>
              <w:t>1</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FD0D8C">
            <w:pPr>
              <w:pStyle w:val="73"/>
              <w:spacing w:line="240" w:lineRule="auto"/>
              <w:ind w:left="0" w:leftChars="0" w:firstLine="0" w:firstLineChars="0"/>
              <w:jc w:val="both"/>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52C5CF3">
            <w:pPr>
              <w:pStyle w:val="7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27999CC">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1</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12CD2333">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1</w:t>
            </w:r>
            <w:r>
              <w:rPr>
                <w:color w:val="auto"/>
                <w:sz w:val="21"/>
                <w:szCs w:val="21"/>
                <w:lang w:val="en-US" w:eastAsia="zh-CN"/>
              </w:rPr>
              <w:t>t/a</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0038297">
            <w:pPr>
              <w:pStyle w:val="73"/>
              <w:spacing w:line="240" w:lineRule="auto"/>
              <w:ind w:left="0" w:leftChars="0" w:firstLine="0" w:firstLineChars="0"/>
              <w:jc w:val="center"/>
              <w:rPr>
                <w:snapToGrid w:val="0"/>
                <w:color w:val="auto"/>
                <w:sz w:val="21"/>
                <w:szCs w:val="21"/>
                <w:lang w:val="en-US" w:eastAsia="zh-CN"/>
              </w:rPr>
            </w:pPr>
            <w:r>
              <w:rPr>
                <w:rFonts w:hint="eastAsia"/>
                <w:snapToGrid w:val="0"/>
                <w:color w:val="auto"/>
                <w:sz w:val="21"/>
                <w:szCs w:val="21"/>
                <w:lang w:val="en-US" w:eastAsia="zh-CN"/>
              </w:rPr>
              <w:t>1</w:t>
            </w:r>
            <w:r>
              <w:rPr>
                <w:color w:val="auto"/>
                <w:sz w:val="21"/>
                <w:szCs w:val="21"/>
                <w:lang w:val="en-US" w:eastAsia="zh-CN"/>
              </w:rPr>
              <w:t>t/a</w:t>
            </w:r>
          </w:p>
        </w:tc>
        <w:tc>
          <w:tcPr>
            <w:tcW w:w="1383" w:type="dxa"/>
            <w:tcBorders>
              <w:top w:val="single" w:color="auto" w:sz="4" w:space="0"/>
              <w:left w:val="nil"/>
              <w:bottom w:val="single" w:color="auto" w:sz="4" w:space="0"/>
              <w:right w:val="single" w:color="auto" w:sz="4" w:space="0"/>
            </w:tcBorders>
            <w:noWrap w:val="0"/>
            <w:vAlign w:val="center"/>
          </w:tcPr>
          <w:p w14:paraId="4BBDDC66">
            <w:pPr>
              <w:pStyle w:val="73"/>
              <w:spacing w:line="240" w:lineRule="auto"/>
              <w:ind w:left="0" w:leftChars="0" w:firstLine="0" w:firstLineChars="0"/>
              <w:jc w:val="center"/>
              <w:rPr>
                <w:snapToGrid w:val="0"/>
                <w:color w:val="auto"/>
                <w:sz w:val="21"/>
                <w:szCs w:val="21"/>
                <w:lang w:val="en-US" w:eastAsia="zh-CN"/>
              </w:rPr>
            </w:pPr>
            <w:r>
              <w:rPr>
                <w:rFonts w:eastAsia="等线"/>
                <w:color w:val="auto"/>
                <w:sz w:val="21"/>
                <w:szCs w:val="21"/>
                <w:lang w:val="en-US" w:eastAsia="zh-CN"/>
              </w:rPr>
              <w:t>+</w:t>
            </w:r>
            <w:r>
              <w:rPr>
                <w:rFonts w:hint="eastAsia" w:eastAsia="等线"/>
                <w:color w:val="auto"/>
                <w:sz w:val="21"/>
                <w:szCs w:val="21"/>
                <w:lang w:val="en-US" w:eastAsia="zh-CN"/>
              </w:rPr>
              <w:t>0</w:t>
            </w:r>
            <w:r>
              <w:rPr>
                <w:color w:val="auto"/>
                <w:sz w:val="21"/>
                <w:szCs w:val="21"/>
                <w:lang w:val="en-US" w:eastAsia="zh-CN"/>
              </w:rPr>
              <w:t>t/a</w:t>
            </w:r>
          </w:p>
        </w:tc>
      </w:tr>
      <w:tr w14:paraId="00B55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05A05279">
            <w:pPr>
              <w:pStyle w:val="73"/>
              <w:spacing w:line="240" w:lineRule="auto"/>
              <w:rPr>
                <w:snapToGrid w:val="0"/>
                <w:color w:val="auto"/>
                <w:sz w:val="21"/>
                <w:szCs w:val="21"/>
                <w:lang w:val="en-US" w:eastAsia="zh-CN"/>
              </w:rPr>
            </w:pPr>
          </w:p>
        </w:tc>
        <w:tc>
          <w:tcPr>
            <w:tcW w:w="1417" w:type="dxa"/>
            <w:tcBorders>
              <w:top w:val="single" w:color="auto" w:sz="4" w:space="0"/>
              <w:bottom w:val="single" w:color="auto" w:sz="4" w:space="0"/>
            </w:tcBorders>
            <w:noWrap w:val="0"/>
            <w:vAlign w:val="center"/>
          </w:tcPr>
          <w:p w14:paraId="4A345EB4">
            <w:pPr>
              <w:pStyle w:val="73"/>
              <w:spacing w:line="240" w:lineRule="auto"/>
              <w:ind w:left="0" w:leftChars="0" w:firstLine="0" w:firstLineChars="0"/>
              <w:jc w:val="center"/>
              <w:rPr>
                <w:rFonts w:hint="eastAsia"/>
                <w:color w:val="auto"/>
                <w:sz w:val="21"/>
                <w:szCs w:val="21"/>
                <w:lang w:val="en-US" w:eastAsia="zh-CN" w:bidi="ar"/>
              </w:rPr>
            </w:pPr>
            <w:r>
              <w:rPr>
                <w:rFonts w:hint="eastAsia"/>
                <w:color w:val="auto"/>
                <w:sz w:val="21"/>
                <w:szCs w:val="21"/>
                <w:lang w:val="en-US" w:eastAsia="zh-CN"/>
              </w:rPr>
              <w:t>废油桶</w:t>
            </w:r>
          </w:p>
        </w:tc>
        <w:tc>
          <w:tcPr>
            <w:tcW w:w="1701" w:type="dxa"/>
            <w:tcBorders>
              <w:top w:val="single" w:color="auto" w:sz="4" w:space="0"/>
              <w:bottom w:val="single" w:color="auto" w:sz="4" w:space="0"/>
            </w:tcBorders>
            <w:noWrap w:val="0"/>
            <w:vAlign w:val="center"/>
          </w:tcPr>
          <w:p w14:paraId="13F03000">
            <w:pPr>
              <w:pStyle w:val="73"/>
              <w:spacing w:line="240" w:lineRule="auto"/>
              <w:ind w:left="0" w:leftChars="0" w:firstLine="0" w:firstLineChars="0"/>
              <w:jc w:val="center"/>
              <w:rPr>
                <w:rFonts w:hint="eastAsia"/>
                <w:snapToGrid w:val="0"/>
                <w:color w:val="auto"/>
                <w:sz w:val="21"/>
                <w:szCs w:val="21"/>
                <w:lang w:val="en-US" w:eastAsia="zh-CN"/>
              </w:rPr>
            </w:pPr>
            <w:r>
              <w:rPr>
                <w:rFonts w:hint="eastAsia"/>
                <w:color w:val="auto"/>
                <w:sz w:val="21"/>
                <w:szCs w:val="21"/>
                <w:lang w:val="en-US" w:eastAsia="zh-CN"/>
              </w:rPr>
              <w:t>0.03</w:t>
            </w:r>
            <w:r>
              <w:rPr>
                <w:color w:val="auto"/>
                <w:sz w:val="21"/>
                <w:szCs w:val="21"/>
                <w:lang w:val="en-US" w:eastAsia="zh-CN"/>
              </w:rPr>
              <w:t>t/a</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07E4211">
            <w:pPr>
              <w:pStyle w:val="73"/>
              <w:spacing w:line="240" w:lineRule="auto"/>
              <w:ind w:left="0" w:leftChars="0" w:firstLine="0" w:firstLineChars="0"/>
              <w:jc w:val="both"/>
              <w:rPr>
                <w:rFonts w:hint="eastAsia"/>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AC4A473">
            <w:pPr>
              <w:pStyle w:val="73"/>
              <w:spacing w:line="240" w:lineRule="auto"/>
              <w:jc w:val="center"/>
              <w:rPr>
                <w:rFonts w:hint="eastAsia"/>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A1536ED">
            <w:pPr>
              <w:pStyle w:val="73"/>
              <w:spacing w:line="240" w:lineRule="auto"/>
              <w:ind w:left="0" w:leftChars="0" w:firstLine="0" w:firstLineChars="0"/>
              <w:jc w:val="center"/>
              <w:rPr>
                <w:color w:val="auto"/>
                <w:sz w:val="21"/>
                <w:szCs w:val="21"/>
                <w:lang w:val="en-US" w:eastAsia="zh-CN"/>
              </w:rPr>
            </w:pPr>
            <w:r>
              <w:rPr>
                <w:rFonts w:hint="eastAsia"/>
                <w:snapToGrid w:val="0"/>
                <w:color w:val="auto"/>
                <w:sz w:val="21"/>
                <w:szCs w:val="21"/>
                <w:lang w:val="en-US" w:eastAsia="zh-CN"/>
              </w:rPr>
              <w:t>0</w:t>
            </w:r>
            <w:r>
              <w:rPr>
                <w:snapToGrid w:val="0"/>
                <w:color w:val="auto"/>
                <w:sz w:val="21"/>
                <w:szCs w:val="21"/>
                <w:lang w:val="en-US" w:eastAsia="zh-CN"/>
              </w:rPr>
              <w:t>.0</w:t>
            </w:r>
            <w:r>
              <w:rPr>
                <w:rFonts w:hint="eastAsia"/>
                <w:snapToGrid w:val="0"/>
                <w:color w:val="auto"/>
                <w:sz w:val="21"/>
                <w:szCs w:val="21"/>
                <w:lang w:val="en-US" w:eastAsia="zh-CN"/>
              </w:rPr>
              <w:t>3</w:t>
            </w:r>
            <w:r>
              <w:rPr>
                <w:color w:val="auto"/>
                <w:sz w:val="21"/>
                <w:szCs w:val="21"/>
                <w:lang w:val="en-US" w:eastAsia="zh-CN"/>
              </w:rPr>
              <w:t>t/a</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7FCC8D4">
            <w:pPr>
              <w:pStyle w:val="73"/>
              <w:spacing w:line="240" w:lineRule="auto"/>
              <w:ind w:left="0" w:leftChars="0" w:firstLine="0" w:firstLineChars="0"/>
              <w:jc w:val="center"/>
              <w:rPr>
                <w:rFonts w:hint="default"/>
                <w:snapToGrid w:val="0"/>
                <w:color w:val="auto"/>
                <w:sz w:val="21"/>
                <w:szCs w:val="21"/>
                <w:lang w:val="en-US" w:eastAsia="zh-CN"/>
              </w:rPr>
            </w:pPr>
            <w:r>
              <w:rPr>
                <w:rFonts w:hint="eastAsia"/>
                <w:color w:val="auto"/>
                <w:sz w:val="21"/>
                <w:szCs w:val="21"/>
                <w:lang w:val="en-US" w:eastAsia="zh-CN"/>
              </w:rPr>
              <w:t>0.03</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977C6DB">
            <w:pPr>
              <w:pStyle w:val="73"/>
              <w:spacing w:line="240" w:lineRule="auto"/>
              <w:ind w:left="0" w:leftChars="0" w:firstLine="0" w:firstLineChars="0"/>
              <w:jc w:val="center"/>
              <w:rPr>
                <w:color w:val="auto"/>
                <w:sz w:val="21"/>
                <w:szCs w:val="21"/>
                <w:lang w:val="en-US" w:eastAsia="zh-CN"/>
              </w:rPr>
            </w:pPr>
            <w:r>
              <w:rPr>
                <w:rFonts w:hint="eastAsia"/>
                <w:snapToGrid w:val="0"/>
                <w:color w:val="auto"/>
                <w:sz w:val="21"/>
                <w:szCs w:val="21"/>
                <w:lang w:val="en-US" w:eastAsia="zh-CN"/>
              </w:rPr>
              <w:t>0</w:t>
            </w:r>
            <w:r>
              <w:rPr>
                <w:snapToGrid w:val="0"/>
                <w:color w:val="auto"/>
                <w:sz w:val="21"/>
                <w:szCs w:val="21"/>
                <w:lang w:val="en-US" w:eastAsia="zh-CN"/>
              </w:rPr>
              <w:t>.0</w:t>
            </w:r>
            <w:r>
              <w:rPr>
                <w:rFonts w:hint="eastAsia"/>
                <w:snapToGrid w:val="0"/>
                <w:color w:val="auto"/>
                <w:sz w:val="21"/>
                <w:szCs w:val="21"/>
                <w:lang w:val="en-US" w:eastAsia="zh-CN"/>
              </w:rPr>
              <w:t>3</w:t>
            </w:r>
            <w:r>
              <w:rPr>
                <w:color w:val="auto"/>
                <w:sz w:val="21"/>
                <w:szCs w:val="21"/>
                <w:lang w:val="en-US" w:eastAsia="zh-CN"/>
              </w:rPr>
              <w:t xml:space="preserve"> t/a</w:t>
            </w:r>
          </w:p>
        </w:tc>
        <w:tc>
          <w:tcPr>
            <w:tcW w:w="1383" w:type="dxa"/>
            <w:tcBorders>
              <w:top w:val="single" w:color="auto" w:sz="4" w:space="0"/>
              <w:left w:val="nil"/>
              <w:bottom w:val="single" w:color="auto" w:sz="4" w:space="0"/>
              <w:right w:val="single" w:color="auto" w:sz="4" w:space="0"/>
            </w:tcBorders>
            <w:noWrap w:val="0"/>
            <w:vAlign w:val="center"/>
          </w:tcPr>
          <w:p w14:paraId="3FC1D5FE">
            <w:pPr>
              <w:pStyle w:val="73"/>
              <w:spacing w:line="240" w:lineRule="auto"/>
              <w:ind w:left="0" w:leftChars="0" w:firstLine="0" w:firstLineChars="0"/>
              <w:jc w:val="center"/>
              <w:rPr>
                <w:rFonts w:hint="eastAsia" w:ascii="Times New Roman" w:hAnsi="Times New Roman" w:cs="Times New Roman"/>
                <w:snapToGrid w:val="0"/>
                <w:color w:val="auto"/>
                <w:kern w:val="0"/>
                <w:sz w:val="21"/>
                <w:szCs w:val="21"/>
                <w:lang w:val="en-US" w:eastAsia="zh-CN" w:bidi="ar-SA"/>
              </w:rPr>
            </w:pPr>
            <w:r>
              <w:rPr>
                <w:rFonts w:eastAsia="等线"/>
                <w:color w:val="auto"/>
                <w:sz w:val="21"/>
                <w:szCs w:val="21"/>
                <w:lang w:val="en-US" w:eastAsia="zh-CN"/>
              </w:rPr>
              <w:t>+0</w:t>
            </w:r>
            <w:r>
              <w:rPr>
                <w:color w:val="auto"/>
                <w:sz w:val="21"/>
                <w:szCs w:val="21"/>
                <w:lang w:val="en-US" w:eastAsia="zh-CN"/>
              </w:rPr>
              <w:t>t/a</w:t>
            </w:r>
          </w:p>
        </w:tc>
      </w:tr>
      <w:tr w14:paraId="67E4A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14:paraId="57A73D3B">
            <w:pPr>
              <w:pStyle w:val="73"/>
              <w:spacing w:line="240" w:lineRule="auto"/>
              <w:rPr>
                <w:snapToGrid w:val="0"/>
                <w:color w:val="auto"/>
                <w:sz w:val="21"/>
                <w:szCs w:val="21"/>
                <w:lang w:val="en-US" w:eastAsia="zh-CN"/>
              </w:rPr>
            </w:pPr>
          </w:p>
        </w:tc>
        <w:tc>
          <w:tcPr>
            <w:tcW w:w="1417" w:type="dxa"/>
            <w:tcBorders>
              <w:top w:val="single" w:color="auto" w:sz="4" w:space="0"/>
              <w:bottom w:val="single" w:color="auto" w:sz="4" w:space="0"/>
            </w:tcBorders>
            <w:noWrap w:val="0"/>
            <w:vAlign w:val="center"/>
          </w:tcPr>
          <w:p w14:paraId="3AD0F393">
            <w:pPr>
              <w:pStyle w:val="73"/>
              <w:spacing w:line="240" w:lineRule="auto"/>
              <w:ind w:left="0" w:leftChars="0" w:firstLine="0" w:firstLineChars="0"/>
              <w:jc w:val="center"/>
              <w:rPr>
                <w:color w:val="auto"/>
                <w:sz w:val="21"/>
                <w:szCs w:val="21"/>
                <w:lang w:val="en-US" w:eastAsia="zh-CN"/>
              </w:rPr>
            </w:pPr>
            <w:r>
              <w:rPr>
                <w:color w:val="auto"/>
                <w:sz w:val="21"/>
                <w:szCs w:val="21"/>
                <w:lang w:val="en-US" w:eastAsia="zh-CN"/>
              </w:rPr>
              <w:t>废</w:t>
            </w:r>
            <w:r>
              <w:rPr>
                <w:rFonts w:hint="eastAsia"/>
                <w:color w:val="auto"/>
                <w:sz w:val="21"/>
                <w:szCs w:val="21"/>
                <w:lang w:val="en-US" w:eastAsia="zh-CN"/>
              </w:rPr>
              <w:t>催化剂</w:t>
            </w:r>
          </w:p>
        </w:tc>
        <w:tc>
          <w:tcPr>
            <w:tcW w:w="1701" w:type="dxa"/>
            <w:tcBorders>
              <w:top w:val="single" w:color="auto" w:sz="4" w:space="0"/>
              <w:bottom w:val="single" w:color="auto" w:sz="4" w:space="0"/>
            </w:tcBorders>
            <w:noWrap w:val="0"/>
            <w:vAlign w:val="center"/>
          </w:tcPr>
          <w:p w14:paraId="42BDD6CE">
            <w:pPr>
              <w:pStyle w:val="73"/>
              <w:spacing w:line="240" w:lineRule="auto"/>
              <w:ind w:left="0" w:leftChars="0" w:firstLine="0" w:firstLineChars="0"/>
              <w:jc w:val="center"/>
              <w:rPr>
                <w:snapToGrid w:val="0"/>
                <w:color w:val="auto"/>
                <w:sz w:val="21"/>
                <w:szCs w:val="21"/>
                <w:lang w:val="en-US" w:eastAsia="zh-CN"/>
              </w:rPr>
            </w:pPr>
            <w:r>
              <w:rPr>
                <w:rFonts w:hint="eastAsia"/>
                <w:color w:val="auto"/>
                <w:sz w:val="21"/>
                <w:szCs w:val="21"/>
                <w:lang w:val="en-US" w:eastAsia="zh-CN"/>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FCA085">
            <w:pPr>
              <w:pStyle w:val="73"/>
              <w:spacing w:line="240" w:lineRule="auto"/>
              <w:ind w:left="0" w:leftChars="0" w:firstLine="0" w:firstLineChars="0"/>
              <w:jc w:val="center"/>
              <w:rPr>
                <w:snapToGrid w:val="0"/>
                <w:color w:val="auto"/>
                <w:sz w:val="21"/>
                <w:szCs w:val="21"/>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042CEF3">
            <w:pPr>
              <w:pStyle w:val="73"/>
              <w:spacing w:line="240" w:lineRule="auto"/>
              <w:jc w:val="center"/>
              <w:rPr>
                <w:snapToGrid w:val="0"/>
                <w:color w:val="auto"/>
                <w:sz w:val="21"/>
                <w:szCs w:val="21"/>
                <w:lang w:val="en-US" w:eastAsia="zh-CN"/>
              </w:rPr>
            </w:pPr>
            <w:r>
              <w:rPr>
                <w:rFonts w:hint="eastAsia"/>
                <w:snapToGrid w:val="0"/>
                <w:color w:val="auto"/>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4FDC7C8">
            <w:pPr>
              <w:pStyle w:val="73"/>
              <w:spacing w:line="240" w:lineRule="auto"/>
              <w:ind w:left="0" w:leftChars="0" w:firstLine="0" w:firstLineChars="0"/>
              <w:jc w:val="center"/>
              <w:rPr>
                <w:rFonts w:hint="default"/>
                <w:color w:val="auto"/>
                <w:sz w:val="21"/>
                <w:szCs w:val="21"/>
                <w:lang w:val="en-US" w:eastAsia="zh-CN"/>
              </w:rPr>
            </w:pPr>
            <w:r>
              <w:rPr>
                <w:rFonts w:hint="eastAsia"/>
                <w:snapToGrid w:val="0"/>
                <w:color w:val="auto"/>
                <w:sz w:val="21"/>
                <w:szCs w:val="21"/>
                <w:lang w:val="en-US" w:eastAsia="zh-CN"/>
              </w:rPr>
              <w:t>800条</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1925A594">
            <w:pPr>
              <w:pStyle w:val="73"/>
              <w:spacing w:line="240" w:lineRule="auto"/>
              <w:ind w:left="0" w:leftChars="0" w:firstLine="0" w:firstLineChars="0"/>
              <w:jc w:val="center"/>
              <w:rPr>
                <w:rFonts w:hint="default"/>
                <w:snapToGrid w:val="0"/>
                <w:color w:val="auto"/>
                <w:sz w:val="21"/>
                <w:szCs w:val="21"/>
                <w:lang w:val="en-US" w:eastAsia="zh-CN"/>
              </w:rPr>
            </w:pPr>
            <w:r>
              <w:rPr>
                <w:rFonts w:hint="eastAsia"/>
                <w:snapToGrid w:val="0"/>
                <w:color w:val="auto"/>
                <w:sz w:val="21"/>
                <w:szCs w:val="21"/>
                <w:lang w:val="en-US" w:eastAsia="zh-CN"/>
              </w:rPr>
              <w:t>0</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0397FED5">
            <w:pPr>
              <w:pStyle w:val="73"/>
              <w:spacing w:line="240" w:lineRule="auto"/>
              <w:ind w:left="0" w:leftChars="0" w:firstLine="0" w:firstLineChars="0"/>
              <w:jc w:val="center"/>
              <w:rPr>
                <w:color w:val="auto"/>
                <w:sz w:val="21"/>
                <w:szCs w:val="21"/>
                <w:lang w:val="en-US" w:eastAsia="zh-CN"/>
              </w:rPr>
            </w:pPr>
            <w:r>
              <w:rPr>
                <w:rFonts w:hint="eastAsia"/>
                <w:snapToGrid w:val="0"/>
                <w:color w:val="auto"/>
                <w:sz w:val="21"/>
                <w:szCs w:val="21"/>
                <w:lang w:val="en-US" w:eastAsia="zh-CN"/>
              </w:rPr>
              <w:t>800条</w:t>
            </w:r>
          </w:p>
        </w:tc>
        <w:tc>
          <w:tcPr>
            <w:tcW w:w="1383" w:type="dxa"/>
            <w:tcBorders>
              <w:top w:val="single" w:color="auto" w:sz="4" w:space="0"/>
              <w:left w:val="nil"/>
              <w:bottom w:val="single" w:color="auto" w:sz="4" w:space="0"/>
              <w:right w:val="single" w:color="auto" w:sz="4" w:space="0"/>
            </w:tcBorders>
            <w:noWrap w:val="0"/>
            <w:vAlign w:val="center"/>
          </w:tcPr>
          <w:p w14:paraId="7AA7EFA3">
            <w:pPr>
              <w:pStyle w:val="73"/>
              <w:spacing w:line="240" w:lineRule="auto"/>
              <w:ind w:left="0" w:leftChars="0" w:firstLine="0" w:firstLineChars="0"/>
              <w:jc w:val="center"/>
              <w:rPr>
                <w:color w:val="auto"/>
                <w:sz w:val="21"/>
                <w:szCs w:val="21"/>
                <w:lang w:val="en-US" w:eastAsia="zh-CN"/>
              </w:rPr>
            </w:pPr>
            <w:r>
              <w:rPr>
                <w:rFonts w:hint="eastAsia"/>
                <w:snapToGrid w:val="0"/>
                <w:color w:val="auto"/>
                <w:sz w:val="21"/>
                <w:szCs w:val="21"/>
                <w:lang w:val="en-US" w:eastAsia="zh-CN"/>
              </w:rPr>
              <w:t>+800条</w:t>
            </w:r>
          </w:p>
        </w:tc>
      </w:tr>
    </w:tbl>
    <w:p w14:paraId="244EBEB3">
      <w:pPr>
        <w:pStyle w:val="73"/>
        <w:jc w:val="left"/>
        <w:rPr>
          <w:rFonts w:hint="eastAsia"/>
          <w:snapToGrid w:val="0"/>
          <w:color w:val="auto"/>
        </w:rPr>
      </w:pPr>
      <w:r>
        <w:rPr>
          <w:snapToGrid w:val="0"/>
          <w:color w:val="auto"/>
        </w:rPr>
        <w:t>注：</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color w:val="auto"/>
        </w:rPr>
        <w:t>①</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color w:val="auto"/>
        </w:rPr>
        <w:t>③</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color w:val="auto"/>
        </w:rPr>
        <w:t>④</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5 \* GB3 \* MERGEFORMAT </w:instrText>
      </w:r>
      <w:r>
        <w:rPr>
          <w:snapToGrid w:val="0"/>
          <w:color w:val="auto"/>
          <w:spacing w:val="-16"/>
        </w:rPr>
        <w:fldChar w:fldCharType="separate"/>
      </w:r>
      <w:r>
        <w:rPr>
          <w:rFonts w:hint="eastAsia"/>
          <w:color w:val="auto"/>
        </w:rPr>
        <w:t>⑤</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color w:val="auto"/>
        </w:rPr>
        <w:t>⑦</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color w:val="auto"/>
        </w:rPr>
        <w:t>①</w:t>
      </w:r>
      <w:r>
        <w:rPr>
          <w:snapToGrid w:val="0"/>
          <w:color w:val="auto"/>
        </w:rPr>
        <w:fldChar w:fldCharType="end"/>
      </w:r>
    </w:p>
    <w:p w14:paraId="7122D541">
      <w:pPr>
        <w:spacing w:line="360" w:lineRule="auto"/>
        <w:jc w:val="center"/>
        <w:outlineLvl w:val="0"/>
        <w:rPr>
          <w:rFonts w:hint="eastAsia"/>
          <w:color w:val="auto"/>
          <w:sz w:val="24"/>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34DC6605">
      <w:pPr>
        <w:pStyle w:val="30"/>
        <w:jc w:val="center"/>
        <w:outlineLvl w:val="0"/>
        <w:rPr>
          <w:rFonts w:ascii="黑体" w:hAnsi="黑体" w:eastAsia="黑体"/>
          <w:snapToGrid w:val="0"/>
          <w:color w:val="auto"/>
          <w:szCs w:val="24"/>
        </w:rPr>
      </w:pPr>
      <w:r>
        <w:rPr>
          <w:rFonts w:hint="eastAsia" w:ascii="黑体" w:hAnsi="黑体" w:eastAsia="黑体"/>
          <w:snapToGrid w:val="0"/>
          <w:color w:val="auto"/>
          <w:sz w:val="30"/>
          <w:szCs w:val="30"/>
        </w:rPr>
        <w:t>七、风险评价专章</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ACA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7" w:hRule="atLeast"/>
        </w:trPr>
        <w:tc>
          <w:tcPr>
            <w:tcW w:w="9060" w:type="dxa"/>
            <w:noWrap w:val="0"/>
            <w:vAlign w:val="top"/>
          </w:tcPr>
          <w:p w14:paraId="7EC3955D">
            <w:pPr>
              <w:pStyle w:val="139"/>
              <w:ind w:firstLine="422"/>
              <w:jc w:val="left"/>
              <w:rPr>
                <w:rFonts w:hint="eastAsia"/>
                <w:b/>
                <w:color w:val="auto"/>
                <w:sz w:val="21"/>
                <w:szCs w:val="21"/>
              </w:rPr>
            </w:pPr>
            <w:bookmarkStart w:id="26" w:name="_Toc83915576"/>
            <w:r>
              <w:rPr>
                <w:rFonts w:hint="eastAsia"/>
                <w:b/>
                <w:color w:val="auto"/>
                <w:sz w:val="21"/>
                <w:szCs w:val="21"/>
              </w:rPr>
              <w:t>1、评价</w:t>
            </w:r>
            <w:bookmarkEnd w:id="26"/>
            <w:r>
              <w:rPr>
                <w:rFonts w:hint="eastAsia"/>
                <w:b/>
                <w:color w:val="auto"/>
                <w:sz w:val="21"/>
                <w:szCs w:val="21"/>
              </w:rPr>
              <w:t>原则</w:t>
            </w:r>
          </w:p>
          <w:p w14:paraId="20C3A2C6">
            <w:pPr>
              <w:pStyle w:val="140"/>
              <w:ind w:firstLine="420"/>
              <w:rPr>
                <w:rFonts w:hint="eastAsia" w:cs="宋体"/>
                <w:color w:val="auto"/>
                <w:sz w:val="21"/>
                <w:szCs w:val="21"/>
              </w:rPr>
            </w:pPr>
            <w:r>
              <w:rPr>
                <w:rFonts w:hint="eastAsia" w:cs="宋体"/>
                <w:color w:val="auto"/>
                <w:sz w:val="21"/>
                <w:szCs w:val="21"/>
              </w:rPr>
              <w:t>按照《建设项目环境风险评价技术导则》</w:t>
            </w:r>
            <w:r>
              <w:rPr>
                <w:color w:val="auto"/>
                <w:sz w:val="21"/>
                <w:szCs w:val="21"/>
              </w:rPr>
              <w:t>（HJ169-2018）</w:t>
            </w:r>
            <w:r>
              <w:rPr>
                <w:rFonts w:hint="eastAsia" w:cs="宋体"/>
                <w:color w:val="auto"/>
                <w:sz w:val="21"/>
                <w:szCs w:val="21"/>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2205CAA6">
            <w:pPr>
              <w:pStyle w:val="140"/>
              <w:rPr>
                <w:rFonts w:hint="eastAsia" w:cs="宋体"/>
                <w:b/>
                <w:color w:val="auto"/>
                <w:sz w:val="21"/>
                <w:szCs w:val="21"/>
              </w:rPr>
            </w:pPr>
            <w:r>
              <w:rPr>
                <w:color w:val="auto"/>
              </w:rPr>
              <w:drawing>
                <wp:anchor distT="0" distB="0" distL="114300" distR="114300" simplePos="0" relativeHeight="251704320" behindDoc="0" locked="0" layoutInCell="1" allowOverlap="1">
                  <wp:simplePos x="0" y="0"/>
                  <wp:positionH relativeFrom="column">
                    <wp:posOffset>995680</wp:posOffset>
                  </wp:positionH>
                  <wp:positionV relativeFrom="paragraph">
                    <wp:posOffset>173355</wp:posOffset>
                  </wp:positionV>
                  <wp:extent cx="3990975" cy="4796790"/>
                  <wp:effectExtent l="0" t="0" r="1905" b="3810"/>
                  <wp:wrapNone/>
                  <wp:docPr id="44" name="图片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61"/>
                          <pic:cNvPicPr>
                            <a:picLocks noChangeAspect="1"/>
                          </pic:cNvPicPr>
                        </pic:nvPicPr>
                        <pic:blipFill>
                          <a:blip r:embed="rId16"/>
                          <a:stretch>
                            <a:fillRect/>
                          </a:stretch>
                        </pic:blipFill>
                        <pic:spPr>
                          <a:xfrm>
                            <a:off x="0" y="0"/>
                            <a:ext cx="3990975" cy="4796790"/>
                          </a:xfrm>
                          <a:prstGeom prst="rect">
                            <a:avLst/>
                          </a:prstGeom>
                          <a:noFill/>
                          <a:ln>
                            <a:noFill/>
                          </a:ln>
                        </pic:spPr>
                      </pic:pic>
                    </a:graphicData>
                  </a:graphic>
                </wp:anchor>
              </w:drawing>
            </w:r>
            <w:r>
              <w:rPr>
                <w:rFonts w:hint="eastAsia" w:cs="宋体"/>
                <w:b/>
                <w:color w:val="auto"/>
                <w:sz w:val="21"/>
                <w:szCs w:val="21"/>
              </w:rPr>
              <w:t>2、评价的工作程序</w:t>
            </w:r>
          </w:p>
          <w:p w14:paraId="24CAB082">
            <w:pPr>
              <w:pStyle w:val="140"/>
              <w:ind w:firstLine="420"/>
              <w:rPr>
                <w:rFonts w:hint="eastAsia" w:cs="宋体"/>
                <w:color w:val="auto"/>
                <w:sz w:val="21"/>
                <w:szCs w:val="21"/>
              </w:rPr>
            </w:pPr>
          </w:p>
          <w:p w14:paraId="79F3E1E1">
            <w:pPr>
              <w:pStyle w:val="140"/>
              <w:ind w:firstLine="420"/>
              <w:rPr>
                <w:rFonts w:hint="eastAsia" w:cs="宋体"/>
                <w:color w:val="auto"/>
                <w:sz w:val="21"/>
                <w:szCs w:val="21"/>
              </w:rPr>
            </w:pPr>
          </w:p>
          <w:p w14:paraId="1207B9D7">
            <w:pPr>
              <w:pStyle w:val="140"/>
              <w:ind w:firstLine="420"/>
              <w:rPr>
                <w:rFonts w:hint="eastAsia" w:cs="宋体"/>
                <w:color w:val="auto"/>
                <w:sz w:val="21"/>
                <w:szCs w:val="21"/>
              </w:rPr>
            </w:pPr>
          </w:p>
          <w:p w14:paraId="0E5C4573">
            <w:pPr>
              <w:pStyle w:val="140"/>
              <w:ind w:firstLine="420"/>
              <w:rPr>
                <w:rFonts w:hint="eastAsia" w:cs="宋体"/>
                <w:color w:val="auto"/>
                <w:sz w:val="21"/>
                <w:szCs w:val="21"/>
              </w:rPr>
            </w:pPr>
          </w:p>
          <w:p w14:paraId="6CCC4968">
            <w:pPr>
              <w:pStyle w:val="140"/>
              <w:ind w:firstLine="420"/>
              <w:rPr>
                <w:rFonts w:hint="eastAsia" w:cs="宋体"/>
                <w:color w:val="auto"/>
                <w:sz w:val="21"/>
                <w:szCs w:val="21"/>
              </w:rPr>
            </w:pPr>
          </w:p>
          <w:p w14:paraId="54937E95">
            <w:pPr>
              <w:pStyle w:val="140"/>
              <w:ind w:firstLine="420"/>
              <w:rPr>
                <w:rFonts w:hint="eastAsia" w:cs="宋体"/>
                <w:color w:val="auto"/>
                <w:sz w:val="21"/>
                <w:szCs w:val="21"/>
              </w:rPr>
            </w:pPr>
          </w:p>
          <w:p w14:paraId="66174ED4">
            <w:pPr>
              <w:pStyle w:val="140"/>
              <w:ind w:firstLine="420"/>
              <w:rPr>
                <w:rFonts w:hint="eastAsia" w:cs="宋体"/>
                <w:color w:val="auto"/>
                <w:sz w:val="21"/>
                <w:szCs w:val="21"/>
              </w:rPr>
            </w:pPr>
          </w:p>
          <w:p w14:paraId="2D06C034">
            <w:pPr>
              <w:pStyle w:val="140"/>
              <w:ind w:firstLine="420"/>
              <w:rPr>
                <w:rFonts w:hint="eastAsia" w:cs="宋体"/>
                <w:color w:val="auto"/>
                <w:sz w:val="21"/>
                <w:szCs w:val="21"/>
              </w:rPr>
            </w:pPr>
          </w:p>
          <w:p w14:paraId="07C0BA5B">
            <w:pPr>
              <w:pStyle w:val="140"/>
              <w:ind w:firstLine="420"/>
              <w:rPr>
                <w:rFonts w:hint="eastAsia" w:cs="宋体"/>
                <w:color w:val="auto"/>
                <w:sz w:val="21"/>
                <w:szCs w:val="21"/>
              </w:rPr>
            </w:pPr>
          </w:p>
          <w:p w14:paraId="5BB803BE">
            <w:pPr>
              <w:pStyle w:val="140"/>
              <w:ind w:firstLine="420"/>
              <w:rPr>
                <w:rFonts w:hint="eastAsia" w:cs="宋体"/>
                <w:color w:val="auto"/>
                <w:sz w:val="21"/>
                <w:szCs w:val="21"/>
              </w:rPr>
            </w:pPr>
          </w:p>
          <w:p w14:paraId="1DC03DA5">
            <w:pPr>
              <w:pStyle w:val="140"/>
              <w:ind w:firstLine="420"/>
              <w:rPr>
                <w:rFonts w:hint="eastAsia" w:cs="宋体"/>
                <w:color w:val="auto"/>
                <w:sz w:val="21"/>
                <w:szCs w:val="21"/>
              </w:rPr>
            </w:pPr>
          </w:p>
          <w:p w14:paraId="6CDA81EA">
            <w:pPr>
              <w:pStyle w:val="140"/>
              <w:ind w:firstLine="420"/>
              <w:rPr>
                <w:rFonts w:hint="eastAsia" w:cs="宋体"/>
                <w:color w:val="auto"/>
                <w:sz w:val="21"/>
                <w:szCs w:val="21"/>
              </w:rPr>
            </w:pPr>
          </w:p>
          <w:p w14:paraId="3B659358">
            <w:pPr>
              <w:pStyle w:val="140"/>
              <w:ind w:firstLine="420"/>
              <w:rPr>
                <w:rFonts w:hint="eastAsia" w:cs="宋体"/>
                <w:color w:val="auto"/>
                <w:sz w:val="21"/>
                <w:szCs w:val="21"/>
              </w:rPr>
            </w:pPr>
          </w:p>
          <w:p w14:paraId="5CEDB700">
            <w:pPr>
              <w:pStyle w:val="140"/>
              <w:ind w:firstLine="420"/>
              <w:rPr>
                <w:rFonts w:hint="eastAsia" w:cs="宋体"/>
                <w:color w:val="auto"/>
                <w:sz w:val="21"/>
                <w:szCs w:val="21"/>
              </w:rPr>
            </w:pPr>
          </w:p>
          <w:p w14:paraId="3B0A9C40">
            <w:pPr>
              <w:pStyle w:val="140"/>
              <w:ind w:firstLine="420"/>
              <w:rPr>
                <w:rFonts w:hint="eastAsia" w:cs="宋体"/>
                <w:color w:val="auto"/>
                <w:sz w:val="21"/>
                <w:szCs w:val="21"/>
              </w:rPr>
            </w:pPr>
          </w:p>
          <w:p w14:paraId="160DD566">
            <w:pPr>
              <w:pStyle w:val="140"/>
              <w:ind w:firstLine="420"/>
              <w:rPr>
                <w:rFonts w:hint="eastAsia" w:cs="宋体"/>
                <w:color w:val="auto"/>
                <w:sz w:val="21"/>
                <w:szCs w:val="21"/>
              </w:rPr>
            </w:pPr>
          </w:p>
          <w:p w14:paraId="0E956E7B">
            <w:pPr>
              <w:pStyle w:val="140"/>
              <w:ind w:firstLine="420"/>
              <w:rPr>
                <w:rFonts w:hint="eastAsia" w:cs="宋体"/>
                <w:color w:val="auto"/>
                <w:sz w:val="21"/>
                <w:szCs w:val="21"/>
              </w:rPr>
            </w:pPr>
          </w:p>
          <w:p w14:paraId="371FA8A7">
            <w:pPr>
              <w:pStyle w:val="140"/>
              <w:ind w:firstLine="420"/>
              <w:rPr>
                <w:rFonts w:hint="eastAsia" w:cs="宋体"/>
                <w:color w:val="auto"/>
                <w:sz w:val="21"/>
                <w:szCs w:val="21"/>
              </w:rPr>
            </w:pPr>
          </w:p>
          <w:p w14:paraId="5D96DC99">
            <w:pPr>
              <w:pStyle w:val="140"/>
              <w:ind w:firstLine="420"/>
              <w:rPr>
                <w:rFonts w:hint="eastAsia" w:cs="宋体"/>
                <w:color w:val="auto"/>
                <w:sz w:val="21"/>
                <w:szCs w:val="21"/>
              </w:rPr>
            </w:pPr>
          </w:p>
          <w:p w14:paraId="0FE1CAEE">
            <w:pPr>
              <w:pStyle w:val="140"/>
              <w:ind w:firstLine="420"/>
              <w:rPr>
                <w:rFonts w:hint="eastAsia" w:cs="宋体"/>
                <w:color w:val="auto"/>
                <w:sz w:val="21"/>
                <w:szCs w:val="21"/>
              </w:rPr>
            </w:pPr>
          </w:p>
          <w:p w14:paraId="248622F6">
            <w:pPr>
              <w:pStyle w:val="140"/>
              <w:ind w:firstLine="0" w:firstLineChars="0"/>
              <w:jc w:val="center"/>
              <w:rPr>
                <w:rFonts w:hint="eastAsia"/>
                <w:b/>
                <w:bCs/>
                <w:color w:val="auto"/>
                <w:sz w:val="21"/>
                <w:szCs w:val="21"/>
              </w:rPr>
            </w:pPr>
          </w:p>
          <w:p w14:paraId="4E53BAF0">
            <w:pPr>
              <w:pStyle w:val="140"/>
              <w:ind w:firstLine="0" w:firstLineChars="0"/>
              <w:jc w:val="center"/>
              <w:rPr>
                <w:rFonts w:hint="eastAsia"/>
                <w:b/>
                <w:color w:val="auto"/>
                <w:sz w:val="21"/>
                <w:szCs w:val="21"/>
              </w:rPr>
            </w:pPr>
            <w:r>
              <w:rPr>
                <w:rFonts w:hint="eastAsia"/>
                <w:b/>
                <w:bCs/>
                <w:color w:val="auto"/>
                <w:sz w:val="21"/>
                <w:szCs w:val="21"/>
              </w:rPr>
              <w:t xml:space="preserve">图 9   </w:t>
            </w:r>
            <w:r>
              <w:rPr>
                <w:rFonts w:hint="eastAsia"/>
                <w:color w:val="auto"/>
                <w:sz w:val="21"/>
                <w:szCs w:val="21"/>
              </w:rPr>
              <w:t xml:space="preserve">  </w:t>
            </w:r>
            <w:r>
              <w:rPr>
                <w:rFonts w:hint="eastAsia"/>
                <w:b/>
                <w:color w:val="auto"/>
                <w:sz w:val="21"/>
                <w:szCs w:val="21"/>
              </w:rPr>
              <w:t>评价工作程序</w:t>
            </w:r>
          </w:p>
          <w:p w14:paraId="751150CB">
            <w:pPr>
              <w:pStyle w:val="140"/>
              <w:ind w:firstLine="422"/>
              <w:rPr>
                <w:rFonts w:hint="eastAsia" w:cs="宋体"/>
                <w:b/>
                <w:color w:val="auto"/>
                <w:sz w:val="21"/>
                <w:szCs w:val="21"/>
              </w:rPr>
            </w:pPr>
            <w:r>
              <w:rPr>
                <w:rFonts w:hint="eastAsia" w:cs="宋体"/>
                <w:b/>
                <w:color w:val="auto"/>
                <w:sz w:val="21"/>
                <w:szCs w:val="21"/>
              </w:rPr>
              <w:t>3、现有工程应急预案编制情况</w:t>
            </w:r>
          </w:p>
          <w:p w14:paraId="185743A8">
            <w:pPr>
              <w:pStyle w:val="140"/>
              <w:ind w:firstLine="420"/>
              <w:rPr>
                <w:rFonts w:hint="eastAsia" w:cs="宋体"/>
                <w:color w:val="auto"/>
                <w:sz w:val="21"/>
                <w:szCs w:val="21"/>
              </w:rPr>
            </w:pPr>
            <w:r>
              <w:rPr>
                <w:rFonts w:hint="eastAsia" w:cs="宋体"/>
                <w:color w:val="auto"/>
                <w:sz w:val="21"/>
                <w:szCs w:val="21"/>
              </w:rPr>
              <w:t>由于拟建项目属于扩建项目，现有工程主要为</w:t>
            </w:r>
            <w:r>
              <w:rPr>
                <w:rFonts w:hint="eastAsia" w:cs="宋体"/>
                <w:color w:val="auto"/>
                <w:sz w:val="21"/>
                <w:szCs w:val="21"/>
                <w:lang w:val="en-US" w:eastAsia="zh-CN"/>
              </w:rPr>
              <w:t>玻璃制品生产加工</w:t>
            </w:r>
            <w:r>
              <w:rPr>
                <w:rFonts w:hint="eastAsia" w:cs="宋体"/>
                <w:color w:val="auto"/>
                <w:sz w:val="21"/>
                <w:szCs w:val="21"/>
              </w:rPr>
              <w:t>。</w:t>
            </w:r>
          </w:p>
          <w:p w14:paraId="5DAA2D7E">
            <w:pPr>
              <w:pStyle w:val="140"/>
              <w:ind w:firstLine="420"/>
              <w:rPr>
                <w:rFonts w:hint="eastAsia" w:cs="宋体"/>
                <w:color w:val="auto"/>
                <w:sz w:val="21"/>
                <w:szCs w:val="21"/>
              </w:rPr>
            </w:pPr>
            <w:r>
              <w:rPr>
                <w:rFonts w:hint="eastAsia" w:cs="宋体"/>
                <w:color w:val="auto"/>
                <w:sz w:val="21"/>
                <w:szCs w:val="21"/>
                <w:lang w:val="en-US" w:eastAsia="zh-CN"/>
              </w:rPr>
              <w:t>安徽廖氏玻璃科技有限公司</w:t>
            </w:r>
            <w:r>
              <w:rPr>
                <w:rFonts w:hint="eastAsia" w:cs="宋体"/>
                <w:color w:val="auto"/>
                <w:sz w:val="21"/>
                <w:szCs w:val="21"/>
              </w:rPr>
              <w:t>已编制应急预案，</w:t>
            </w:r>
            <w:r>
              <w:rPr>
                <w:rFonts w:hint="eastAsia"/>
                <w:color w:val="auto"/>
                <w:szCs w:val="21"/>
                <w:lang w:eastAsia="zh-CN"/>
              </w:rPr>
              <w:t>2023年11月23日在淮南市谢家集区生态环境分局</w:t>
            </w:r>
            <w:r>
              <w:rPr>
                <w:rFonts w:hint="eastAsia"/>
                <w:color w:val="auto"/>
                <w:szCs w:val="21"/>
                <w:lang w:val="en-US" w:eastAsia="zh-CN"/>
              </w:rPr>
              <w:t>进行</w:t>
            </w:r>
            <w:r>
              <w:rPr>
                <w:rFonts w:hint="eastAsia"/>
                <w:color w:val="auto"/>
                <w:szCs w:val="21"/>
                <w:lang w:eastAsia="zh-CN"/>
              </w:rPr>
              <w:t>备案，备案编号340404-2023-017-L。</w:t>
            </w:r>
            <w:r>
              <w:rPr>
                <w:rFonts w:hint="eastAsia" w:cs="宋体"/>
                <w:color w:val="auto"/>
                <w:sz w:val="21"/>
                <w:szCs w:val="21"/>
              </w:rPr>
              <w:t>根据现场调查，企业在生产期间未发生过安全生产事故。</w:t>
            </w:r>
          </w:p>
          <w:p w14:paraId="61B3B77D">
            <w:pPr>
              <w:pStyle w:val="140"/>
              <w:ind w:firstLine="422"/>
              <w:rPr>
                <w:rFonts w:hint="eastAsia" w:cs="宋体"/>
                <w:b/>
                <w:color w:val="auto"/>
                <w:sz w:val="21"/>
                <w:szCs w:val="21"/>
              </w:rPr>
            </w:pPr>
            <w:r>
              <w:rPr>
                <w:rFonts w:hint="eastAsia" w:cs="宋体"/>
                <w:b/>
                <w:color w:val="auto"/>
                <w:sz w:val="21"/>
                <w:szCs w:val="21"/>
                <w:lang w:val="en-US" w:eastAsia="zh-CN"/>
              </w:rPr>
              <w:t>4</w:t>
            </w:r>
            <w:r>
              <w:rPr>
                <w:rFonts w:hint="eastAsia" w:cs="宋体"/>
                <w:b/>
                <w:color w:val="auto"/>
                <w:sz w:val="21"/>
                <w:szCs w:val="21"/>
              </w:rPr>
              <w:t>、建设项目风险调查</w:t>
            </w:r>
          </w:p>
          <w:p w14:paraId="22AF28E6">
            <w:pPr>
              <w:pStyle w:val="139"/>
              <w:ind w:firstLine="420"/>
              <w:rPr>
                <w:color w:val="auto"/>
                <w:sz w:val="21"/>
                <w:szCs w:val="21"/>
              </w:rPr>
            </w:pPr>
            <w:r>
              <w:rPr>
                <w:color w:val="auto"/>
                <w:sz w:val="21"/>
                <w:szCs w:val="21"/>
              </w:rPr>
              <w:t>（</w:t>
            </w:r>
            <w:r>
              <w:rPr>
                <w:rFonts w:hint="eastAsia"/>
                <w:color w:val="auto"/>
                <w:sz w:val="21"/>
                <w:szCs w:val="21"/>
              </w:rPr>
              <w:t>1</w:t>
            </w:r>
            <w:r>
              <w:rPr>
                <w:color w:val="auto"/>
                <w:sz w:val="21"/>
                <w:szCs w:val="21"/>
              </w:rPr>
              <w:t>）建设项目风险源调查</w:t>
            </w:r>
          </w:p>
          <w:p w14:paraId="11042F1C">
            <w:pPr>
              <w:autoSpaceDE w:val="0"/>
              <w:autoSpaceDN w:val="0"/>
              <w:adjustRightInd w:val="0"/>
              <w:spacing w:line="360" w:lineRule="auto"/>
              <w:ind w:firstLine="420" w:firstLineChars="200"/>
              <w:jc w:val="left"/>
              <w:rPr>
                <w:color w:val="auto"/>
                <w:kern w:val="0"/>
                <w:szCs w:val="21"/>
              </w:rPr>
            </w:pPr>
            <w:r>
              <w:rPr>
                <w:rFonts w:hint="eastAsia"/>
                <w:color w:val="auto"/>
                <w:kern w:val="0"/>
                <w:szCs w:val="21"/>
              </w:rPr>
              <w:t>1）</w:t>
            </w:r>
            <w:r>
              <w:rPr>
                <w:color w:val="auto"/>
                <w:kern w:val="0"/>
                <w:szCs w:val="21"/>
              </w:rPr>
              <w:t>危险物质数量和分布情况</w:t>
            </w:r>
          </w:p>
          <w:p w14:paraId="7B181135">
            <w:pPr>
              <w:autoSpaceDE w:val="0"/>
              <w:autoSpaceDN w:val="0"/>
              <w:spacing w:line="360" w:lineRule="auto"/>
              <w:ind w:firstLine="420" w:firstLineChars="200"/>
              <w:jc w:val="left"/>
              <w:rPr>
                <w:rFonts w:hint="eastAsia" w:hAnsi="宋体"/>
                <w:color w:val="auto"/>
                <w:szCs w:val="21"/>
              </w:rPr>
            </w:pPr>
            <w:r>
              <w:rPr>
                <w:rFonts w:hint="eastAsia"/>
                <w:color w:val="auto"/>
                <w:szCs w:val="21"/>
              </w:rPr>
              <w:t>根据《建设项目环境风险评价技术导则》（HJ169-2018），风险源定义为：存在物质或能量意外释放，并可能产生环境危害的源。据此调查拟建项目危险物质数量、分布情况和生产工艺特点，其中危险物质数量为厂界内最大存在总量，根据装置规模、输送管道直径、长度、平面布置和设备尺寸进行估算。</w:t>
            </w:r>
            <w:r>
              <w:rPr>
                <w:color w:val="auto"/>
                <w:szCs w:val="21"/>
              </w:rPr>
              <w:t>根据危险物质识别结果，筛选出本项目环境风险物质见表</w:t>
            </w:r>
            <w:r>
              <w:rPr>
                <w:rFonts w:hint="eastAsia"/>
                <w:color w:val="auto"/>
                <w:szCs w:val="21"/>
              </w:rPr>
              <w:t>7-1</w:t>
            </w:r>
            <w:r>
              <w:rPr>
                <w:color w:val="auto"/>
                <w:szCs w:val="21"/>
              </w:rPr>
              <w:t>。</w:t>
            </w:r>
          </w:p>
          <w:p w14:paraId="06EFD76C">
            <w:pPr>
              <w:widowControl/>
              <w:spacing w:line="360" w:lineRule="auto"/>
              <w:jc w:val="center"/>
              <w:rPr>
                <w:rFonts w:hint="eastAsia"/>
                <w:b/>
                <w:color w:val="auto"/>
                <w:kern w:val="0"/>
                <w:szCs w:val="21"/>
              </w:rPr>
            </w:pPr>
            <w:r>
              <w:rPr>
                <w:b/>
                <w:color w:val="auto"/>
                <w:kern w:val="0"/>
                <w:szCs w:val="21"/>
              </w:rPr>
              <w:t>表</w:t>
            </w:r>
            <w:r>
              <w:rPr>
                <w:rFonts w:hint="eastAsia"/>
                <w:b/>
                <w:color w:val="auto"/>
                <w:kern w:val="0"/>
                <w:szCs w:val="21"/>
              </w:rPr>
              <w:t>7</w:t>
            </w:r>
            <w:r>
              <w:rPr>
                <w:b/>
                <w:color w:val="auto"/>
                <w:kern w:val="0"/>
                <w:szCs w:val="21"/>
              </w:rPr>
              <w:t>-</w:t>
            </w:r>
            <w:r>
              <w:rPr>
                <w:rFonts w:hint="eastAsia"/>
                <w:b/>
                <w:color w:val="auto"/>
                <w:kern w:val="0"/>
                <w:szCs w:val="21"/>
              </w:rPr>
              <w:t>1</w:t>
            </w:r>
            <w:r>
              <w:rPr>
                <w:b/>
                <w:color w:val="auto"/>
                <w:kern w:val="0"/>
                <w:szCs w:val="21"/>
              </w:rPr>
              <w:t xml:space="preserve">  </w:t>
            </w:r>
            <w:r>
              <w:rPr>
                <w:rFonts w:hint="eastAsia"/>
                <w:b/>
                <w:color w:val="auto"/>
                <w:kern w:val="0"/>
                <w:szCs w:val="21"/>
              </w:rPr>
              <w:t xml:space="preserve"> 本</w:t>
            </w:r>
            <w:r>
              <w:rPr>
                <w:b/>
                <w:color w:val="auto"/>
                <w:kern w:val="0"/>
                <w:szCs w:val="21"/>
              </w:rPr>
              <w:t>项目危险物质数量及分布情况一览表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54"/>
              <w:gridCol w:w="1528"/>
              <w:gridCol w:w="1378"/>
              <w:gridCol w:w="1454"/>
              <w:gridCol w:w="1454"/>
            </w:tblGrid>
            <w:tr w14:paraId="48E1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noWrap w:val="0"/>
                  <w:vAlign w:val="center"/>
                </w:tcPr>
                <w:p w14:paraId="0C2FFA86">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生产工艺</w:t>
                  </w:r>
                </w:p>
              </w:tc>
              <w:tc>
                <w:tcPr>
                  <w:tcW w:w="1454" w:type="dxa"/>
                  <w:vMerge w:val="restart"/>
                  <w:noWrap w:val="0"/>
                  <w:vAlign w:val="center"/>
                </w:tcPr>
                <w:p w14:paraId="4A4EA9AD">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物质名称</w:t>
                  </w:r>
                </w:p>
              </w:tc>
              <w:tc>
                <w:tcPr>
                  <w:tcW w:w="2906" w:type="dxa"/>
                  <w:gridSpan w:val="2"/>
                  <w:noWrap w:val="0"/>
                  <w:vAlign w:val="center"/>
                </w:tcPr>
                <w:p w14:paraId="4BBB3F1B">
                  <w:pPr>
                    <w:pStyle w:val="140"/>
                    <w:spacing w:line="240" w:lineRule="atLeast"/>
                    <w:ind w:firstLine="42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在线装置</w:t>
                  </w:r>
                </w:p>
              </w:tc>
              <w:tc>
                <w:tcPr>
                  <w:tcW w:w="2908" w:type="dxa"/>
                  <w:gridSpan w:val="2"/>
                  <w:noWrap w:val="0"/>
                  <w:vAlign w:val="center"/>
                </w:tcPr>
                <w:p w14:paraId="2D13AECD">
                  <w:pPr>
                    <w:pStyle w:val="140"/>
                    <w:spacing w:line="240" w:lineRule="atLeast"/>
                    <w:ind w:firstLine="42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贮存场所</w:t>
                  </w:r>
                </w:p>
              </w:tc>
            </w:tr>
            <w:tr w14:paraId="4ADE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noWrap w:val="0"/>
                  <w:vAlign w:val="center"/>
                </w:tcPr>
                <w:p w14:paraId="1943596C">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vMerge w:val="continue"/>
                  <w:noWrap w:val="0"/>
                  <w:vAlign w:val="center"/>
                </w:tcPr>
                <w:p w14:paraId="4117EA3B">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528" w:type="dxa"/>
                  <w:noWrap w:val="0"/>
                  <w:vAlign w:val="center"/>
                </w:tcPr>
                <w:p w14:paraId="76034B9B">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在线量</w:t>
                  </w:r>
                  <w:r>
                    <w:rPr>
                      <w:rFonts w:hint="eastAsia"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rPr>
                    <w:t>t）</w:t>
                  </w:r>
                </w:p>
              </w:tc>
              <w:tc>
                <w:tcPr>
                  <w:tcW w:w="1378" w:type="dxa"/>
                  <w:noWrap w:val="0"/>
                  <w:vAlign w:val="center"/>
                </w:tcPr>
                <w:p w14:paraId="21F036BE">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位置</w:t>
                  </w:r>
                </w:p>
              </w:tc>
              <w:tc>
                <w:tcPr>
                  <w:tcW w:w="1454" w:type="dxa"/>
                  <w:noWrap w:val="0"/>
                  <w:vAlign w:val="center"/>
                </w:tcPr>
                <w:p w14:paraId="7AD03552">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储存量（t）</w:t>
                  </w:r>
                </w:p>
              </w:tc>
              <w:tc>
                <w:tcPr>
                  <w:tcW w:w="1454" w:type="dxa"/>
                  <w:noWrap w:val="0"/>
                  <w:vAlign w:val="center"/>
                </w:tcPr>
                <w:p w14:paraId="318D4C2E">
                  <w:pPr>
                    <w:pStyle w:val="140"/>
                    <w:spacing w:line="240" w:lineRule="atLeast"/>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贮存位置</w:t>
                  </w:r>
                </w:p>
              </w:tc>
            </w:tr>
            <w:tr w14:paraId="1235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53" w:type="dxa"/>
                  <w:vMerge w:val="restart"/>
                  <w:noWrap w:val="0"/>
                  <w:vAlign w:val="center"/>
                </w:tcPr>
                <w:p w14:paraId="7A779A2F">
                  <w:pPr>
                    <w:pStyle w:val="140"/>
                    <w:spacing w:line="240" w:lineRule="atLeast"/>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熔化、成型、烘口、退火</w:t>
                  </w:r>
                  <w:r>
                    <w:rPr>
                      <w:rFonts w:hint="default" w:ascii="Times New Roman" w:hAnsi="Times New Roman" w:eastAsia="宋体" w:cs="Times New Roman"/>
                      <w:color w:val="auto"/>
                      <w:kern w:val="2"/>
                      <w:sz w:val="21"/>
                      <w:szCs w:val="21"/>
                    </w:rPr>
                    <w:t>工艺</w:t>
                  </w:r>
                </w:p>
              </w:tc>
              <w:tc>
                <w:tcPr>
                  <w:tcW w:w="1454" w:type="dxa"/>
                  <w:noWrap w:val="0"/>
                  <w:vAlign w:val="center"/>
                </w:tcPr>
                <w:p w14:paraId="45AE1CFC">
                  <w:pPr>
                    <w:autoSpaceDE w:val="0"/>
                    <w:autoSpaceDN w:val="0"/>
                    <w:adjustRightInd w:val="0"/>
                    <w:snapToGrid w:val="0"/>
                    <w:ind w:right="-105" w:rightChars="-5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天然气</w:t>
                  </w:r>
                </w:p>
              </w:tc>
              <w:tc>
                <w:tcPr>
                  <w:tcW w:w="1528" w:type="dxa"/>
                  <w:noWrap w:val="0"/>
                  <w:vAlign w:val="center"/>
                </w:tcPr>
                <w:p w14:paraId="5D5805E7">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0.0133</w:t>
                  </w:r>
                </w:p>
              </w:tc>
              <w:tc>
                <w:tcPr>
                  <w:tcW w:w="1378" w:type="dxa"/>
                  <w:noWrap w:val="0"/>
                  <w:vAlign w:val="center"/>
                </w:tcPr>
                <w:p w14:paraId="167B7C67">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管道</w:t>
                  </w:r>
                </w:p>
              </w:tc>
              <w:tc>
                <w:tcPr>
                  <w:tcW w:w="1454" w:type="dxa"/>
                  <w:noWrap w:val="0"/>
                  <w:vAlign w:val="center"/>
                </w:tcPr>
                <w:p w14:paraId="69C3FA37">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kern w:val="2"/>
                      <w:sz w:val="21"/>
                      <w:szCs w:val="21"/>
                      <w:lang w:val="en-US" w:eastAsia="zh-CN"/>
                    </w:rPr>
                    <w:t>0</w:t>
                  </w:r>
                </w:p>
              </w:tc>
              <w:tc>
                <w:tcPr>
                  <w:tcW w:w="1454" w:type="dxa"/>
                  <w:noWrap w:val="0"/>
                  <w:vAlign w:val="center"/>
                </w:tcPr>
                <w:p w14:paraId="6B0783BF">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kern w:val="2"/>
                      <w:sz w:val="21"/>
                      <w:szCs w:val="21"/>
                      <w:lang w:val="en-US" w:eastAsia="zh-CN"/>
                    </w:rPr>
                    <w:t>0</w:t>
                  </w:r>
                </w:p>
              </w:tc>
            </w:tr>
            <w:tr w14:paraId="166B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53" w:type="dxa"/>
                  <w:vMerge w:val="continue"/>
                  <w:noWrap w:val="0"/>
                  <w:vAlign w:val="center"/>
                </w:tcPr>
                <w:p w14:paraId="575A9DDC">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noWrap w:val="0"/>
                  <w:vAlign w:val="center"/>
                </w:tcPr>
                <w:p w14:paraId="2C5E2042">
                  <w:pPr>
                    <w:autoSpaceDE w:val="0"/>
                    <w:autoSpaceDN w:val="0"/>
                    <w:adjustRightInd w:val="0"/>
                    <w:snapToGrid w:val="0"/>
                    <w:ind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液化天然气</w:t>
                  </w:r>
                </w:p>
              </w:tc>
              <w:tc>
                <w:tcPr>
                  <w:tcW w:w="1528" w:type="dxa"/>
                  <w:noWrap w:val="0"/>
                  <w:vAlign w:val="center"/>
                </w:tcPr>
                <w:p w14:paraId="19A0EF18">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kern w:val="2"/>
                      <w:sz w:val="21"/>
                      <w:szCs w:val="21"/>
                      <w:lang w:val="en-US" w:eastAsia="zh-CN"/>
                    </w:rPr>
                    <w:t>/</w:t>
                  </w:r>
                </w:p>
              </w:tc>
              <w:tc>
                <w:tcPr>
                  <w:tcW w:w="1378" w:type="dxa"/>
                  <w:noWrap w:val="0"/>
                  <w:vAlign w:val="center"/>
                </w:tcPr>
                <w:p w14:paraId="1EC14540">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kern w:val="2"/>
                      <w:sz w:val="21"/>
                      <w:szCs w:val="21"/>
                      <w:lang w:val="en-US" w:eastAsia="zh-CN"/>
                    </w:rPr>
                    <w:t>/</w:t>
                  </w:r>
                </w:p>
              </w:tc>
              <w:tc>
                <w:tcPr>
                  <w:tcW w:w="1454" w:type="dxa"/>
                  <w:noWrap w:val="0"/>
                  <w:vAlign w:val="center"/>
                </w:tcPr>
                <w:p w14:paraId="01E33A30">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50*0.</w:t>
                  </w:r>
                  <w:r>
                    <w:rPr>
                      <w:rFonts w:hint="eastAsia" w:ascii="Times New Roman" w:hAnsi="Times New Roman" w:eastAsia="宋体" w:cs="Times New Roman"/>
                      <w:bCs/>
                      <w:color w:val="auto"/>
                      <w:kern w:val="2"/>
                      <w:sz w:val="21"/>
                      <w:szCs w:val="21"/>
                      <w:lang w:val="en-US" w:eastAsia="zh-CN"/>
                    </w:rPr>
                    <w:t>46</w:t>
                  </w:r>
                </w:p>
              </w:tc>
              <w:tc>
                <w:tcPr>
                  <w:tcW w:w="1454" w:type="dxa"/>
                  <w:noWrap w:val="0"/>
                  <w:vAlign w:val="center"/>
                </w:tcPr>
                <w:p w14:paraId="520522E3">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储罐区</w:t>
                  </w:r>
                </w:p>
              </w:tc>
            </w:tr>
            <w:tr w14:paraId="0A21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53" w:type="dxa"/>
                  <w:vMerge w:val="continue"/>
                  <w:noWrap w:val="0"/>
                  <w:vAlign w:val="center"/>
                </w:tcPr>
                <w:p w14:paraId="07321A2E">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noWrap w:val="0"/>
                  <w:vAlign w:val="center"/>
                </w:tcPr>
                <w:p w14:paraId="59925F11">
                  <w:pPr>
                    <w:autoSpaceDE w:val="0"/>
                    <w:autoSpaceDN w:val="0"/>
                    <w:adjustRightInd w:val="0"/>
                    <w:snapToGrid w:val="0"/>
                    <w:ind w:right="-105" w:rightChars="-5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sz w:val="21"/>
                      <w:szCs w:val="21"/>
                      <w:lang w:val="en-US" w:eastAsia="zh-CN"/>
                    </w:rPr>
                    <w:t>液化石油气</w:t>
                  </w:r>
                </w:p>
              </w:tc>
              <w:tc>
                <w:tcPr>
                  <w:tcW w:w="1528" w:type="dxa"/>
                  <w:noWrap w:val="0"/>
                  <w:vAlign w:val="center"/>
                </w:tcPr>
                <w:p w14:paraId="7590FD96">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rPr>
                    <w:t>0.0</w:t>
                  </w:r>
                  <w:r>
                    <w:rPr>
                      <w:rFonts w:hint="default" w:ascii="Times New Roman" w:hAnsi="Times New Roman" w:eastAsia="宋体" w:cs="Times New Roman"/>
                      <w:bCs/>
                      <w:color w:val="auto"/>
                      <w:kern w:val="2"/>
                      <w:sz w:val="21"/>
                      <w:szCs w:val="21"/>
                      <w:lang w:val="en-US" w:eastAsia="zh-CN"/>
                    </w:rPr>
                    <w:t>05</w:t>
                  </w:r>
                </w:p>
              </w:tc>
              <w:tc>
                <w:tcPr>
                  <w:tcW w:w="1378" w:type="dxa"/>
                  <w:noWrap w:val="0"/>
                  <w:vAlign w:val="center"/>
                </w:tcPr>
                <w:p w14:paraId="26C84667">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val="en-US" w:eastAsia="zh-CN"/>
                    </w:rPr>
                    <w:t>管道</w:t>
                  </w:r>
                </w:p>
              </w:tc>
              <w:tc>
                <w:tcPr>
                  <w:tcW w:w="1454" w:type="dxa"/>
                  <w:noWrap w:val="0"/>
                  <w:vAlign w:val="center"/>
                </w:tcPr>
                <w:p w14:paraId="27853768">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1.5</w:t>
                  </w:r>
                </w:p>
              </w:tc>
              <w:tc>
                <w:tcPr>
                  <w:tcW w:w="1454" w:type="dxa"/>
                  <w:noWrap w:val="0"/>
                  <w:vAlign w:val="center"/>
                </w:tcPr>
                <w:p w14:paraId="0123B8BA">
                  <w:pPr>
                    <w:pStyle w:val="140"/>
                    <w:spacing w:line="240" w:lineRule="atLeast"/>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气瓶暂存间</w:t>
                  </w:r>
                </w:p>
              </w:tc>
            </w:tr>
            <w:tr w14:paraId="4675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53" w:type="dxa"/>
                  <w:vMerge w:val="continue"/>
                  <w:noWrap w:val="0"/>
                  <w:vAlign w:val="center"/>
                </w:tcPr>
                <w:p w14:paraId="1F990B49">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noWrap w:val="0"/>
                  <w:vAlign w:val="center"/>
                </w:tcPr>
                <w:p w14:paraId="1A643B88">
                  <w:pPr>
                    <w:autoSpaceDE w:val="0"/>
                    <w:autoSpaceDN w:val="0"/>
                    <w:adjustRightInd w:val="0"/>
                    <w:snapToGrid w:val="0"/>
                    <w:ind w:right="-105"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二氧化硫</w:t>
                  </w:r>
                </w:p>
              </w:tc>
              <w:tc>
                <w:tcPr>
                  <w:tcW w:w="1528" w:type="dxa"/>
                  <w:noWrap w:val="0"/>
                  <w:vAlign w:val="center"/>
                </w:tcPr>
                <w:p w14:paraId="4132BFE1">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0.001</w:t>
                  </w:r>
                </w:p>
              </w:tc>
              <w:tc>
                <w:tcPr>
                  <w:tcW w:w="1378" w:type="dxa"/>
                  <w:noWrap w:val="0"/>
                  <w:vAlign w:val="center"/>
                </w:tcPr>
                <w:p w14:paraId="4A7860C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w:t>
                  </w:r>
                </w:p>
              </w:tc>
              <w:tc>
                <w:tcPr>
                  <w:tcW w:w="1454" w:type="dxa"/>
                  <w:noWrap w:val="0"/>
                  <w:vAlign w:val="center"/>
                </w:tcPr>
                <w:p w14:paraId="3731ED3C">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42C7C8E2">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r>
            <w:tr w14:paraId="2F81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53" w:type="dxa"/>
                  <w:vMerge w:val="continue"/>
                  <w:noWrap w:val="0"/>
                  <w:vAlign w:val="center"/>
                </w:tcPr>
                <w:p w14:paraId="71B3F0AE">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noWrap w:val="0"/>
                  <w:vAlign w:val="center"/>
                </w:tcPr>
                <w:p w14:paraId="1A7E85CC">
                  <w:pPr>
                    <w:autoSpaceDE w:val="0"/>
                    <w:autoSpaceDN w:val="0"/>
                    <w:adjustRightInd w:val="0"/>
                    <w:snapToGrid w:val="0"/>
                    <w:ind w:right="-105"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二氧化氮</w:t>
                  </w:r>
                </w:p>
              </w:tc>
              <w:tc>
                <w:tcPr>
                  <w:tcW w:w="1528" w:type="dxa"/>
                  <w:noWrap w:val="0"/>
                  <w:vAlign w:val="center"/>
                </w:tcPr>
                <w:p w14:paraId="1FF202FF">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0.019</w:t>
                  </w:r>
                </w:p>
              </w:tc>
              <w:tc>
                <w:tcPr>
                  <w:tcW w:w="1378" w:type="dxa"/>
                  <w:noWrap w:val="0"/>
                  <w:vAlign w:val="center"/>
                </w:tcPr>
                <w:p w14:paraId="52F1763C">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w:t>
                  </w:r>
                </w:p>
              </w:tc>
              <w:tc>
                <w:tcPr>
                  <w:tcW w:w="1454" w:type="dxa"/>
                  <w:noWrap w:val="0"/>
                  <w:vAlign w:val="center"/>
                </w:tcPr>
                <w:p w14:paraId="15525383">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3A44114E">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r>
            <w:tr w14:paraId="0927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53" w:type="dxa"/>
                  <w:vMerge w:val="continue"/>
                  <w:noWrap w:val="0"/>
                  <w:vAlign w:val="center"/>
                </w:tcPr>
                <w:p w14:paraId="2B01EA41">
                  <w:pPr>
                    <w:pStyle w:val="140"/>
                    <w:spacing w:line="240" w:lineRule="atLeast"/>
                    <w:ind w:firstLine="420"/>
                    <w:jc w:val="center"/>
                    <w:rPr>
                      <w:rFonts w:hint="default" w:ascii="Times New Roman" w:hAnsi="Times New Roman" w:eastAsia="宋体" w:cs="Times New Roman"/>
                      <w:color w:val="auto"/>
                      <w:kern w:val="2"/>
                      <w:sz w:val="21"/>
                      <w:szCs w:val="21"/>
                    </w:rPr>
                  </w:pPr>
                </w:p>
              </w:tc>
              <w:tc>
                <w:tcPr>
                  <w:tcW w:w="1454" w:type="dxa"/>
                  <w:noWrap w:val="0"/>
                  <w:vAlign w:val="center"/>
                </w:tcPr>
                <w:p w14:paraId="52E41DFE">
                  <w:pPr>
                    <w:autoSpaceDE w:val="0"/>
                    <w:autoSpaceDN w:val="0"/>
                    <w:adjustRightInd w:val="0"/>
                    <w:snapToGrid w:val="0"/>
                    <w:ind w:right="-105" w:rightChars="-5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1528" w:type="dxa"/>
                  <w:noWrap w:val="0"/>
                  <w:vAlign w:val="center"/>
                </w:tcPr>
                <w:p w14:paraId="7A6778DA">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0.00005</w:t>
                  </w:r>
                </w:p>
              </w:tc>
              <w:tc>
                <w:tcPr>
                  <w:tcW w:w="1378" w:type="dxa"/>
                  <w:noWrap w:val="0"/>
                  <w:vAlign w:val="center"/>
                </w:tcPr>
                <w:p w14:paraId="0CCC4323">
                  <w:pPr>
                    <w:jc w:val="center"/>
                    <w:rPr>
                      <w:rFonts w:hint="default" w:ascii="Times New Roman" w:hAnsi="Times New Roman" w:eastAsia="宋体" w:cs="Times New Roman"/>
                      <w:bCs/>
                      <w:color w:val="auto"/>
                      <w:sz w:val="21"/>
                      <w:szCs w:val="21"/>
                      <w:lang w:val="en-US" w:eastAsia="zh-CN"/>
                    </w:rPr>
                  </w:pPr>
                </w:p>
              </w:tc>
              <w:tc>
                <w:tcPr>
                  <w:tcW w:w="1454" w:type="dxa"/>
                  <w:noWrap w:val="0"/>
                  <w:vAlign w:val="center"/>
                </w:tcPr>
                <w:p w14:paraId="18EFC96F">
                  <w:pPr>
                    <w:pStyle w:val="140"/>
                    <w:spacing w:line="240" w:lineRule="atLeast"/>
                    <w:ind w:firstLine="0" w:firstLineChars="0"/>
                    <w:jc w:val="center"/>
                    <w:rPr>
                      <w:rFonts w:hint="eastAsia" w:ascii="Times New Roman" w:hAnsi="Times New Roman" w:eastAsia="宋体" w:cs="Times New Roman"/>
                      <w:bCs/>
                      <w:color w:val="auto"/>
                      <w:kern w:val="2"/>
                      <w:sz w:val="21"/>
                      <w:szCs w:val="21"/>
                      <w:lang w:val="en-US" w:eastAsia="zh-CN"/>
                    </w:rPr>
                  </w:pPr>
                </w:p>
              </w:tc>
              <w:tc>
                <w:tcPr>
                  <w:tcW w:w="1454" w:type="dxa"/>
                  <w:noWrap w:val="0"/>
                  <w:vAlign w:val="center"/>
                </w:tcPr>
                <w:p w14:paraId="68C49492">
                  <w:pPr>
                    <w:pStyle w:val="140"/>
                    <w:spacing w:line="240" w:lineRule="atLeast"/>
                    <w:ind w:firstLine="0" w:firstLineChars="0"/>
                    <w:jc w:val="center"/>
                    <w:rPr>
                      <w:rFonts w:hint="eastAsia" w:ascii="Times New Roman" w:hAnsi="Times New Roman" w:eastAsia="宋体" w:cs="Times New Roman"/>
                      <w:bCs/>
                      <w:color w:val="auto"/>
                      <w:kern w:val="2"/>
                      <w:sz w:val="21"/>
                      <w:szCs w:val="21"/>
                      <w:lang w:val="en-US" w:eastAsia="zh-CN"/>
                    </w:rPr>
                  </w:pPr>
                </w:p>
              </w:tc>
            </w:tr>
            <w:tr w14:paraId="69B1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14:paraId="578703D4">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kern w:val="2"/>
                      <w:sz w:val="21"/>
                      <w:szCs w:val="21"/>
                      <w:lang w:val="en-US" w:eastAsia="zh-CN"/>
                    </w:rPr>
                    <w:t>发电</w:t>
                  </w:r>
                </w:p>
              </w:tc>
              <w:tc>
                <w:tcPr>
                  <w:tcW w:w="1454" w:type="dxa"/>
                  <w:noWrap w:val="0"/>
                  <w:vAlign w:val="center"/>
                </w:tcPr>
                <w:p w14:paraId="5A865A3C">
                  <w:pPr>
                    <w:pStyle w:val="140"/>
                    <w:spacing w:line="240" w:lineRule="atLeast"/>
                    <w:ind w:firstLine="0" w:firstLineChars="0"/>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sz w:val="21"/>
                      <w:szCs w:val="21"/>
                      <w:lang w:val="en-US" w:eastAsia="zh-CN"/>
                    </w:rPr>
                    <w:t>柴油</w:t>
                  </w:r>
                </w:p>
              </w:tc>
              <w:tc>
                <w:tcPr>
                  <w:tcW w:w="1528" w:type="dxa"/>
                  <w:noWrap w:val="0"/>
                  <w:vAlign w:val="center"/>
                </w:tcPr>
                <w:p w14:paraId="1611A1AC">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rPr>
                    <w:t>0.</w:t>
                  </w:r>
                  <w:r>
                    <w:rPr>
                      <w:rFonts w:hint="default" w:ascii="Times New Roman" w:hAnsi="Times New Roman" w:eastAsia="宋体" w:cs="Times New Roman"/>
                      <w:bCs/>
                      <w:color w:val="auto"/>
                      <w:kern w:val="2"/>
                      <w:sz w:val="21"/>
                      <w:szCs w:val="21"/>
                      <w:lang w:val="en-US" w:eastAsia="zh-CN"/>
                    </w:rPr>
                    <w:t>06</w:t>
                  </w:r>
                </w:p>
              </w:tc>
              <w:tc>
                <w:tcPr>
                  <w:tcW w:w="1378" w:type="dxa"/>
                  <w:noWrap w:val="0"/>
                  <w:vAlign w:val="center"/>
                </w:tcPr>
                <w:p w14:paraId="07B5D18F">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发电机油箱</w:t>
                  </w:r>
                </w:p>
              </w:tc>
              <w:tc>
                <w:tcPr>
                  <w:tcW w:w="1454" w:type="dxa"/>
                  <w:noWrap w:val="0"/>
                  <w:vAlign w:val="center"/>
                </w:tcPr>
                <w:p w14:paraId="68F7DF54">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0.3</w:t>
                  </w:r>
                </w:p>
              </w:tc>
              <w:tc>
                <w:tcPr>
                  <w:tcW w:w="1454" w:type="dxa"/>
                  <w:noWrap w:val="0"/>
                  <w:vAlign w:val="center"/>
                </w:tcPr>
                <w:p w14:paraId="130E86E6">
                  <w:pPr>
                    <w:pStyle w:val="140"/>
                    <w:spacing w:line="240" w:lineRule="atLeast"/>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柴油机房</w:t>
                  </w:r>
                </w:p>
              </w:tc>
            </w:tr>
            <w:tr w14:paraId="2F27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14:paraId="04EB99A4">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rPr>
                    <w:t>废气处理</w:t>
                  </w:r>
                </w:p>
              </w:tc>
              <w:tc>
                <w:tcPr>
                  <w:tcW w:w="1454" w:type="dxa"/>
                  <w:noWrap w:val="0"/>
                  <w:vAlign w:val="center"/>
                </w:tcPr>
                <w:p w14:paraId="10B2B477">
                  <w:pPr>
                    <w:pStyle w:val="92"/>
                    <w:spacing w:line="240" w:lineRule="atLeast"/>
                    <w:ind w:right="-105" w:rightChars="-5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氨水</w:t>
                  </w:r>
                </w:p>
              </w:tc>
              <w:tc>
                <w:tcPr>
                  <w:tcW w:w="1528" w:type="dxa"/>
                  <w:noWrap w:val="0"/>
                  <w:vAlign w:val="center"/>
                </w:tcPr>
                <w:p w14:paraId="521E33FA">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w:t>
                  </w:r>
                </w:p>
              </w:tc>
              <w:tc>
                <w:tcPr>
                  <w:tcW w:w="1378" w:type="dxa"/>
                  <w:noWrap w:val="0"/>
                  <w:vAlign w:val="center"/>
                </w:tcPr>
                <w:p w14:paraId="4CF7DCD2">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w:t>
                  </w:r>
                </w:p>
              </w:tc>
              <w:tc>
                <w:tcPr>
                  <w:tcW w:w="1454" w:type="dxa"/>
                  <w:noWrap w:val="0"/>
                  <w:vAlign w:val="center"/>
                </w:tcPr>
                <w:p w14:paraId="6343A401">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2</w:t>
                  </w:r>
                  <w:r>
                    <w:rPr>
                      <w:rFonts w:hint="default" w:ascii="Times New Roman" w:hAnsi="Times New Roman" w:eastAsia="宋体" w:cs="Times New Roman"/>
                      <w:bCs/>
                      <w:color w:val="auto"/>
                      <w:kern w:val="2"/>
                      <w:sz w:val="21"/>
                      <w:szCs w:val="21"/>
                      <w:lang w:val="en-US" w:eastAsia="zh-CN"/>
                    </w:rPr>
                    <w:t>5*0.96</w:t>
                  </w:r>
                </w:p>
              </w:tc>
              <w:tc>
                <w:tcPr>
                  <w:tcW w:w="1454" w:type="dxa"/>
                  <w:noWrap w:val="0"/>
                  <w:vAlign w:val="center"/>
                </w:tcPr>
                <w:p w14:paraId="4A6B5821">
                  <w:pPr>
                    <w:pStyle w:val="140"/>
                    <w:spacing w:line="240" w:lineRule="atLeast"/>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氨水储罐</w:t>
                  </w:r>
                </w:p>
              </w:tc>
            </w:tr>
            <w:tr w14:paraId="56A0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14:paraId="46ACE786">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4EF8461B">
                  <w:pPr>
                    <w:pStyle w:val="92"/>
                    <w:spacing w:line="240" w:lineRule="atLeast"/>
                    <w:ind w:right="-105" w:rightChars="-5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机油</w:t>
                  </w:r>
                </w:p>
              </w:tc>
              <w:tc>
                <w:tcPr>
                  <w:tcW w:w="1528" w:type="dxa"/>
                  <w:noWrap w:val="0"/>
                  <w:vAlign w:val="center"/>
                </w:tcPr>
                <w:p w14:paraId="751FE224">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378" w:type="dxa"/>
                  <w:noWrap w:val="0"/>
                  <w:vAlign w:val="center"/>
                </w:tcPr>
                <w:p w14:paraId="2BBD9786">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5C4448A1">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1</w:t>
                  </w:r>
                </w:p>
              </w:tc>
              <w:tc>
                <w:tcPr>
                  <w:tcW w:w="1454" w:type="dxa"/>
                  <w:noWrap w:val="0"/>
                  <w:vAlign w:val="center"/>
                </w:tcPr>
                <w:p w14:paraId="01D33405">
                  <w:pPr>
                    <w:pStyle w:val="140"/>
                    <w:spacing w:line="240" w:lineRule="atLeast"/>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发电机房</w:t>
                  </w:r>
                </w:p>
              </w:tc>
            </w:tr>
            <w:tr w14:paraId="4CBB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14:paraId="5B8097BD">
                  <w:pPr>
                    <w:pStyle w:val="140"/>
                    <w:spacing w:line="240" w:lineRule="atLeast"/>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42CD1000">
                  <w:pPr>
                    <w:pStyle w:val="92"/>
                    <w:spacing w:line="240" w:lineRule="atLeast"/>
                    <w:ind w:right="-105" w:rightChars="-5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废机油</w:t>
                  </w:r>
                </w:p>
              </w:tc>
              <w:tc>
                <w:tcPr>
                  <w:tcW w:w="1528" w:type="dxa"/>
                  <w:noWrap w:val="0"/>
                  <w:vAlign w:val="center"/>
                </w:tcPr>
                <w:p w14:paraId="01F35515">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378" w:type="dxa"/>
                  <w:noWrap w:val="0"/>
                  <w:vAlign w:val="center"/>
                </w:tcPr>
                <w:p w14:paraId="67A4AD3C">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c>
                <w:tcPr>
                  <w:tcW w:w="1454" w:type="dxa"/>
                  <w:noWrap w:val="0"/>
                  <w:vAlign w:val="center"/>
                </w:tcPr>
                <w:p w14:paraId="4AC27B05">
                  <w:pPr>
                    <w:pStyle w:val="140"/>
                    <w:spacing w:line="240" w:lineRule="atLeast"/>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1</w:t>
                  </w:r>
                </w:p>
              </w:tc>
              <w:tc>
                <w:tcPr>
                  <w:tcW w:w="1454" w:type="dxa"/>
                  <w:noWrap w:val="0"/>
                  <w:vAlign w:val="center"/>
                </w:tcPr>
                <w:p w14:paraId="5E6F5505">
                  <w:pPr>
                    <w:pStyle w:val="140"/>
                    <w:spacing w:line="240" w:lineRule="atLeast"/>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危废间</w:t>
                  </w:r>
                </w:p>
              </w:tc>
            </w:tr>
          </w:tbl>
          <w:p w14:paraId="0DE8ED9E">
            <w:pPr>
              <w:pStyle w:val="139"/>
              <w:adjustRightInd w:val="0"/>
              <w:snapToGrid w:val="0"/>
              <w:spacing w:line="240" w:lineRule="atLeast"/>
              <w:ind w:firstLine="360"/>
              <w:rPr>
                <w:rFonts w:hint="default" w:eastAsia="宋体"/>
                <w:color w:val="auto"/>
                <w:sz w:val="18"/>
                <w:szCs w:val="18"/>
                <w:lang w:val="en-US" w:eastAsia="zh-CN"/>
              </w:rPr>
            </w:pPr>
            <w:r>
              <w:rPr>
                <w:rFonts w:hint="eastAsia"/>
                <w:color w:val="auto"/>
                <w:sz w:val="18"/>
                <w:szCs w:val="18"/>
              </w:rPr>
              <w:t>注：厂区天然气管道DN100（内径100mm），厂内管道长度约</w:t>
            </w:r>
            <w:r>
              <w:rPr>
                <w:rFonts w:hint="eastAsia"/>
                <w:color w:val="auto"/>
                <w:sz w:val="18"/>
                <w:szCs w:val="18"/>
                <w:lang w:val="en-US" w:eastAsia="zh-CN"/>
              </w:rPr>
              <w:t>3</w:t>
            </w:r>
            <w:r>
              <w:rPr>
                <w:rFonts w:hint="eastAsia"/>
                <w:color w:val="auto"/>
                <w:sz w:val="18"/>
                <w:szCs w:val="18"/>
              </w:rPr>
              <w:t>00m，天然气管道约存有天然气</w:t>
            </w:r>
            <w:r>
              <w:rPr>
                <w:rFonts w:hint="eastAsia"/>
                <w:color w:val="auto"/>
                <w:sz w:val="18"/>
                <w:szCs w:val="18"/>
                <w:lang w:val="en-US" w:eastAsia="zh-CN"/>
              </w:rPr>
              <w:t>18.84</w:t>
            </w:r>
            <w:r>
              <w:rPr>
                <w:rFonts w:hint="eastAsia"/>
                <w:color w:val="auto"/>
                <w:sz w:val="18"/>
                <w:szCs w:val="18"/>
              </w:rPr>
              <w:t>m</w:t>
            </w:r>
            <w:r>
              <w:rPr>
                <w:rFonts w:hint="eastAsia"/>
                <w:color w:val="auto"/>
                <w:sz w:val="18"/>
                <w:szCs w:val="18"/>
                <w:vertAlign w:val="superscript"/>
              </w:rPr>
              <w:t>3</w:t>
            </w:r>
            <w:r>
              <w:rPr>
                <w:rFonts w:hint="eastAsia"/>
                <w:color w:val="auto"/>
                <w:sz w:val="18"/>
                <w:szCs w:val="18"/>
              </w:rPr>
              <w:t>，天然气密度为0.7056kg/Nm</w:t>
            </w:r>
            <w:r>
              <w:rPr>
                <w:rFonts w:hint="eastAsia"/>
                <w:color w:val="auto"/>
                <w:sz w:val="18"/>
                <w:szCs w:val="18"/>
                <w:vertAlign w:val="superscript"/>
              </w:rPr>
              <w:t>3</w:t>
            </w:r>
            <w:r>
              <w:rPr>
                <w:rFonts w:hint="eastAsia"/>
                <w:color w:val="auto"/>
                <w:sz w:val="18"/>
                <w:szCs w:val="18"/>
              </w:rPr>
              <w:t>，计算出天然气约</w:t>
            </w:r>
            <w:r>
              <w:rPr>
                <w:rFonts w:hint="eastAsia"/>
                <w:color w:val="auto"/>
                <w:sz w:val="18"/>
                <w:szCs w:val="18"/>
                <w:lang w:val="en-US" w:eastAsia="zh-CN"/>
              </w:rPr>
              <w:t>13.29</w:t>
            </w:r>
            <w:r>
              <w:rPr>
                <w:rFonts w:hint="eastAsia"/>
                <w:color w:val="auto"/>
                <w:sz w:val="18"/>
                <w:szCs w:val="18"/>
              </w:rPr>
              <w:t>kg，按天然气中甲烷100%计，甲烷约</w:t>
            </w:r>
            <w:r>
              <w:rPr>
                <w:rFonts w:hint="eastAsia"/>
                <w:color w:val="auto"/>
                <w:sz w:val="18"/>
                <w:szCs w:val="18"/>
                <w:lang w:val="en-US" w:eastAsia="zh-CN"/>
              </w:rPr>
              <w:t>13.29</w:t>
            </w:r>
            <w:r>
              <w:rPr>
                <w:rFonts w:hint="eastAsia"/>
                <w:color w:val="auto"/>
                <w:sz w:val="18"/>
                <w:szCs w:val="18"/>
              </w:rPr>
              <w:t>kg，折合为0.0</w:t>
            </w:r>
            <w:r>
              <w:rPr>
                <w:rFonts w:hint="eastAsia"/>
                <w:color w:val="auto"/>
                <w:sz w:val="18"/>
                <w:szCs w:val="18"/>
                <w:lang w:val="en-US" w:eastAsia="zh-CN"/>
              </w:rPr>
              <w:t>133</w:t>
            </w:r>
            <w:r>
              <w:rPr>
                <w:rFonts w:hint="eastAsia"/>
                <w:color w:val="auto"/>
                <w:sz w:val="18"/>
                <w:szCs w:val="18"/>
              </w:rPr>
              <w:t>t。</w:t>
            </w:r>
            <w:r>
              <w:rPr>
                <w:rFonts w:hint="eastAsia"/>
                <w:color w:val="auto"/>
                <w:sz w:val="18"/>
                <w:szCs w:val="18"/>
                <w:lang w:val="en-US" w:eastAsia="zh-CN"/>
              </w:rPr>
              <w:t>本项目氨水质量分数10%，Q值核算不将其纳入风险物质核算。废气二氧化硫、氮氧化物（按照二氧化氮计）、氨气在线量按照单位小时产生量进行核算。</w:t>
            </w:r>
          </w:p>
          <w:p w14:paraId="55141315">
            <w:pPr>
              <w:pStyle w:val="139"/>
              <w:spacing w:before="120" w:beforeLines="50"/>
              <w:ind w:firstLine="480"/>
              <w:jc w:val="left"/>
              <w:rPr>
                <w:rFonts w:hint="eastAsia"/>
                <w:color w:val="auto"/>
                <w:sz w:val="21"/>
                <w:szCs w:val="21"/>
              </w:rPr>
            </w:pPr>
            <w:r>
              <w:rPr>
                <w:color w:val="auto"/>
                <w:sz w:val="21"/>
                <w:szCs w:val="21"/>
              </w:rPr>
              <w:t>（</w:t>
            </w:r>
            <w:r>
              <w:rPr>
                <w:rFonts w:hint="eastAsia"/>
                <w:color w:val="auto"/>
                <w:sz w:val="21"/>
                <w:szCs w:val="21"/>
              </w:rPr>
              <w:t>2</w:t>
            </w:r>
            <w:r>
              <w:rPr>
                <w:color w:val="auto"/>
                <w:sz w:val="21"/>
                <w:szCs w:val="21"/>
              </w:rPr>
              <w:t>）环境敏感目标调查</w:t>
            </w:r>
          </w:p>
          <w:p w14:paraId="0221D833">
            <w:pPr>
              <w:pStyle w:val="139"/>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color w:val="auto"/>
                <w:sz w:val="21"/>
                <w:szCs w:val="21"/>
              </w:rPr>
            </w:pPr>
            <w:r>
              <w:rPr>
                <w:color w:val="auto"/>
              </w:rPr>
              <w:drawing>
                <wp:anchor distT="0" distB="0" distL="114300" distR="114300" simplePos="0" relativeHeight="251707392" behindDoc="0" locked="0" layoutInCell="1" allowOverlap="1">
                  <wp:simplePos x="0" y="0"/>
                  <wp:positionH relativeFrom="column">
                    <wp:posOffset>4672965</wp:posOffset>
                  </wp:positionH>
                  <wp:positionV relativeFrom="paragraph">
                    <wp:posOffset>41275</wp:posOffset>
                  </wp:positionV>
                  <wp:extent cx="925195" cy="923290"/>
                  <wp:effectExtent l="0" t="0" r="4445" b="6350"/>
                  <wp:wrapNone/>
                  <wp:docPr id="130"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3"/>
                          <pic:cNvPicPr>
                            <a:picLocks noChangeAspect="1"/>
                          </pic:cNvPicPr>
                        </pic:nvPicPr>
                        <pic:blipFill>
                          <a:blip r:embed="rId17"/>
                          <a:stretch>
                            <a:fillRect/>
                          </a:stretch>
                        </pic:blipFill>
                        <pic:spPr>
                          <a:xfrm>
                            <a:off x="0" y="0"/>
                            <a:ext cx="925195" cy="923290"/>
                          </a:xfrm>
                          <a:prstGeom prst="rect">
                            <a:avLst/>
                          </a:prstGeom>
                          <a:noFill/>
                          <a:ln>
                            <a:noFill/>
                          </a:ln>
                        </pic:spPr>
                      </pic:pic>
                    </a:graphicData>
                  </a:graphic>
                </wp:anchor>
              </w:drawing>
            </w:r>
            <w:r>
              <w:rPr>
                <w:color w:val="auto"/>
              </w:rPr>
              <w:drawing>
                <wp:inline distT="0" distB="0" distL="114300" distR="114300">
                  <wp:extent cx="5615940" cy="5165725"/>
                  <wp:effectExtent l="0" t="0" r="7620" b="635"/>
                  <wp:docPr id="1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
                          <pic:cNvPicPr>
                            <a:picLocks noChangeAspect="1"/>
                          </pic:cNvPicPr>
                        </pic:nvPicPr>
                        <pic:blipFill>
                          <a:blip r:embed="rId18"/>
                          <a:stretch>
                            <a:fillRect/>
                          </a:stretch>
                        </pic:blipFill>
                        <pic:spPr>
                          <a:xfrm>
                            <a:off x="0" y="0"/>
                            <a:ext cx="5615940" cy="5165725"/>
                          </a:xfrm>
                          <a:prstGeom prst="rect">
                            <a:avLst/>
                          </a:prstGeom>
                          <a:noFill/>
                          <a:ln>
                            <a:noFill/>
                          </a:ln>
                        </pic:spPr>
                      </pic:pic>
                    </a:graphicData>
                  </a:graphic>
                </wp:inline>
              </w:drawing>
            </w:r>
          </w:p>
          <w:p w14:paraId="78175185">
            <w:pPr>
              <w:spacing w:line="360" w:lineRule="auto"/>
              <w:jc w:val="center"/>
              <w:rPr>
                <w:rFonts w:hint="eastAsia"/>
                <w:b/>
                <w:color w:val="auto"/>
              </w:rPr>
            </w:pPr>
            <w:r>
              <w:rPr>
                <w:b/>
                <w:color w:val="auto"/>
              </w:rPr>
              <w:t>图</w:t>
            </w:r>
            <w:r>
              <w:rPr>
                <w:rFonts w:hint="eastAsia"/>
                <w:b/>
                <w:color w:val="auto"/>
              </w:rPr>
              <w:t xml:space="preserve">10  </w:t>
            </w:r>
            <w:r>
              <w:rPr>
                <w:b/>
                <w:color w:val="auto"/>
              </w:rPr>
              <w:t xml:space="preserve"> </w:t>
            </w:r>
            <w:r>
              <w:rPr>
                <w:rFonts w:hint="eastAsia"/>
                <w:b/>
                <w:color w:val="auto"/>
              </w:rPr>
              <w:t>项目</w:t>
            </w:r>
            <w:r>
              <w:rPr>
                <w:b/>
                <w:color w:val="auto"/>
              </w:rPr>
              <w:t>环境保护目标</w:t>
            </w:r>
            <w:r>
              <w:rPr>
                <w:rFonts w:hint="eastAsia"/>
                <w:b/>
                <w:color w:val="auto"/>
              </w:rPr>
              <w:t>及</w:t>
            </w:r>
            <w:r>
              <w:rPr>
                <w:b/>
                <w:color w:val="auto"/>
              </w:rPr>
              <w:t>评价范围示意图</w:t>
            </w:r>
          </w:p>
          <w:p w14:paraId="4F055507">
            <w:pPr>
              <w:spacing w:line="360" w:lineRule="auto"/>
              <w:jc w:val="center"/>
              <w:rPr>
                <w:rFonts w:hint="default" w:eastAsia="宋体"/>
                <w:b/>
                <w:color w:val="auto"/>
                <w:szCs w:val="21"/>
                <w:lang w:val="en-US" w:eastAsia="zh-CN"/>
              </w:rPr>
            </w:pPr>
            <w:r>
              <w:rPr>
                <w:b/>
                <w:color w:val="auto"/>
                <w:szCs w:val="21"/>
              </w:rPr>
              <w:t>表</w:t>
            </w:r>
            <w:r>
              <w:rPr>
                <w:rFonts w:hint="eastAsia"/>
                <w:b/>
                <w:color w:val="auto"/>
                <w:szCs w:val="21"/>
              </w:rPr>
              <w:t>7-2</w:t>
            </w:r>
            <w:r>
              <w:rPr>
                <w:b/>
                <w:color w:val="auto"/>
                <w:szCs w:val="21"/>
              </w:rPr>
              <w:t xml:space="preserve">  </w:t>
            </w:r>
            <w:r>
              <w:rPr>
                <w:rFonts w:hint="eastAsia"/>
                <w:b/>
                <w:color w:val="auto"/>
                <w:szCs w:val="21"/>
              </w:rPr>
              <w:t>本项目</w:t>
            </w:r>
            <w:r>
              <w:rPr>
                <w:b/>
                <w:color w:val="auto"/>
                <w:szCs w:val="21"/>
              </w:rPr>
              <w:t>环境</w:t>
            </w:r>
            <w:r>
              <w:rPr>
                <w:rFonts w:hint="eastAsia"/>
                <w:b/>
                <w:color w:val="auto"/>
                <w:szCs w:val="21"/>
              </w:rPr>
              <w:t>风险敏感</w:t>
            </w:r>
            <w:r>
              <w:rPr>
                <w:b/>
                <w:color w:val="auto"/>
                <w:szCs w:val="21"/>
              </w:rPr>
              <w:t>目标</w:t>
            </w:r>
            <w:r>
              <w:rPr>
                <w:rFonts w:hint="eastAsia"/>
                <w:b/>
                <w:color w:val="auto"/>
                <w:szCs w:val="21"/>
              </w:rPr>
              <w:t>一览</w:t>
            </w:r>
            <w:r>
              <w:rPr>
                <w:b/>
                <w:color w:val="auto"/>
                <w:szCs w:val="21"/>
              </w:rPr>
              <w:t>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95"/>
              <w:gridCol w:w="502"/>
              <w:gridCol w:w="1061"/>
              <w:gridCol w:w="2982"/>
              <w:gridCol w:w="852"/>
              <w:gridCol w:w="1133"/>
              <w:gridCol w:w="1609"/>
            </w:tblGrid>
            <w:tr w14:paraId="091F7E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393" w:type="pct"/>
                  <w:tcBorders>
                    <w:bottom w:val="single" w:color="auto" w:sz="4" w:space="0"/>
                  </w:tcBorders>
                  <w:noWrap w:val="0"/>
                  <w:vAlign w:val="center"/>
                </w:tcPr>
                <w:p w14:paraId="5C69C518">
                  <w:pPr>
                    <w:jc w:val="center"/>
                    <w:rPr>
                      <w:b/>
                      <w:color w:val="auto"/>
                      <w:szCs w:val="21"/>
                    </w:rPr>
                  </w:pPr>
                  <w:bookmarkStart w:id="27" w:name="_Toc377391715"/>
                  <w:bookmarkStart w:id="28" w:name="_Toc171782187"/>
                  <w:r>
                    <w:rPr>
                      <w:rFonts w:hint="eastAsia"/>
                      <w:b/>
                      <w:color w:val="auto"/>
                      <w:szCs w:val="21"/>
                    </w:rPr>
                    <w:t>项目</w:t>
                  </w:r>
                </w:p>
              </w:tc>
              <w:tc>
                <w:tcPr>
                  <w:tcW w:w="884" w:type="pct"/>
                  <w:gridSpan w:val="2"/>
                  <w:tcBorders>
                    <w:right w:val="single" w:color="auto" w:sz="4" w:space="0"/>
                  </w:tcBorders>
                  <w:noWrap w:val="0"/>
                  <w:vAlign w:val="center"/>
                </w:tcPr>
                <w:p w14:paraId="253C9D67">
                  <w:pPr>
                    <w:jc w:val="center"/>
                    <w:rPr>
                      <w:b/>
                      <w:color w:val="auto"/>
                      <w:szCs w:val="21"/>
                    </w:rPr>
                  </w:pPr>
                  <w:r>
                    <w:rPr>
                      <w:b/>
                      <w:color w:val="auto"/>
                      <w:szCs w:val="21"/>
                    </w:rPr>
                    <w:t>名称</w:t>
                  </w:r>
                </w:p>
              </w:tc>
              <w:tc>
                <w:tcPr>
                  <w:tcW w:w="1687" w:type="pct"/>
                  <w:tcBorders>
                    <w:left w:val="single" w:color="auto" w:sz="4" w:space="0"/>
                  </w:tcBorders>
                  <w:noWrap w:val="0"/>
                  <w:vAlign w:val="center"/>
                </w:tcPr>
                <w:p w14:paraId="6AF2FA38">
                  <w:pPr>
                    <w:jc w:val="center"/>
                    <w:rPr>
                      <w:b/>
                      <w:color w:val="auto"/>
                      <w:szCs w:val="21"/>
                    </w:rPr>
                  </w:pPr>
                  <w:r>
                    <w:rPr>
                      <w:rFonts w:hint="eastAsia"/>
                      <w:b/>
                      <w:color w:val="auto"/>
                      <w:szCs w:val="21"/>
                    </w:rPr>
                    <w:t>坐标</w:t>
                  </w:r>
                </w:p>
              </w:tc>
              <w:tc>
                <w:tcPr>
                  <w:tcW w:w="482" w:type="pct"/>
                  <w:noWrap w:val="0"/>
                  <w:vAlign w:val="center"/>
                </w:tcPr>
                <w:p w14:paraId="55EBA4FE">
                  <w:pPr>
                    <w:jc w:val="center"/>
                    <w:rPr>
                      <w:b/>
                      <w:color w:val="auto"/>
                      <w:szCs w:val="21"/>
                    </w:rPr>
                  </w:pPr>
                  <w:r>
                    <w:rPr>
                      <w:b/>
                      <w:color w:val="auto"/>
                      <w:szCs w:val="21"/>
                    </w:rPr>
                    <w:t>方位</w:t>
                  </w:r>
                </w:p>
              </w:tc>
              <w:tc>
                <w:tcPr>
                  <w:tcW w:w="641" w:type="pct"/>
                  <w:noWrap w:val="0"/>
                  <w:vAlign w:val="center"/>
                </w:tcPr>
                <w:p w14:paraId="24EDC450">
                  <w:pPr>
                    <w:jc w:val="center"/>
                    <w:rPr>
                      <w:b/>
                      <w:color w:val="auto"/>
                      <w:szCs w:val="21"/>
                    </w:rPr>
                  </w:pPr>
                  <w:r>
                    <w:rPr>
                      <w:b/>
                      <w:color w:val="auto"/>
                      <w:szCs w:val="21"/>
                    </w:rPr>
                    <w:t>距离（m）</w:t>
                  </w:r>
                </w:p>
              </w:tc>
              <w:tc>
                <w:tcPr>
                  <w:tcW w:w="910" w:type="pct"/>
                  <w:noWrap w:val="0"/>
                  <w:vAlign w:val="center"/>
                </w:tcPr>
                <w:p w14:paraId="0216F91C">
                  <w:pPr>
                    <w:jc w:val="center"/>
                    <w:rPr>
                      <w:b/>
                      <w:color w:val="auto"/>
                      <w:szCs w:val="21"/>
                    </w:rPr>
                  </w:pPr>
                  <w:r>
                    <w:rPr>
                      <w:rFonts w:hint="eastAsia"/>
                      <w:b/>
                      <w:color w:val="auto"/>
                      <w:szCs w:val="21"/>
                    </w:rPr>
                    <w:t>保护对象</w:t>
                  </w:r>
                </w:p>
              </w:tc>
            </w:tr>
            <w:bookmarkEnd w:id="27"/>
            <w:bookmarkEnd w:id="28"/>
            <w:tr w14:paraId="61F9B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restart"/>
                  <w:tcBorders>
                    <w:top w:val="single" w:color="auto" w:sz="4" w:space="0"/>
                  </w:tcBorders>
                  <w:noWrap w:val="0"/>
                  <w:vAlign w:val="center"/>
                </w:tcPr>
                <w:p w14:paraId="0AD9E6D9">
                  <w:pPr>
                    <w:jc w:val="center"/>
                    <w:rPr>
                      <w:bCs/>
                      <w:color w:val="auto"/>
                      <w:szCs w:val="21"/>
                    </w:rPr>
                  </w:pPr>
                  <w:r>
                    <w:rPr>
                      <w:rFonts w:hint="eastAsia"/>
                      <w:bCs/>
                      <w:color w:val="auto"/>
                      <w:szCs w:val="21"/>
                    </w:rPr>
                    <w:t>大气</w:t>
                  </w:r>
                  <w:r>
                    <w:rPr>
                      <w:bCs/>
                      <w:color w:val="auto"/>
                      <w:szCs w:val="21"/>
                    </w:rPr>
                    <w:t>环境</w:t>
                  </w:r>
                  <w:r>
                    <w:rPr>
                      <w:rFonts w:hint="eastAsia"/>
                      <w:bCs/>
                      <w:color w:val="auto"/>
                      <w:szCs w:val="21"/>
                    </w:rPr>
                    <w:t>风险</w:t>
                  </w:r>
                </w:p>
                <w:p w14:paraId="0BB57061">
                  <w:pPr>
                    <w:jc w:val="center"/>
                    <w:rPr>
                      <w:color w:val="auto"/>
                      <w:szCs w:val="21"/>
                    </w:rPr>
                  </w:pPr>
                  <w:r>
                    <w:rPr>
                      <w:rFonts w:hint="eastAsia"/>
                      <w:bCs/>
                      <w:color w:val="auto"/>
                      <w:szCs w:val="21"/>
                    </w:rPr>
                    <w:t>敏感</w:t>
                  </w:r>
                  <w:r>
                    <w:rPr>
                      <w:bCs/>
                      <w:color w:val="auto"/>
                      <w:szCs w:val="21"/>
                    </w:rPr>
                    <w:t>目标</w:t>
                  </w:r>
                </w:p>
              </w:tc>
              <w:tc>
                <w:tcPr>
                  <w:tcW w:w="284" w:type="pct"/>
                  <w:tcBorders>
                    <w:right w:val="single" w:color="auto" w:sz="4" w:space="0"/>
                  </w:tcBorders>
                  <w:noWrap w:val="0"/>
                  <w:vAlign w:val="center"/>
                </w:tcPr>
                <w:p w14:paraId="1FCA70E3">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00" w:type="pct"/>
                  <w:tcBorders>
                    <w:left w:val="single" w:color="auto" w:sz="4" w:space="0"/>
                    <w:right w:val="single" w:color="auto" w:sz="4" w:space="0"/>
                  </w:tcBorders>
                  <w:noWrap w:val="0"/>
                  <w:vAlign w:val="center"/>
                </w:tcPr>
                <w:p w14:paraId="2C0F5A5E">
                  <w:pPr>
                    <w:jc w:val="center"/>
                    <w:rPr>
                      <w:rFonts w:ascii="宋体" w:hAnsi="宋体" w:cs="Tahoma"/>
                      <w:color w:val="auto"/>
                      <w:szCs w:val="21"/>
                    </w:rPr>
                  </w:pPr>
                  <w:r>
                    <w:rPr>
                      <w:rFonts w:hint="eastAsia" w:ascii="宋体" w:hAnsi="宋体" w:cs="Tahoma"/>
                      <w:color w:val="auto"/>
                      <w:szCs w:val="21"/>
                    </w:rPr>
                    <w:t>新孟新村</w:t>
                  </w:r>
                </w:p>
              </w:tc>
              <w:tc>
                <w:tcPr>
                  <w:tcW w:w="1687" w:type="pct"/>
                  <w:tcBorders>
                    <w:left w:val="single" w:color="auto" w:sz="4" w:space="0"/>
                  </w:tcBorders>
                  <w:noWrap w:val="0"/>
                  <w:vAlign w:val="center"/>
                </w:tcPr>
                <w:p w14:paraId="08D5138C">
                  <w:pPr>
                    <w:jc w:val="center"/>
                    <w:rPr>
                      <w:color w:val="auto"/>
                      <w:szCs w:val="21"/>
                    </w:rPr>
                  </w:pPr>
                  <w:r>
                    <w:rPr>
                      <w:rFonts w:hAnsi="宋体"/>
                      <w:color w:val="auto"/>
                      <w:szCs w:val="21"/>
                    </w:rPr>
                    <w:t>（</w:t>
                  </w:r>
                  <w:r>
                    <w:rPr>
                      <w:color w:val="auto"/>
                      <w:szCs w:val="21"/>
                    </w:rPr>
                    <w:t>118.8</w:t>
                  </w:r>
                  <w:r>
                    <w:rPr>
                      <w:rFonts w:hint="eastAsia"/>
                      <w:color w:val="auto"/>
                      <w:szCs w:val="21"/>
                      <w:lang w:val="en-US" w:eastAsia="zh-CN"/>
                    </w:rPr>
                    <w:t>92696</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570579</w:t>
                  </w:r>
                  <w:r>
                    <w:rPr>
                      <w:rFonts w:hAnsi="宋体"/>
                      <w:color w:val="auto"/>
                      <w:szCs w:val="21"/>
                    </w:rPr>
                    <w:t>）</w:t>
                  </w:r>
                </w:p>
              </w:tc>
              <w:tc>
                <w:tcPr>
                  <w:tcW w:w="482" w:type="pct"/>
                  <w:noWrap w:val="0"/>
                  <w:vAlign w:val="center"/>
                </w:tcPr>
                <w:p w14:paraId="05BF89C3">
                  <w:pPr>
                    <w:adjustRightInd w:val="0"/>
                    <w:snapToGrid w:val="0"/>
                    <w:jc w:val="center"/>
                    <w:rPr>
                      <w:color w:val="auto"/>
                      <w:szCs w:val="21"/>
                    </w:rPr>
                  </w:pPr>
                  <w:r>
                    <w:rPr>
                      <w:rFonts w:hint="eastAsia"/>
                      <w:color w:val="auto"/>
                      <w:szCs w:val="21"/>
                    </w:rPr>
                    <w:t>N</w:t>
                  </w:r>
                </w:p>
              </w:tc>
              <w:tc>
                <w:tcPr>
                  <w:tcW w:w="641" w:type="pct"/>
                  <w:noWrap w:val="0"/>
                  <w:vAlign w:val="center"/>
                </w:tcPr>
                <w:p w14:paraId="48CD2F27">
                  <w:pPr>
                    <w:adjustRightInd w:val="0"/>
                    <w:snapToGrid w:val="0"/>
                    <w:jc w:val="center"/>
                    <w:rPr>
                      <w:rFonts w:hint="default" w:eastAsia="宋体"/>
                      <w:color w:val="auto"/>
                      <w:szCs w:val="21"/>
                      <w:lang w:val="en-US" w:eastAsia="zh-CN"/>
                    </w:rPr>
                  </w:pPr>
                  <w:r>
                    <w:rPr>
                      <w:rFonts w:hint="eastAsia"/>
                      <w:color w:val="auto"/>
                      <w:szCs w:val="21"/>
                      <w:lang w:val="en-US" w:eastAsia="zh-CN"/>
                    </w:rPr>
                    <w:t>75</w:t>
                  </w:r>
                </w:p>
              </w:tc>
              <w:tc>
                <w:tcPr>
                  <w:tcW w:w="910" w:type="pct"/>
                  <w:noWrap w:val="0"/>
                  <w:vAlign w:val="center"/>
                </w:tcPr>
                <w:p w14:paraId="46592E49">
                  <w:pPr>
                    <w:adjustRightInd w:val="0"/>
                    <w:snapToGrid w:val="0"/>
                    <w:jc w:val="center"/>
                    <w:rPr>
                      <w:color w:val="auto"/>
                      <w:szCs w:val="21"/>
                    </w:rPr>
                  </w:pPr>
                  <w:r>
                    <w:rPr>
                      <w:rFonts w:hint="eastAsia"/>
                      <w:color w:val="auto"/>
                      <w:szCs w:val="21"/>
                      <w:lang w:val="en-US" w:eastAsia="zh-CN"/>
                    </w:rPr>
                    <w:t>40</w:t>
                  </w:r>
                  <w:r>
                    <w:rPr>
                      <w:rFonts w:hint="eastAsia"/>
                      <w:color w:val="auto"/>
                      <w:szCs w:val="21"/>
                    </w:rPr>
                    <w:t>0人</w:t>
                  </w:r>
                </w:p>
              </w:tc>
            </w:tr>
            <w:tr w14:paraId="54773E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2A54D0FF">
                  <w:pPr>
                    <w:jc w:val="center"/>
                    <w:rPr>
                      <w:color w:val="auto"/>
                      <w:szCs w:val="21"/>
                    </w:rPr>
                  </w:pPr>
                </w:p>
              </w:tc>
              <w:tc>
                <w:tcPr>
                  <w:tcW w:w="284" w:type="pct"/>
                  <w:tcBorders>
                    <w:right w:val="single" w:color="auto" w:sz="4" w:space="0"/>
                  </w:tcBorders>
                  <w:noWrap w:val="0"/>
                  <w:vAlign w:val="center"/>
                </w:tcPr>
                <w:p w14:paraId="4B7D5B19">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600" w:type="pct"/>
                  <w:tcBorders>
                    <w:left w:val="single" w:color="auto" w:sz="4" w:space="0"/>
                    <w:right w:val="single" w:color="auto" w:sz="4" w:space="0"/>
                  </w:tcBorders>
                  <w:noWrap w:val="0"/>
                  <w:vAlign w:val="center"/>
                </w:tcPr>
                <w:p w14:paraId="18B3FCBF">
                  <w:pPr>
                    <w:jc w:val="center"/>
                    <w:rPr>
                      <w:rFonts w:ascii="宋体" w:hAnsi="宋体" w:cs="Tahoma"/>
                      <w:color w:val="auto"/>
                      <w:szCs w:val="21"/>
                    </w:rPr>
                  </w:pPr>
                  <w:r>
                    <w:rPr>
                      <w:rFonts w:hint="eastAsia" w:ascii="宋体" w:hAnsi="宋体" w:cs="Tahoma"/>
                      <w:color w:val="auto"/>
                      <w:szCs w:val="21"/>
                    </w:rPr>
                    <w:t>高郢孜</w:t>
                  </w:r>
                </w:p>
              </w:tc>
              <w:tc>
                <w:tcPr>
                  <w:tcW w:w="1687" w:type="pct"/>
                  <w:tcBorders>
                    <w:left w:val="single" w:color="auto" w:sz="4" w:space="0"/>
                  </w:tcBorders>
                  <w:noWrap w:val="0"/>
                  <w:vAlign w:val="center"/>
                </w:tcPr>
                <w:p w14:paraId="51250678">
                  <w:pPr>
                    <w:jc w:val="center"/>
                    <w:rPr>
                      <w:rFonts w:ascii="宋体" w:hAnsi="宋体" w:cs="Tahoma"/>
                      <w:color w:val="auto"/>
                      <w:szCs w:val="21"/>
                    </w:rPr>
                  </w:pPr>
                  <w:r>
                    <w:rPr>
                      <w:rFonts w:hAnsi="宋体"/>
                      <w:color w:val="auto"/>
                      <w:szCs w:val="21"/>
                    </w:rPr>
                    <w:t>（</w:t>
                  </w:r>
                  <w:r>
                    <w:rPr>
                      <w:color w:val="auto"/>
                      <w:szCs w:val="21"/>
                    </w:rPr>
                    <w:t>118.</w:t>
                  </w:r>
                  <w:r>
                    <w:rPr>
                      <w:rFonts w:hint="eastAsia"/>
                      <w:color w:val="auto"/>
                      <w:szCs w:val="21"/>
                      <w:lang w:val="en-US" w:eastAsia="zh-CN"/>
                    </w:rPr>
                    <w:t>895228</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570021</w:t>
                  </w:r>
                  <w:r>
                    <w:rPr>
                      <w:rFonts w:hAnsi="宋体"/>
                      <w:color w:val="auto"/>
                      <w:szCs w:val="21"/>
                    </w:rPr>
                    <w:t>）</w:t>
                  </w:r>
                </w:p>
              </w:tc>
              <w:tc>
                <w:tcPr>
                  <w:tcW w:w="482" w:type="pct"/>
                  <w:noWrap w:val="0"/>
                  <w:vAlign w:val="center"/>
                </w:tcPr>
                <w:p w14:paraId="3DEE79E5">
                  <w:pPr>
                    <w:adjustRightInd w:val="0"/>
                    <w:snapToGrid w:val="0"/>
                    <w:jc w:val="center"/>
                    <w:rPr>
                      <w:color w:val="auto"/>
                      <w:szCs w:val="21"/>
                    </w:rPr>
                  </w:pPr>
                  <w:r>
                    <w:rPr>
                      <w:rFonts w:hint="eastAsia"/>
                      <w:color w:val="auto"/>
                      <w:szCs w:val="21"/>
                    </w:rPr>
                    <w:t>NE</w:t>
                  </w:r>
                </w:p>
              </w:tc>
              <w:tc>
                <w:tcPr>
                  <w:tcW w:w="641" w:type="pct"/>
                  <w:noWrap w:val="0"/>
                  <w:vAlign w:val="center"/>
                </w:tcPr>
                <w:p w14:paraId="206206D0">
                  <w:pPr>
                    <w:adjustRightInd w:val="0"/>
                    <w:snapToGrid w:val="0"/>
                    <w:jc w:val="center"/>
                    <w:rPr>
                      <w:rFonts w:hint="default" w:eastAsia="宋体"/>
                      <w:color w:val="auto"/>
                      <w:szCs w:val="21"/>
                      <w:lang w:val="en-US" w:eastAsia="zh-CN"/>
                    </w:rPr>
                  </w:pPr>
                  <w:r>
                    <w:rPr>
                      <w:rFonts w:hint="eastAsia"/>
                      <w:color w:val="auto"/>
                      <w:szCs w:val="21"/>
                      <w:lang w:val="en-US" w:eastAsia="zh-CN"/>
                    </w:rPr>
                    <w:t>75</w:t>
                  </w:r>
                </w:p>
              </w:tc>
              <w:tc>
                <w:tcPr>
                  <w:tcW w:w="910" w:type="pct"/>
                  <w:noWrap w:val="0"/>
                  <w:vAlign w:val="center"/>
                </w:tcPr>
                <w:p w14:paraId="5A4A4AB7">
                  <w:pPr>
                    <w:adjustRightInd w:val="0"/>
                    <w:snapToGrid w:val="0"/>
                    <w:jc w:val="center"/>
                    <w:rPr>
                      <w:color w:val="auto"/>
                      <w:szCs w:val="21"/>
                    </w:rPr>
                  </w:pPr>
                  <w:r>
                    <w:rPr>
                      <w:rFonts w:hint="eastAsia"/>
                      <w:color w:val="auto"/>
                      <w:szCs w:val="21"/>
                      <w:lang w:val="en-US" w:eastAsia="zh-CN"/>
                    </w:rPr>
                    <w:t>225</w:t>
                  </w:r>
                  <w:r>
                    <w:rPr>
                      <w:rFonts w:hint="eastAsia"/>
                      <w:color w:val="auto"/>
                      <w:szCs w:val="21"/>
                    </w:rPr>
                    <w:t>人</w:t>
                  </w:r>
                </w:p>
              </w:tc>
            </w:tr>
            <w:tr w14:paraId="347A34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2721AE12">
                  <w:pPr>
                    <w:jc w:val="center"/>
                    <w:rPr>
                      <w:color w:val="auto"/>
                      <w:szCs w:val="21"/>
                    </w:rPr>
                  </w:pPr>
                </w:p>
              </w:tc>
              <w:tc>
                <w:tcPr>
                  <w:tcW w:w="284" w:type="pct"/>
                  <w:tcBorders>
                    <w:right w:val="single" w:color="auto" w:sz="4" w:space="0"/>
                  </w:tcBorders>
                  <w:noWrap w:val="0"/>
                  <w:vAlign w:val="center"/>
                </w:tcPr>
                <w:p w14:paraId="3C409ED4">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600" w:type="pct"/>
                  <w:tcBorders>
                    <w:left w:val="single" w:color="auto" w:sz="4" w:space="0"/>
                    <w:right w:val="single" w:color="auto" w:sz="4" w:space="0"/>
                  </w:tcBorders>
                  <w:noWrap w:val="0"/>
                  <w:vAlign w:val="center"/>
                </w:tcPr>
                <w:p w14:paraId="00C3460D">
                  <w:pPr>
                    <w:jc w:val="center"/>
                    <w:rPr>
                      <w:rFonts w:ascii="宋体" w:hAnsi="宋体" w:cs="Tahoma"/>
                      <w:color w:val="auto"/>
                      <w:szCs w:val="21"/>
                    </w:rPr>
                  </w:pPr>
                  <w:r>
                    <w:rPr>
                      <w:rFonts w:hint="eastAsia" w:ascii="宋体" w:hAnsi="宋体" w:cs="Tahoma"/>
                      <w:color w:val="auto"/>
                      <w:szCs w:val="21"/>
                    </w:rPr>
                    <w:t>李郢孜</w:t>
                  </w:r>
                </w:p>
              </w:tc>
              <w:tc>
                <w:tcPr>
                  <w:tcW w:w="1687" w:type="pct"/>
                  <w:tcBorders>
                    <w:left w:val="single" w:color="auto" w:sz="4" w:space="0"/>
                  </w:tcBorders>
                  <w:noWrap w:val="0"/>
                  <w:vAlign w:val="center"/>
                </w:tcPr>
                <w:p w14:paraId="52B5FC60">
                  <w:pPr>
                    <w:jc w:val="center"/>
                    <w:rPr>
                      <w:rFonts w:ascii="宋体" w:hAnsi="宋体" w:cs="Tahoma"/>
                      <w:color w:val="auto"/>
                      <w:szCs w:val="21"/>
                    </w:rPr>
                  </w:pPr>
                  <w:r>
                    <w:rPr>
                      <w:rFonts w:hAnsi="宋体"/>
                      <w:color w:val="auto"/>
                      <w:szCs w:val="21"/>
                    </w:rPr>
                    <w:t>（</w:t>
                  </w:r>
                  <w:r>
                    <w:rPr>
                      <w:color w:val="auto"/>
                      <w:szCs w:val="21"/>
                    </w:rPr>
                    <w:t>118.</w:t>
                  </w:r>
                  <w:r>
                    <w:rPr>
                      <w:rFonts w:hint="eastAsia"/>
                      <w:color w:val="auto"/>
                      <w:szCs w:val="21"/>
                    </w:rPr>
                    <w:t>8</w:t>
                  </w:r>
                  <w:r>
                    <w:rPr>
                      <w:rFonts w:hint="eastAsia"/>
                      <w:color w:val="auto"/>
                      <w:szCs w:val="21"/>
                      <w:lang w:val="en-US" w:eastAsia="zh-CN"/>
                    </w:rPr>
                    <w:t>94842</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564608</w:t>
                  </w:r>
                  <w:r>
                    <w:rPr>
                      <w:rFonts w:hAnsi="宋体"/>
                      <w:color w:val="auto"/>
                      <w:szCs w:val="21"/>
                    </w:rPr>
                    <w:t>）</w:t>
                  </w:r>
                </w:p>
              </w:tc>
              <w:tc>
                <w:tcPr>
                  <w:tcW w:w="482" w:type="pct"/>
                  <w:noWrap w:val="0"/>
                  <w:vAlign w:val="center"/>
                </w:tcPr>
                <w:p w14:paraId="7E555476">
                  <w:pPr>
                    <w:adjustRightInd w:val="0"/>
                    <w:snapToGrid w:val="0"/>
                    <w:jc w:val="center"/>
                    <w:rPr>
                      <w:rFonts w:hint="eastAsia" w:eastAsia="宋体"/>
                      <w:color w:val="auto"/>
                      <w:szCs w:val="21"/>
                      <w:lang w:eastAsia="zh-CN"/>
                    </w:rPr>
                  </w:pPr>
                  <w:r>
                    <w:rPr>
                      <w:rFonts w:hint="eastAsia"/>
                      <w:color w:val="auto"/>
                      <w:szCs w:val="21"/>
                      <w:lang w:val="en-US" w:eastAsia="zh-CN"/>
                    </w:rPr>
                    <w:t>E</w:t>
                  </w:r>
                </w:p>
              </w:tc>
              <w:tc>
                <w:tcPr>
                  <w:tcW w:w="641" w:type="pct"/>
                  <w:noWrap w:val="0"/>
                  <w:vAlign w:val="center"/>
                </w:tcPr>
                <w:p w14:paraId="760AFB9F">
                  <w:pPr>
                    <w:adjustRightInd w:val="0"/>
                    <w:snapToGrid w:val="0"/>
                    <w:jc w:val="center"/>
                    <w:rPr>
                      <w:rFonts w:hint="default" w:eastAsia="宋体"/>
                      <w:color w:val="auto"/>
                      <w:szCs w:val="21"/>
                      <w:lang w:val="en-US" w:eastAsia="zh-CN"/>
                    </w:rPr>
                  </w:pPr>
                  <w:r>
                    <w:rPr>
                      <w:rFonts w:hint="eastAsia"/>
                      <w:color w:val="auto"/>
                      <w:szCs w:val="21"/>
                      <w:lang w:val="en-US" w:eastAsia="zh-CN"/>
                    </w:rPr>
                    <w:t>377</w:t>
                  </w:r>
                </w:p>
              </w:tc>
              <w:tc>
                <w:tcPr>
                  <w:tcW w:w="910" w:type="pct"/>
                  <w:noWrap w:val="0"/>
                  <w:vAlign w:val="center"/>
                </w:tcPr>
                <w:p w14:paraId="175035D5">
                  <w:pPr>
                    <w:adjustRightInd w:val="0"/>
                    <w:snapToGrid w:val="0"/>
                    <w:jc w:val="center"/>
                    <w:rPr>
                      <w:color w:val="auto"/>
                      <w:szCs w:val="21"/>
                    </w:rPr>
                  </w:pPr>
                  <w:r>
                    <w:rPr>
                      <w:rFonts w:hint="eastAsia"/>
                      <w:color w:val="auto"/>
                      <w:szCs w:val="21"/>
                      <w:lang w:val="en-US" w:eastAsia="zh-CN"/>
                    </w:rPr>
                    <w:t>1</w:t>
                  </w:r>
                  <w:r>
                    <w:rPr>
                      <w:rFonts w:hint="eastAsia"/>
                      <w:color w:val="auto"/>
                      <w:szCs w:val="21"/>
                    </w:rPr>
                    <w:t>00人</w:t>
                  </w:r>
                </w:p>
              </w:tc>
            </w:tr>
            <w:tr w14:paraId="5A30D8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008D322">
                  <w:pPr>
                    <w:jc w:val="center"/>
                    <w:rPr>
                      <w:color w:val="auto"/>
                      <w:szCs w:val="21"/>
                    </w:rPr>
                  </w:pPr>
                </w:p>
              </w:tc>
              <w:tc>
                <w:tcPr>
                  <w:tcW w:w="284" w:type="pct"/>
                  <w:tcBorders>
                    <w:right w:val="single" w:color="auto" w:sz="4" w:space="0"/>
                  </w:tcBorders>
                  <w:noWrap w:val="0"/>
                  <w:vAlign w:val="center"/>
                </w:tcPr>
                <w:p w14:paraId="04AF3EE1">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600" w:type="pct"/>
                  <w:tcBorders>
                    <w:left w:val="single" w:color="auto" w:sz="4" w:space="0"/>
                    <w:right w:val="single" w:color="auto" w:sz="4" w:space="0"/>
                  </w:tcBorders>
                  <w:noWrap w:val="0"/>
                  <w:vAlign w:val="center"/>
                </w:tcPr>
                <w:p w14:paraId="6A4B39FF">
                  <w:pPr>
                    <w:jc w:val="center"/>
                    <w:rPr>
                      <w:color w:val="auto"/>
                      <w:szCs w:val="21"/>
                    </w:rPr>
                  </w:pPr>
                  <w:r>
                    <w:rPr>
                      <w:rFonts w:hint="eastAsia"/>
                      <w:color w:val="auto"/>
                      <w:szCs w:val="21"/>
                    </w:rPr>
                    <w:t>小东郢孜</w:t>
                  </w:r>
                </w:p>
              </w:tc>
              <w:tc>
                <w:tcPr>
                  <w:tcW w:w="1687" w:type="pct"/>
                  <w:tcBorders>
                    <w:left w:val="single" w:color="auto" w:sz="4" w:space="0"/>
                  </w:tcBorders>
                  <w:noWrap w:val="0"/>
                  <w:vAlign w:val="center"/>
                </w:tcPr>
                <w:p w14:paraId="1197E18D">
                  <w:pPr>
                    <w:jc w:val="center"/>
                    <w:rPr>
                      <w:color w:val="auto"/>
                      <w:szCs w:val="21"/>
                    </w:rPr>
                  </w:pPr>
                  <w:r>
                    <w:rPr>
                      <w:rFonts w:hAnsi="宋体"/>
                      <w:color w:val="auto"/>
                      <w:szCs w:val="21"/>
                    </w:rPr>
                    <w:t>（</w:t>
                  </w:r>
                  <w:r>
                    <w:rPr>
                      <w:color w:val="auto"/>
                      <w:szCs w:val="21"/>
                    </w:rPr>
                    <w:t>118.</w:t>
                  </w:r>
                  <w:r>
                    <w:rPr>
                      <w:rFonts w:hint="eastAsia"/>
                      <w:color w:val="auto"/>
                      <w:szCs w:val="21"/>
                      <w:lang w:val="en-US" w:eastAsia="zh-CN"/>
                    </w:rPr>
                    <w:t>897438</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567676</w:t>
                  </w:r>
                  <w:r>
                    <w:rPr>
                      <w:rFonts w:hAnsi="宋体"/>
                      <w:color w:val="auto"/>
                      <w:szCs w:val="21"/>
                    </w:rPr>
                    <w:t>）</w:t>
                  </w:r>
                </w:p>
              </w:tc>
              <w:tc>
                <w:tcPr>
                  <w:tcW w:w="482" w:type="pct"/>
                  <w:noWrap w:val="0"/>
                  <w:vAlign w:val="center"/>
                </w:tcPr>
                <w:p w14:paraId="59F8B93A">
                  <w:pPr>
                    <w:adjustRightInd w:val="0"/>
                    <w:snapToGrid w:val="0"/>
                    <w:jc w:val="center"/>
                    <w:rPr>
                      <w:rFonts w:hint="default" w:eastAsia="宋体"/>
                      <w:color w:val="auto"/>
                      <w:szCs w:val="21"/>
                      <w:lang w:val="en-US" w:eastAsia="zh-CN"/>
                    </w:rPr>
                  </w:pPr>
                  <w:r>
                    <w:rPr>
                      <w:rFonts w:hint="eastAsia"/>
                      <w:color w:val="auto"/>
                      <w:szCs w:val="21"/>
                      <w:lang w:val="en-US" w:eastAsia="zh-CN"/>
                    </w:rPr>
                    <w:t>SE</w:t>
                  </w:r>
                </w:p>
              </w:tc>
              <w:tc>
                <w:tcPr>
                  <w:tcW w:w="641" w:type="pct"/>
                  <w:noWrap w:val="0"/>
                  <w:vAlign w:val="center"/>
                </w:tcPr>
                <w:p w14:paraId="12B64225">
                  <w:pPr>
                    <w:adjustRightInd w:val="0"/>
                    <w:snapToGrid w:val="0"/>
                    <w:jc w:val="center"/>
                    <w:rPr>
                      <w:rFonts w:hint="default" w:eastAsia="宋体"/>
                      <w:color w:val="auto"/>
                      <w:szCs w:val="21"/>
                      <w:lang w:val="en-US" w:eastAsia="zh-CN"/>
                    </w:rPr>
                  </w:pPr>
                  <w:r>
                    <w:rPr>
                      <w:rFonts w:hint="eastAsia"/>
                      <w:color w:val="auto"/>
                      <w:szCs w:val="21"/>
                      <w:lang w:val="en-US" w:eastAsia="zh-CN"/>
                    </w:rPr>
                    <w:t>423</w:t>
                  </w:r>
                </w:p>
              </w:tc>
              <w:tc>
                <w:tcPr>
                  <w:tcW w:w="910" w:type="pct"/>
                  <w:noWrap w:val="0"/>
                  <w:vAlign w:val="center"/>
                </w:tcPr>
                <w:p w14:paraId="32B54EA6">
                  <w:pPr>
                    <w:adjustRightInd w:val="0"/>
                    <w:snapToGrid w:val="0"/>
                    <w:jc w:val="center"/>
                    <w:rPr>
                      <w:color w:val="auto"/>
                      <w:szCs w:val="21"/>
                    </w:rPr>
                  </w:pPr>
                  <w:r>
                    <w:rPr>
                      <w:rFonts w:hint="eastAsia"/>
                      <w:color w:val="auto"/>
                      <w:szCs w:val="21"/>
                      <w:lang w:val="en-US" w:eastAsia="zh-CN"/>
                    </w:rPr>
                    <w:t>80</w:t>
                  </w:r>
                  <w:r>
                    <w:rPr>
                      <w:rFonts w:hint="eastAsia"/>
                      <w:color w:val="auto"/>
                      <w:szCs w:val="21"/>
                    </w:rPr>
                    <w:t>人</w:t>
                  </w:r>
                </w:p>
              </w:tc>
            </w:tr>
            <w:tr w14:paraId="32635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00B650C">
                  <w:pPr>
                    <w:jc w:val="center"/>
                    <w:rPr>
                      <w:color w:val="auto"/>
                      <w:szCs w:val="21"/>
                    </w:rPr>
                  </w:pPr>
                </w:p>
              </w:tc>
              <w:tc>
                <w:tcPr>
                  <w:tcW w:w="284" w:type="pct"/>
                  <w:tcBorders>
                    <w:right w:val="single" w:color="auto" w:sz="4" w:space="0"/>
                  </w:tcBorders>
                  <w:noWrap w:val="0"/>
                  <w:vAlign w:val="center"/>
                </w:tcPr>
                <w:p w14:paraId="3C64C7DF">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600" w:type="pct"/>
                  <w:tcBorders>
                    <w:left w:val="single" w:color="auto" w:sz="4" w:space="0"/>
                    <w:right w:val="single" w:color="auto" w:sz="4" w:space="0"/>
                  </w:tcBorders>
                  <w:noWrap w:val="0"/>
                  <w:vAlign w:val="center"/>
                </w:tcPr>
                <w:p w14:paraId="6A8A91D0">
                  <w:pPr>
                    <w:jc w:val="center"/>
                    <w:rPr>
                      <w:rFonts w:ascii="宋体" w:hAnsi="宋体" w:cs="Tahoma"/>
                      <w:color w:val="auto"/>
                      <w:szCs w:val="21"/>
                    </w:rPr>
                  </w:pPr>
                  <w:r>
                    <w:rPr>
                      <w:rFonts w:hint="eastAsia" w:ascii="宋体" w:hAnsi="宋体" w:cs="Tahoma"/>
                      <w:color w:val="auto"/>
                      <w:szCs w:val="21"/>
                    </w:rPr>
                    <w:t>二十店村</w:t>
                  </w:r>
                </w:p>
              </w:tc>
              <w:tc>
                <w:tcPr>
                  <w:tcW w:w="1687" w:type="pct"/>
                  <w:tcBorders>
                    <w:left w:val="single" w:color="auto" w:sz="4" w:space="0"/>
                  </w:tcBorders>
                  <w:noWrap w:val="0"/>
                  <w:vAlign w:val="center"/>
                </w:tcPr>
                <w:p w14:paraId="5DBA2A28">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880817</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579884</w:t>
                  </w:r>
                  <w:r>
                    <w:rPr>
                      <w:rFonts w:hAnsi="宋体"/>
                      <w:color w:val="auto"/>
                      <w:szCs w:val="21"/>
                    </w:rPr>
                    <w:t>）</w:t>
                  </w:r>
                </w:p>
              </w:tc>
              <w:tc>
                <w:tcPr>
                  <w:tcW w:w="482" w:type="pct"/>
                  <w:noWrap w:val="0"/>
                  <w:vAlign w:val="center"/>
                </w:tcPr>
                <w:p w14:paraId="3F1C3611">
                  <w:pPr>
                    <w:adjustRightInd w:val="0"/>
                    <w:snapToGrid w:val="0"/>
                    <w:jc w:val="center"/>
                    <w:rPr>
                      <w:color w:val="auto"/>
                      <w:szCs w:val="21"/>
                    </w:rPr>
                  </w:pPr>
                  <w:r>
                    <w:rPr>
                      <w:rFonts w:hint="eastAsia"/>
                      <w:color w:val="auto"/>
                      <w:szCs w:val="21"/>
                    </w:rPr>
                    <w:t>NW</w:t>
                  </w:r>
                </w:p>
              </w:tc>
              <w:tc>
                <w:tcPr>
                  <w:tcW w:w="641" w:type="pct"/>
                  <w:noWrap w:val="0"/>
                  <w:vAlign w:val="center"/>
                </w:tcPr>
                <w:p w14:paraId="5254C9F4">
                  <w:pPr>
                    <w:adjustRightInd w:val="0"/>
                    <w:snapToGrid w:val="0"/>
                    <w:jc w:val="center"/>
                    <w:rPr>
                      <w:rFonts w:hint="default" w:eastAsia="宋体"/>
                      <w:color w:val="auto"/>
                      <w:szCs w:val="21"/>
                      <w:lang w:val="en-US" w:eastAsia="zh-CN"/>
                    </w:rPr>
                  </w:pPr>
                  <w:r>
                    <w:rPr>
                      <w:rFonts w:hint="eastAsia"/>
                      <w:color w:val="auto"/>
                      <w:szCs w:val="21"/>
                      <w:lang w:val="en-US" w:eastAsia="zh-CN"/>
                    </w:rPr>
                    <w:t>1190</w:t>
                  </w:r>
                </w:p>
              </w:tc>
              <w:tc>
                <w:tcPr>
                  <w:tcW w:w="910" w:type="pct"/>
                  <w:noWrap w:val="0"/>
                  <w:vAlign w:val="center"/>
                </w:tcPr>
                <w:p w14:paraId="2ACEBAC8">
                  <w:pPr>
                    <w:adjustRightInd w:val="0"/>
                    <w:snapToGrid w:val="0"/>
                    <w:jc w:val="center"/>
                    <w:rPr>
                      <w:color w:val="auto"/>
                      <w:szCs w:val="21"/>
                    </w:rPr>
                  </w:pPr>
                  <w:r>
                    <w:rPr>
                      <w:rFonts w:hint="eastAsia"/>
                      <w:color w:val="auto"/>
                      <w:szCs w:val="21"/>
                      <w:lang w:val="en-US" w:eastAsia="zh-CN"/>
                    </w:rPr>
                    <w:t>130</w:t>
                  </w:r>
                  <w:r>
                    <w:rPr>
                      <w:rFonts w:hint="eastAsia"/>
                      <w:color w:val="auto"/>
                      <w:szCs w:val="21"/>
                    </w:rPr>
                    <w:t>人</w:t>
                  </w:r>
                </w:p>
              </w:tc>
            </w:tr>
            <w:tr w14:paraId="2B6169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BB66CEB">
                  <w:pPr>
                    <w:jc w:val="center"/>
                    <w:rPr>
                      <w:color w:val="auto"/>
                      <w:szCs w:val="21"/>
                    </w:rPr>
                  </w:pPr>
                </w:p>
              </w:tc>
              <w:tc>
                <w:tcPr>
                  <w:tcW w:w="284" w:type="pct"/>
                  <w:tcBorders>
                    <w:right w:val="single" w:color="auto" w:sz="4" w:space="0"/>
                  </w:tcBorders>
                  <w:noWrap w:val="0"/>
                  <w:vAlign w:val="center"/>
                </w:tcPr>
                <w:p w14:paraId="7E5AF7D0">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600" w:type="pct"/>
                  <w:tcBorders>
                    <w:left w:val="single" w:color="auto" w:sz="4" w:space="0"/>
                    <w:right w:val="single" w:color="auto" w:sz="4" w:space="0"/>
                  </w:tcBorders>
                  <w:noWrap w:val="0"/>
                  <w:vAlign w:val="center"/>
                </w:tcPr>
                <w:p w14:paraId="012406B2">
                  <w:pPr>
                    <w:jc w:val="center"/>
                    <w:rPr>
                      <w:rFonts w:ascii="宋体" w:hAnsi="宋体" w:cs="Tahoma"/>
                      <w:color w:val="auto"/>
                      <w:szCs w:val="21"/>
                    </w:rPr>
                  </w:pPr>
                  <w:r>
                    <w:rPr>
                      <w:rFonts w:hint="eastAsia" w:ascii="宋体" w:hAnsi="宋体" w:cs="Tahoma"/>
                      <w:color w:val="auto"/>
                      <w:szCs w:val="21"/>
                    </w:rPr>
                    <w:t>李郢孜新村</w:t>
                  </w:r>
                </w:p>
              </w:tc>
              <w:tc>
                <w:tcPr>
                  <w:tcW w:w="1687" w:type="pct"/>
                  <w:tcBorders>
                    <w:left w:val="single" w:color="auto" w:sz="4" w:space="0"/>
                  </w:tcBorders>
                  <w:noWrap w:val="0"/>
                  <w:vAlign w:val="center"/>
                </w:tcPr>
                <w:p w14:paraId="1DD9A51F">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883121</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582867</w:t>
                  </w:r>
                  <w:r>
                    <w:rPr>
                      <w:rFonts w:hAnsi="宋体"/>
                      <w:color w:val="auto"/>
                      <w:szCs w:val="21"/>
                    </w:rPr>
                    <w:t>）</w:t>
                  </w:r>
                </w:p>
              </w:tc>
              <w:tc>
                <w:tcPr>
                  <w:tcW w:w="482" w:type="pct"/>
                  <w:noWrap w:val="0"/>
                  <w:vAlign w:val="center"/>
                </w:tcPr>
                <w:p w14:paraId="2C944759">
                  <w:pPr>
                    <w:adjustRightInd w:val="0"/>
                    <w:snapToGrid w:val="0"/>
                    <w:jc w:val="center"/>
                    <w:rPr>
                      <w:color w:val="auto"/>
                      <w:szCs w:val="21"/>
                    </w:rPr>
                  </w:pPr>
                  <w:r>
                    <w:rPr>
                      <w:rFonts w:hint="eastAsia"/>
                      <w:color w:val="auto"/>
                      <w:szCs w:val="21"/>
                    </w:rPr>
                    <w:t>NW</w:t>
                  </w:r>
                </w:p>
              </w:tc>
              <w:tc>
                <w:tcPr>
                  <w:tcW w:w="641" w:type="pct"/>
                  <w:noWrap w:val="0"/>
                  <w:vAlign w:val="center"/>
                </w:tcPr>
                <w:p w14:paraId="020EC46F">
                  <w:pPr>
                    <w:adjustRightInd w:val="0"/>
                    <w:snapToGrid w:val="0"/>
                    <w:jc w:val="center"/>
                    <w:rPr>
                      <w:rFonts w:hint="default" w:eastAsia="宋体"/>
                      <w:color w:val="auto"/>
                      <w:szCs w:val="21"/>
                      <w:lang w:val="en-US" w:eastAsia="zh-CN"/>
                    </w:rPr>
                  </w:pPr>
                  <w:r>
                    <w:rPr>
                      <w:rFonts w:hint="eastAsia"/>
                      <w:color w:val="auto"/>
                      <w:szCs w:val="21"/>
                      <w:lang w:val="en-US" w:eastAsia="zh-CN"/>
                    </w:rPr>
                    <w:t>1278</w:t>
                  </w:r>
                </w:p>
              </w:tc>
              <w:tc>
                <w:tcPr>
                  <w:tcW w:w="910" w:type="pct"/>
                  <w:noWrap w:val="0"/>
                  <w:vAlign w:val="center"/>
                </w:tcPr>
                <w:p w14:paraId="2A9B02FD">
                  <w:pPr>
                    <w:adjustRightInd w:val="0"/>
                    <w:snapToGrid w:val="0"/>
                    <w:jc w:val="center"/>
                    <w:rPr>
                      <w:color w:val="auto"/>
                      <w:szCs w:val="21"/>
                    </w:rPr>
                  </w:pPr>
                  <w:r>
                    <w:rPr>
                      <w:rFonts w:hint="eastAsia"/>
                      <w:color w:val="auto"/>
                      <w:szCs w:val="21"/>
                      <w:lang w:val="en-US" w:eastAsia="zh-CN"/>
                    </w:rPr>
                    <w:t>8000</w:t>
                  </w:r>
                  <w:r>
                    <w:rPr>
                      <w:rFonts w:hint="eastAsia"/>
                      <w:color w:val="auto"/>
                      <w:szCs w:val="21"/>
                    </w:rPr>
                    <w:t>人</w:t>
                  </w:r>
                </w:p>
              </w:tc>
            </w:tr>
            <w:tr w14:paraId="35EAC1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376E8A7">
                  <w:pPr>
                    <w:jc w:val="center"/>
                    <w:rPr>
                      <w:color w:val="auto"/>
                      <w:szCs w:val="21"/>
                    </w:rPr>
                  </w:pPr>
                </w:p>
              </w:tc>
              <w:tc>
                <w:tcPr>
                  <w:tcW w:w="284" w:type="pct"/>
                  <w:tcBorders>
                    <w:right w:val="single" w:color="auto" w:sz="4" w:space="0"/>
                  </w:tcBorders>
                  <w:noWrap w:val="0"/>
                  <w:vAlign w:val="center"/>
                </w:tcPr>
                <w:p w14:paraId="24C793DA">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600" w:type="pct"/>
                  <w:tcBorders>
                    <w:left w:val="single" w:color="auto" w:sz="4" w:space="0"/>
                    <w:right w:val="single" w:color="auto" w:sz="4" w:space="0"/>
                  </w:tcBorders>
                  <w:noWrap w:val="0"/>
                  <w:vAlign w:val="center"/>
                </w:tcPr>
                <w:p w14:paraId="43EA5106">
                  <w:pPr>
                    <w:jc w:val="center"/>
                    <w:rPr>
                      <w:rFonts w:ascii="宋体" w:hAnsi="宋体" w:cs="Tahoma"/>
                      <w:color w:val="auto"/>
                      <w:szCs w:val="21"/>
                    </w:rPr>
                  </w:pPr>
                  <w:r>
                    <w:rPr>
                      <w:rFonts w:hint="eastAsia" w:ascii="宋体" w:hAnsi="宋体" w:cs="Tahoma"/>
                      <w:color w:val="auto"/>
                      <w:szCs w:val="21"/>
                    </w:rPr>
                    <w:t>放响村小区</w:t>
                  </w:r>
                </w:p>
              </w:tc>
              <w:tc>
                <w:tcPr>
                  <w:tcW w:w="1687" w:type="pct"/>
                  <w:tcBorders>
                    <w:left w:val="single" w:color="auto" w:sz="4" w:space="0"/>
                  </w:tcBorders>
                  <w:noWrap w:val="0"/>
                  <w:vAlign w:val="center"/>
                </w:tcPr>
                <w:p w14:paraId="53822A1B">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892262</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584112</w:t>
                  </w:r>
                  <w:r>
                    <w:rPr>
                      <w:rFonts w:hAnsi="宋体"/>
                      <w:color w:val="auto"/>
                      <w:szCs w:val="21"/>
                    </w:rPr>
                    <w:t>）</w:t>
                  </w:r>
                </w:p>
              </w:tc>
              <w:tc>
                <w:tcPr>
                  <w:tcW w:w="482" w:type="pct"/>
                  <w:noWrap w:val="0"/>
                  <w:vAlign w:val="center"/>
                </w:tcPr>
                <w:p w14:paraId="0DF6BB32">
                  <w:pPr>
                    <w:adjustRightInd w:val="0"/>
                    <w:snapToGrid w:val="0"/>
                    <w:jc w:val="center"/>
                    <w:rPr>
                      <w:rFonts w:hint="eastAsia"/>
                      <w:color w:val="auto"/>
                      <w:szCs w:val="21"/>
                    </w:rPr>
                  </w:pPr>
                  <w:r>
                    <w:rPr>
                      <w:rFonts w:hint="eastAsia"/>
                      <w:color w:val="auto"/>
                      <w:szCs w:val="21"/>
                    </w:rPr>
                    <w:t>N</w:t>
                  </w:r>
                </w:p>
              </w:tc>
              <w:tc>
                <w:tcPr>
                  <w:tcW w:w="641" w:type="pct"/>
                  <w:noWrap w:val="0"/>
                  <w:vAlign w:val="center"/>
                </w:tcPr>
                <w:p w14:paraId="53795A70">
                  <w:pPr>
                    <w:adjustRightInd w:val="0"/>
                    <w:snapToGrid w:val="0"/>
                    <w:jc w:val="center"/>
                    <w:rPr>
                      <w:rFonts w:hint="default" w:eastAsia="宋体"/>
                      <w:color w:val="auto"/>
                      <w:szCs w:val="21"/>
                      <w:lang w:val="en-US" w:eastAsia="zh-CN"/>
                    </w:rPr>
                  </w:pPr>
                  <w:r>
                    <w:rPr>
                      <w:rFonts w:hint="eastAsia"/>
                      <w:color w:val="auto"/>
                      <w:szCs w:val="21"/>
                      <w:lang w:val="en-US" w:eastAsia="zh-CN"/>
                    </w:rPr>
                    <w:t>1394</w:t>
                  </w:r>
                </w:p>
              </w:tc>
              <w:tc>
                <w:tcPr>
                  <w:tcW w:w="910" w:type="pct"/>
                  <w:noWrap w:val="0"/>
                  <w:vAlign w:val="center"/>
                </w:tcPr>
                <w:p w14:paraId="273FB7D4">
                  <w:pPr>
                    <w:adjustRightInd w:val="0"/>
                    <w:snapToGrid w:val="0"/>
                    <w:jc w:val="center"/>
                    <w:rPr>
                      <w:rFonts w:hint="eastAsia"/>
                      <w:color w:val="auto"/>
                      <w:szCs w:val="21"/>
                    </w:rPr>
                  </w:pPr>
                  <w:r>
                    <w:rPr>
                      <w:rFonts w:hint="eastAsia"/>
                      <w:color w:val="auto"/>
                      <w:szCs w:val="21"/>
                      <w:lang w:val="en-US" w:eastAsia="zh-CN"/>
                    </w:rPr>
                    <w:t>650</w:t>
                  </w:r>
                  <w:r>
                    <w:rPr>
                      <w:rFonts w:hint="eastAsia"/>
                      <w:color w:val="auto"/>
                      <w:szCs w:val="21"/>
                    </w:rPr>
                    <w:t>人</w:t>
                  </w:r>
                </w:p>
              </w:tc>
            </w:tr>
            <w:tr w14:paraId="121755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A3F53A1">
                  <w:pPr>
                    <w:jc w:val="center"/>
                    <w:rPr>
                      <w:color w:val="auto"/>
                      <w:szCs w:val="21"/>
                    </w:rPr>
                  </w:pPr>
                </w:p>
              </w:tc>
              <w:tc>
                <w:tcPr>
                  <w:tcW w:w="284" w:type="pct"/>
                  <w:tcBorders>
                    <w:right w:val="single" w:color="auto" w:sz="4" w:space="0"/>
                  </w:tcBorders>
                  <w:noWrap w:val="0"/>
                  <w:vAlign w:val="center"/>
                </w:tcPr>
                <w:p w14:paraId="496856B5">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600" w:type="pct"/>
                  <w:tcBorders>
                    <w:left w:val="single" w:color="auto" w:sz="4" w:space="0"/>
                    <w:right w:val="single" w:color="auto" w:sz="4" w:space="0"/>
                  </w:tcBorders>
                  <w:noWrap w:val="0"/>
                  <w:vAlign w:val="center"/>
                </w:tcPr>
                <w:p w14:paraId="210F9706">
                  <w:pPr>
                    <w:jc w:val="center"/>
                    <w:rPr>
                      <w:color w:val="auto"/>
                      <w:szCs w:val="21"/>
                    </w:rPr>
                  </w:pPr>
                  <w:r>
                    <w:rPr>
                      <w:rFonts w:hint="eastAsia"/>
                      <w:color w:val="auto"/>
                      <w:szCs w:val="21"/>
                    </w:rPr>
                    <w:t>矿区事务管理处</w:t>
                  </w:r>
                </w:p>
              </w:tc>
              <w:tc>
                <w:tcPr>
                  <w:tcW w:w="1687" w:type="pct"/>
                  <w:tcBorders>
                    <w:left w:val="single" w:color="auto" w:sz="4" w:space="0"/>
                  </w:tcBorders>
                  <w:noWrap w:val="0"/>
                  <w:vAlign w:val="center"/>
                </w:tcPr>
                <w:p w14:paraId="3EECA0AB">
                  <w:pPr>
                    <w:jc w:val="center"/>
                    <w:rPr>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885901</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586686</w:t>
                  </w:r>
                  <w:r>
                    <w:rPr>
                      <w:rFonts w:hAnsi="宋体"/>
                      <w:color w:val="auto"/>
                      <w:szCs w:val="21"/>
                    </w:rPr>
                    <w:t>）</w:t>
                  </w:r>
                </w:p>
              </w:tc>
              <w:tc>
                <w:tcPr>
                  <w:tcW w:w="482" w:type="pct"/>
                  <w:noWrap w:val="0"/>
                  <w:vAlign w:val="center"/>
                </w:tcPr>
                <w:p w14:paraId="17485919">
                  <w:pPr>
                    <w:snapToGrid w:val="0"/>
                    <w:jc w:val="center"/>
                    <w:rPr>
                      <w:color w:val="auto"/>
                    </w:rPr>
                  </w:pPr>
                  <w:r>
                    <w:rPr>
                      <w:rFonts w:hint="eastAsia"/>
                      <w:color w:val="auto"/>
                      <w:szCs w:val="21"/>
                    </w:rPr>
                    <w:t>N</w:t>
                  </w:r>
                </w:p>
              </w:tc>
              <w:tc>
                <w:tcPr>
                  <w:tcW w:w="641" w:type="pct"/>
                  <w:noWrap w:val="0"/>
                  <w:vAlign w:val="center"/>
                </w:tcPr>
                <w:p w14:paraId="7421E43F">
                  <w:pPr>
                    <w:adjustRightInd w:val="0"/>
                    <w:snapToGrid w:val="0"/>
                    <w:jc w:val="center"/>
                    <w:rPr>
                      <w:rFonts w:hint="default" w:eastAsia="宋体"/>
                      <w:color w:val="auto"/>
                      <w:szCs w:val="21"/>
                      <w:lang w:val="en-US" w:eastAsia="zh-CN"/>
                    </w:rPr>
                  </w:pPr>
                  <w:r>
                    <w:rPr>
                      <w:rFonts w:hint="eastAsia"/>
                      <w:color w:val="auto"/>
                      <w:szCs w:val="21"/>
                    </w:rPr>
                    <w:t>15</w:t>
                  </w:r>
                  <w:r>
                    <w:rPr>
                      <w:rFonts w:hint="eastAsia"/>
                      <w:color w:val="auto"/>
                      <w:szCs w:val="21"/>
                      <w:lang w:val="en-US" w:eastAsia="zh-CN"/>
                    </w:rPr>
                    <w:t>62</w:t>
                  </w:r>
                </w:p>
              </w:tc>
              <w:tc>
                <w:tcPr>
                  <w:tcW w:w="910" w:type="pct"/>
                  <w:noWrap w:val="0"/>
                  <w:vAlign w:val="center"/>
                </w:tcPr>
                <w:p w14:paraId="4CD622AA">
                  <w:pPr>
                    <w:adjustRightInd w:val="0"/>
                    <w:snapToGrid w:val="0"/>
                    <w:jc w:val="center"/>
                    <w:rPr>
                      <w:color w:val="auto"/>
                      <w:szCs w:val="21"/>
                    </w:rPr>
                  </w:pPr>
                  <w:r>
                    <w:rPr>
                      <w:rFonts w:hint="eastAsia"/>
                      <w:color w:val="auto"/>
                      <w:szCs w:val="21"/>
                      <w:lang w:val="en-US" w:eastAsia="zh-CN"/>
                    </w:rPr>
                    <w:t>200</w:t>
                  </w:r>
                  <w:r>
                    <w:rPr>
                      <w:rFonts w:hint="eastAsia"/>
                      <w:color w:val="auto"/>
                      <w:szCs w:val="21"/>
                    </w:rPr>
                    <w:t>人</w:t>
                  </w:r>
                </w:p>
              </w:tc>
            </w:tr>
            <w:tr w14:paraId="1EF55D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6CD8AE4C">
                  <w:pPr>
                    <w:jc w:val="center"/>
                    <w:rPr>
                      <w:color w:val="auto"/>
                      <w:szCs w:val="21"/>
                    </w:rPr>
                  </w:pPr>
                </w:p>
              </w:tc>
              <w:tc>
                <w:tcPr>
                  <w:tcW w:w="284" w:type="pct"/>
                  <w:tcBorders>
                    <w:right w:val="single" w:color="auto" w:sz="4" w:space="0"/>
                  </w:tcBorders>
                  <w:noWrap w:val="0"/>
                  <w:vAlign w:val="center"/>
                </w:tcPr>
                <w:p w14:paraId="3E6F7510">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600" w:type="pct"/>
                  <w:tcBorders>
                    <w:left w:val="single" w:color="auto" w:sz="4" w:space="0"/>
                    <w:right w:val="single" w:color="auto" w:sz="4" w:space="0"/>
                  </w:tcBorders>
                  <w:noWrap w:val="0"/>
                  <w:vAlign w:val="center"/>
                </w:tcPr>
                <w:p w14:paraId="1F683F62">
                  <w:pPr>
                    <w:jc w:val="center"/>
                    <w:rPr>
                      <w:rFonts w:ascii="宋体" w:hAnsi="宋体" w:cs="Tahoma"/>
                      <w:color w:val="auto"/>
                      <w:szCs w:val="21"/>
                    </w:rPr>
                  </w:pPr>
                  <w:r>
                    <w:rPr>
                      <w:rFonts w:hint="eastAsia" w:ascii="宋体" w:hAnsi="宋体" w:cs="Tahoma"/>
                      <w:color w:val="auto"/>
                      <w:szCs w:val="21"/>
                    </w:rPr>
                    <w:t>赖山楼</w:t>
                  </w:r>
                </w:p>
              </w:tc>
              <w:tc>
                <w:tcPr>
                  <w:tcW w:w="1687" w:type="pct"/>
                  <w:tcBorders>
                    <w:left w:val="single" w:color="auto" w:sz="4" w:space="0"/>
                  </w:tcBorders>
                  <w:noWrap w:val="0"/>
                  <w:vAlign w:val="center"/>
                </w:tcPr>
                <w:p w14:paraId="54E4F25C">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895909</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582599</w:t>
                  </w:r>
                  <w:r>
                    <w:rPr>
                      <w:rFonts w:hAnsi="宋体"/>
                      <w:color w:val="auto"/>
                      <w:szCs w:val="21"/>
                    </w:rPr>
                    <w:t>）</w:t>
                  </w:r>
                </w:p>
              </w:tc>
              <w:tc>
                <w:tcPr>
                  <w:tcW w:w="482" w:type="pct"/>
                  <w:noWrap w:val="0"/>
                  <w:vAlign w:val="center"/>
                </w:tcPr>
                <w:p w14:paraId="52EB55D1">
                  <w:pPr>
                    <w:snapToGrid w:val="0"/>
                    <w:jc w:val="center"/>
                    <w:rPr>
                      <w:rFonts w:hint="default" w:eastAsia="宋体"/>
                      <w:color w:val="auto"/>
                      <w:szCs w:val="21"/>
                      <w:lang w:val="en-US" w:eastAsia="zh-CN"/>
                    </w:rPr>
                  </w:pPr>
                  <w:r>
                    <w:rPr>
                      <w:rFonts w:hint="eastAsia"/>
                      <w:color w:val="auto"/>
                      <w:szCs w:val="21"/>
                      <w:lang w:val="en-US" w:eastAsia="zh-CN"/>
                    </w:rPr>
                    <w:t>N</w:t>
                  </w:r>
                </w:p>
              </w:tc>
              <w:tc>
                <w:tcPr>
                  <w:tcW w:w="641" w:type="pct"/>
                  <w:noWrap w:val="0"/>
                  <w:vAlign w:val="center"/>
                </w:tcPr>
                <w:p w14:paraId="249B8573">
                  <w:pPr>
                    <w:adjustRightInd w:val="0"/>
                    <w:snapToGrid w:val="0"/>
                    <w:jc w:val="center"/>
                    <w:rPr>
                      <w:rFonts w:hint="default" w:eastAsia="宋体"/>
                      <w:color w:val="auto"/>
                      <w:szCs w:val="21"/>
                      <w:lang w:val="en-US" w:eastAsia="zh-CN"/>
                    </w:rPr>
                  </w:pPr>
                  <w:r>
                    <w:rPr>
                      <w:rFonts w:hint="eastAsia"/>
                      <w:color w:val="auto"/>
                      <w:szCs w:val="21"/>
                      <w:lang w:val="en-US" w:eastAsia="zh-CN"/>
                    </w:rPr>
                    <w:t>1311</w:t>
                  </w:r>
                </w:p>
              </w:tc>
              <w:tc>
                <w:tcPr>
                  <w:tcW w:w="910" w:type="pct"/>
                  <w:noWrap w:val="0"/>
                  <w:vAlign w:val="center"/>
                </w:tcPr>
                <w:p w14:paraId="2D0226AB">
                  <w:pPr>
                    <w:adjustRightInd w:val="0"/>
                    <w:snapToGrid w:val="0"/>
                    <w:jc w:val="center"/>
                    <w:rPr>
                      <w:color w:val="auto"/>
                      <w:szCs w:val="21"/>
                    </w:rPr>
                  </w:pPr>
                  <w:r>
                    <w:rPr>
                      <w:rFonts w:hint="eastAsia"/>
                      <w:color w:val="auto"/>
                      <w:szCs w:val="21"/>
                    </w:rPr>
                    <w:t>2</w:t>
                  </w:r>
                  <w:r>
                    <w:rPr>
                      <w:rFonts w:hint="eastAsia"/>
                      <w:color w:val="auto"/>
                      <w:szCs w:val="21"/>
                      <w:lang w:val="en-US" w:eastAsia="zh-CN"/>
                    </w:rPr>
                    <w:t>60</w:t>
                  </w:r>
                  <w:r>
                    <w:rPr>
                      <w:rFonts w:hint="eastAsia"/>
                      <w:color w:val="auto"/>
                      <w:szCs w:val="21"/>
                    </w:rPr>
                    <w:t>人</w:t>
                  </w:r>
                </w:p>
              </w:tc>
            </w:tr>
            <w:tr w14:paraId="5E994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5E372F7">
                  <w:pPr>
                    <w:jc w:val="center"/>
                    <w:rPr>
                      <w:color w:val="auto"/>
                      <w:szCs w:val="21"/>
                    </w:rPr>
                  </w:pPr>
                </w:p>
              </w:tc>
              <w:tc>
                <w:tcPr>
                  <w:tcW w:w="284" w:type="pct"/>
                  <w:tcBorders>
                    <w:right w:val="single" w:color="auto" w:sz="4" w:space="0"/>
                  </w:tcBorders>
                  <w:noWrap w:val="0"/>
                  <w:vAlign w:val="center"/>
                </w:tcPr>
                <w:p w14:paraId="6C626898">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600" w:type="pct"/>
                  <w:tcBorders>
                    <w:left w:val="single" w:color="auto" w:sz="4" w:space="0"/>
                    <w:right w:val="single" w:color="auto" w:sz="4" w:space="0"/>
                  </w:tcBorders>
                  <w:noWrap w:val="0"/>
                  <w:vAlign w:val="center"/>
                </w:tcPr>
                <w:p w14:paraId="761541FA">
                  <w:pPr>
                    <w:jc w:val="center"/>
                    <w:rPr>
                      <w:rFonts w:ascii="宋体" w:hAnsi="宋体" w:cs="Tahoma"/>
                      <w:color w:val="auto"/>
                      <w:szCs w:val="21"/>
                    </w:rPr>
                  </w:pPr>
                  <w:r>
                    <w:rPr>
                      <w:rFonts w:hint="eastAsia" w:ascii="宋体" w:hAnsi="宋体" w:cs="Tahoma"/>
                      <w:color w:val="auto"/>
                      <w:szCs w:val="21"/>
                    </w:rPr>
                    <w:t>范圩新村</w:t>
                  </w:r>
                </w:p>
              </w:tc>
              <w:tc>
                <w:tcPr>
                  <w:tcW w:w="1687" w:type="pct"/>
                  <w:tcBorders>
                    <w:left w:val="single" w:color="auto" w:sz="4" w:space="0"/>
                  </w:tcBorders>
                  <w:noWrap w:val="0"/>
                  <w:vAlign w:val="center"/>
                </w:tcPr>
                <w:p w14:paraId="069B379A">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906467</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584251</w:t>
                  </w:r>
                  <w:r>
                    <w:rPr>
                      <w:rFonts w:hAnsi="宋体"/>
                      <w:color w:val="auto"/>
                      <w:szCs w:val="21"/>
                    </w:rPr>
                    <w:t>）</w:t>
                  </w:r>
                </w:p>
              </w:tc>
              <w:tc>
                <w:tcPr>
                  <w:tcW w:w="482" w:type="pct"/>
                  <w:noWrap w:val="0"/>
                  <w:vAlign w:val="center"/>
                </w:tcPr>
                <w:p w14:paraId="5C378BF4">
                  <w:pPr>
                    <w:snapToGrid w:val="0"/>
                    <w:jc w:val="center"/>
                    <w:rPr>
                      <w:rFonts w:hint="eastAsia"/>
                      <w:color w:val="auto"/>
                      <w:szCs w:val="21"/>
                    </w:rPr>
                  </w:pPr>
                  <w:r>
                    <w:rPr>
                      <w:rFonts w:hint="eastAsia"/>
                      <w:color w:val="auto"/>
                      <w:szCs w:val="21"/>
                      <w:lang w:val="en-US" w:eastAsia="zh-CN"/>
                    </w:rPr>
                    <w:t>N</w:t>
                  </w:r>
                  <w:r>
                    <w:rPr>
                      <w:rFonts w:hint="eastAsia"/>
                      <w:color w:val="auto"/>
                      <w:szCs w:val="21"/>
                    </w:rPr>
                    <w:t>E</w:t>
                  </w:r>
                </w:p>
              </w:tc>
              <w:tc>
                <w:tcPr>
                  <w:tcW w:w="641" w:type="pct"/>
                  <w:noWrap w:val="0"/>
                  <w:vAlign w:val="center"/>
                </w:tcPr>
                <w:p w14:paraId="06391377">
                  <w:pPr>
                    <w:adjustRightInd w:val="0"/>
                    <w:snapToGrid w:val="0"/>
                    <w:jc w:val="center"/>
                    <w:rPr>
                      <w:rFonts w:hint="default" w:eastAsia="宋体"/>
                      <w:color w:val="auto"/>
                      <w:szCs w:val="21"/>
                      <w:lang w:val="en-US" w:eastAsia="zh-CN"/>
                    </w:rPr>
                  </w:pPr>
                  <w:r>
                    <w:rPr>
                      <w:rFonts w:hint="eastAsia"/>
                      <w:color w:val="auto"/>
                      <w:szCs w:val="21"/>
                      <w:lang w:val="en-US" w:eastAsia="zh-CN"/>
                    </w:rPr>
                    <w:t>2017</w:t>
                  </w:r>
                </w:p>
              </w:tc>
              <w:tc>
                <w:tcPr>
                  <w:tcW w:w="910" w:type="pct"/>
                  <w:noWrap w:val="0"/>
                  <w:vAlign w:val="center"/>
                </w:tcPr>
                <w:p w14:paraId="7343499E">
                  <w:pPr>
                    <w:adjustRightInd w:val="0"/>
                    <w:snapToGrid w:val="0"/>
                    <w:jc w:val="center"/>
                    <w:rPr>
                      <w:rFonts w:hint="eastAsia"/>
                      <w:color w:val="auto"/>
                      <w:szCs w:val="21"/>
                    </w:rPr>
                  </w:pPr>
                  <w:r>
                    <w:rPr>
                      <w:rFonts w:hint="eastAsia"/>
                      <w:color w:val="auto"/>
                      <w:szCs w:val="21"/>
                      <w:lang w:val="en-US" w:eastAsia="zh-CN"/>
                    </w:rPr>
                    <w:t>3900</w:t>
                  </w:r>
                  <w:r>
                    <w:rPr>
                      <w:rFonts w:hint="eastAsia"/>
                      <w:color w:val="auto"/>
                      <w:szCs w:val="21"/>
                    </w:rPr>
                    <w:t>人</w:t>
                  </w:r>
                </w:p>
              </w:tc>
            </w:tr>
            <w:tr w14:paraId="0E1D29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754DF113">
                  <w:pPr>
                    <w:jc w:val="center"/>
                    <w:rPr>
                      <w:color w:val="auto"/>
                      <w:szCs w:val="21"/>
                    </w:rPr>
                  </w:pPr>
                </w:p>
              </w:tc>
              <w:tc>
                <w:tcPr>
                  <w:tcW w:w="284" w:type="pct"/>
                  <w:tcBorders>
                    <w:right w:val="single" w:color="auto" w:sz="4" w:space="0"/>
                  </w:tcBorders>
                  <w:noWrap w:val="0"/>
                  <w:vAlign w:val="center"/>
                </w:tcPr>
                <w:p w14:paraId="6E9C0CB6">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600" w:type="pct"/>
                  <w:tcBorders>
                    <w:left w:val="single" w:color="auto" w:sz="4" w:space="0"/>
                    <w:right w:val="single" w:color="auto" w:sz="4" w:space="0"/>
                  </w:tcBorders>
                  <w:noWrap w:val="0"/>
                  <w:vAlign w:val="center"/>
                </w:tcPr>
                <w:p w14:paraId="4B23F963">
                  <w:pPr>
                    <w:jc w:val="center"/>
                    <w:rPr>
                      <w:color w:val="auto"/>
                      <w:szCs w:val="21"/>
                    </w:rPr>
                  </w:pPr>
                  <w:r>
                    <w:rPr>
                      <w:rFonts w:hint="eastAsia"/>
                      <w:color w:val="auto"/>
                      <w:szCs w:val="21"/>
                    </w:rPr>
                    <w:t>祠堂郢孜</w:t>
                  </w:r>
                </w:p>
              </w:tc>
              <w:tc>
                <w:tcPr>
                  <w:tcW w:w="1687" w:type="pct"/>
                  <w:tcBorders>
                    <w:left w:val="single" w:color="auto" w:sz="4" w:space="0"/>
                  </w:tcBorders>
                  <w:noWrap w:val="0"/>
                  <w:vAlign w:val="center"/>
                </w:tcPr>
                <w:p w14:paraId="6CA7A10B">
                  <w:pPr>
                    <w:jc w:val="center"/>
                    <w:rPr>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907497</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582223</w:t>
                  </w:r>
                  <w:r>
                    <w:rPr>
                      <w:rFonts w:hAnsi="宋体"/>
                      <w:color w:val="auto"/>
                      <w:szCs w:val="21"/>
                    </w:rPr>
                    <w:t>）</w:t>
                  </w:r>
                </w:p>
              </w:tc>
              <w:tc>
                <w:tcPr>
                  <w:tcW w:w="482" w:type="pct"/>
                  <w:noWrap w:val="0"/>
                  <w:vAlign w:val="center"/>
                </w:tcPr>
                <w:p w14:paraId="06FEAF23">
                  <w:pPr>
                    <w:snapToGrid w:val="0"/>
                    <w:jc w:val="center"/>
                    <w:rPr>
                      <w:rFonts w:hint="default" w:eastAsia="宋体"/>
                      <w:color w:val="auto"/>
                      <w:lang w:val="en-US" w:eastAsia="zh-CN"/>
                    </w:rPr>
                  </w:pPr>
                  <w:r>
                    <w:rPr>
                      <w:rFonts w:hint="eastAsia"/>
                      <w:color w:val="auto"/>
                      <w:szCs w:val="21"/>
                      <w:lang w:val="en-US" w:eastAsia="zh-CN"/>
                    </w:rPr>
                    <w:t>NE</w:t>
                  </w:r>
                </w:p>
              </w:tc>
              <w:tc>
                <w:tcPr>
                  <w:tcW w:w="641" w:type="pct"/>
                  <w:noWrap w:val="0"/>
                  <w:vAlign w:val="center"/>
                </w:tcPr>
                <w:p w14:paraId="7E6D00C9">
                  <w:pPr>
                    <w:adjustRightInd w:val="0"/>
                    <w:snapToGrid w:val="0"/>
                    <w:jc w:val="center"/>
                    <w:rPr>
                      <w:rFonts w:hint="default" w:eastAsia="宋体"/>
                      <w:color w:val="auto"/>
                      <w:szCs w:val="21"/>
                      <w:lang w:val="en-US" w:eastAsia="zh-CN"/>
                    </w:rPr>
                  </w:pPr>
                  <w:r>
                    <w:rPr>
                      <w:rFonts w:hint="eastAsia"/>
                      <w:color w:val="auto"/>
                      <w:szCs w:val="21"/>
                      <w:lang w:val="en-US" w:eastAsia="zh-CN"/>
                    </w:rPr>
                    <w:t>1953</w:t>
                  </w:r>
                </w:p>
              </w:tc>
              <w:tc>
                <w:tcPr>
                  <w:tcW w:w="910" w:type="pct"/>
                  <w:noWrap w:val="0"/>
                  <w:vAlign w:val="center"/>
                </w:tcPr>
                <w:p w14:paraId="248FDC68">
                  <w:pPr>
                    <w:adjustRightInd w:val="0"/>
                    <w:snapToGrid w:val="0"/>
                    <w:jc w:val="center"/>
                    <w:rPr>
                      <w:color w:val="auto"/>
                      <w:szCs w:val="21"/>
                    </w:rPr>
                  </w:pPr>
                  <w:r>
                    <w:rPr>
                      <w:rFonts w:hint="eastAsia"/>
                      <w:color w:val="auto"/>
                      <w:szCs w:val="21"/>
                      <w:lang w:val="en-US" w:eastAsia="zh-CN"/>
                    </w:rPr>
                    <w:t>65</w:t>
                  </w:r>
                  <w:r>
                    <w:rPr>
                      <w:rFonts w:hint="eastAsia"/>
                      <w:color w:val="auto"/>
                      <w:szCs w:val="21"/>
                    </w:rPr>
                    <w:t>人</w:t>
                  </w:r>
                </w:p>
              </w:tc>
            </w:tr>
            <w:tr w14:paraId="133588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22203825">
                  <w:pPr>
                    <w:jc w:val="center"/>
                    <w:rPr>
                      <w:color w:val="auto"/>
                      <w:szCs w:val="21"/>
                    </w:rPr>
                  </w:pPr>
                </w:p>
              </w:tc>
              <w:tc>
                <w:tcPr>
                  <w:tcW w:w="284" w:type="pct"/>
                  <w:tcBorders>
                    <w:right w:val="single" w:color="auto" w:sz="4" w:space="0"/>
                  </w:tcBorders>
                  <w:noWrap w:val="0"/>
                  <w:vAlign w:val="center"/>
                </w:tcPr>
                <w:p w14:paraId="066C1D5C">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600" w:type="pct"/>
                  <w:tcBorders>
                    <w:left w:val="single" w:color="auto" w:sz="4" w:space="0"/>
                    <w:right w:val="single" w:color="auto" w:sz="4" w:space="0"/>
                  </w:tcBorders>
                  <w:noWrap w:val="0"/>
                  <w:vAlign w:val="center"/>
                </w:tcPr>
                <w:p w14:paraId="7546D412">
                  <w:pPr>
                    <w:jc w:val="center"/>
                    <w:rPr>
                      <w:rFonts w:ascii="宋体" w:hAnsi="宋体" w:cs="Tahoma"/>
                      <w:color w:val="auto"/>
                      <w:szCs w:val="21"/>
                    </w:rPr>
                  </w:pPr>
                  <w:r>
                    <w:rPr>
                      <w:rFonts w:hint="eastAsia" w:ascii="宋体" w:hAnsi="宋体" w:cs="Tahoma"/>
                      <w:color w:val="auto"/>
                      <w:szCs w:val="21"/>
                    </w:rPr>
                    <w:t>沈郢孜</w:t>
                  </w:r>
                </w:p>
              </w:tc>
              <w:tc>
                <w:tcPr>
                  <w:tcW w:w="1687" w:type="pct"/>
                  <w:tcBorders>
                    <w:left w:val="single" w:color="auto" w:sz="4" w:space="0"/>
                  </w:tcBorders>
                  <w:noWrap w:val="0"/>
                  <w:vAlign w:val="center"/>
                </w:tcPr>
                <w:p w14:paraId="6A96F87E">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903731</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582180</w:t>
                  </w:r>
                  <w:r>
                    <w:rPr>
                      <w:rFonts w:hAnsi="宋体"/>
                      <w:color w:val="auto"/>
                      <w:szCs w:val="21"/>
                    </w:rPr>
                    <w:t>）</w:t>
                  </w:r>
                </w:p>
              </w:tc>
              <w:tc>
                <w:tcPr>
                  <w:tcW w:w="482" w:type="pct"/>
                  <w:noWrap w:val="0"/>
                  <w:vAlign w:val="center"/>
                </w:tcPr>
                <w:p w14:paraId="6D17ED47">
                  <w:pPr>
                    <w:adjustRightInd w:val="0"/>
                    <w:snapToGrid w:val="0"/>
                    <w:jc w:val="center"/>
                    <w:rPr>
                      <w:rFonts w:hint="default" w:eastAsia="宋体"/>
                      <w:color w:val="auto"/>
                      <w:szCs w:val="21"/>
                      <w:lang w:val="en-US" w:eastAsia="zh-CN"/>
                    </w:rPr>
                  </w:pPr>
                  <w:r>
                    <w:rPr>
                      <w:rFonts w:hint="eastAsia"/>
                      <w:color w:val="auto"/>
                      <w:szCs w:val="21"/>
                      <w:lang w:val="en-US" w:eastAsia="zh-CN"/>
                    </w:rPr>
                    <w:t>NE</w:t>
                  </w:r>
                </w:p>
              </w:tc>
              <w:tc>
                <w:tcPr>
                  <w:tcW w:w="641" w:type="pct"/>
                  <w:noWrap w:val="0"/>
                  <w:vAlign w:val="center"/>
                </w:tcPr>
                <w:p w14:paraId="2A8C2A5C">
                  <w:pPr>
                    <w:adjustRightInd w:val="0"/>
                    <w:snapToGrid w:val="0"/>
                    <w:jc w:val="center"/>
                    <w:rPr>
                      <w:rFonts w:hint="default" w:eastAsia="宋体"/>
                      <w:color w:val="auto"/>
                      <w:szCs w:val="21"/>
                      <w:lang w:val="en-US" w:eastAsia="zh-CN"/>
                    </w:rPr>
                  </w:pPr>
                  <w:r>
                    <w:rPr>
                      <w:rFonts w:hint="eastAsia"/>
                      <w:color w:val="auto"/>
                      <w:szCs w:val="21"/>
                      <w:lang w:val="en-US" w:eastAsia="zh-CN"/>
                    </w:rPr>
                    <w:t>1745</w:t>
                  </w:r>
                </w:p>
              </w:tc>
              <w:tc>
                <w:tcPr>
                  <w:tcW w:w="910" w:type="pct"/>
                  <w:noWrap w:val="0"/>
                  <w:vAlign w:val="center"/>
                </w:tcPr>
                <w:p w14:paraId="1C9229E2">
                  <w:pPr>
                    <w:adjustRightInd w:val="0"/>
                    <w:snapToGrid w:val="0"/>
                    <w:jc w:val="center"/>
                    <w:rPr>
                      <w:color w:val="auto"/>
                      <w:szCs w:val="21"/>
                    </w:rPr>
                  </w:pPr>
                  <w:r>
                    <w:rPr>
                      <w:rFonts w:hint="eastAsia"/>
                      <w:color w:val="auto"/>
                      <w:szCs w:val="21"/>
                      <w:lang w:val="en-US" w:eastAsia="zh-CN"/>
                    </w:rPr>
                    <w:t>65</w:t>
                  </w:r>
                  <w:r>
                    <w:rPr>
                      <w:rFonts w:hint="eastAsia"/>
                      <w:color w:val="auto"/>
                      <w:szCs w:val="21"/>
                    </w:rPr>
                    <w:t>人</w:t>
                  </w:r>
                </w:p>
              </w:tc>
            </w:tr>
            <w:tr w14:paraId="3B512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393" w:type="pct"/>
                  <w:vMerge w:val="continue"/>
                  <w:noWrap w:val="0"/>
                  <w:vAlign w:val="center"/>
                </w:tcPr>
                <w:p w14:paraId="17458888">
                  <w:pPr>
                    <w:jc w:val="center"/>
                    <w:rPr>
                      <w:color w:val="auto"/>
                      <w:szCs w:val="21"/>
                    </w:rPr>
                  </w:pPr>
                </w:p>
              </w:tc>
              <w:tc>
                <w:tcPr>
                  <w:tcW w:w="284" w:type="pct"/>
                  <w:tcBorders>
                    <w:right w:val="single" w:color="auto" w:sz="4" w:space="0"/>
                  </w:tcBorders>
                  <w:noWrap w:val="0"/>
                  <w:vAlign w:val="center"/>
                </w:tcPr>
                <w:p w14:paraId="52E68035">
                  <w:pPr>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600" w:type="pct"/>
                  <w:tcBorders>
                    <w:left w:val="single" w:color="auto" w:sz="4" w:space="0"/>
                    <w:right w:val="single" w:color="auto" w:sz="4" w:space="0"/>
                  </w:tcBorders>
                  <w:noWrap w:val="0"/>
                  <w:vAlign w:val="center"/>
                </w:tcPr>
                <w:p w14:paraId="74389E1B">
                  <w:pPr>
                    <w:jc w:val="center"/>
                    <w:rPr>
                      <w:rFonts w:ascii="宋体" w:hAnsi="宋体" w:cs="Tahoma"/>
                      <w:color w:val="auto"/>
                      <w:szCs w:val="21"/>
                    </w:rPr>
                  </w:pPr>
                  <w:r>
                    <w:rPr>
                      <w:rFonts w:hint="eastAsia" w:ascii="宋体" w:hAnsi="宋体" w:cs="Tahoma"/>
                      <w:color w:val="auto"/>
                      <w:szCs w:val="21"/>
                    </w:rPr>
                    <w:t>范圩小区</w:t>
                  </w:r>
                </w:p>
              </w:tc>
              <w:tc>
                <w:tcPr>
                  <w:tcW w:w="1687" w:type="pct"/>
                  <w:tcBorders>
                    <w:left w:val="single" w:color="auto" w:sz="4" w:space="0"/>
                  </w:tcBorders>
                  <w:noWrap w:val="0"/>
                  <w:vAlign w:val="center"/>
                </w:tcPr>
                <w:p w14:paraId="7E54DC8A">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900812</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580410</w:t>
                  </w:r>
                  <w:r>
                    <w:rPr>
                      <w:rFonts w:hAnsi="宋体"/>
                      <w:color w:val="auto"/>
                      <w:szCs w:val="21"/>
                    </w:rPr>
                    <w:t>）</w:t>
                  </w:r>
                </w:p>
              </w:tc>
              <w:tc>
                <w:tcPr>
                  <w:tcW w:w="482" w:type="pct"/>
                  <w:noWrap w:val="0"/>
                  <w:vAlign w:val="center"/>
                </w:tcPr>
                <w:p w14:paraId="396ADDF1">
                  <w:pPr>
                    <w:snapToGrid w:val="0"/>
                    <w:jc w:val="center"/>
                    <w:rPr>
                      <w:rFonts w:hint="default" w:eastAsia="宋体"/>
                      <w:color w:val="auto"/>
                      <w:lang w:val="en-US" w:eastAsia="zh-CN"/>
                    </w:rPr>
                  </w:pPr>
                  <w:r>
                    <w:rPr>
                      <w:rFonts w:hint="eastAsia"/>
                      <w:color w:val="auto"/>
                      <w:szCs w:val="21"/>
                      <w:lang w:val="en-US" w:eastAsia="zh-CN"/>
                    </w:rPr>
                    <w:t>NE</w:t>
                  </w:r>
                </w:p>
              </w:tc>
              <w:tc>
                <w:tcPr>
                  <w:tcW w:w="641" w:type="pct"/>
                  <w:noWrap w:val="0"/>
                  <w:vAlign w:val="center"/>
                </w:tcPr>
                <w:p w14:paraId="1FC54203">
                  <w:pPr>
                    <w:adjustRightInd w:val="0"/>
                    <w:snapToGrid w:val="0"/>
                    <w:jc w:val="center"/>
                    <w:rPr>
                      <w:rFonts w:hint="default" w:eastAsia="宋体"/>
                      <w:color w:val="auto"/>
                      <w:szCs w:val="21"/>
                      <w:lang w:val="en-US" w:eastAsia="zh-CN"/>
                    </w:rPr>
                  </w:pPr>
                  <w:r>
                    <w:rPr>
                      <w:rFonts w:hint="eastAsia"/>
                      <w:color w:val="auto"/>
                      <w:szCs w:val="21"/>
                      <w:lang w:val="en-US" w:eastAsia="zh-CN"/>
                    </w:rPr>
                    <w:t>1278</w:t>
                  </w:r>
                </w:p>
              </w:tc>
              <w:tc>
                <w:tcPr>
                  <w:tcW w:w="910" w:type="pct"/>
                  <w:noWrap w:val="0"/>
                  <w:vAlign w:val="center"/>
                </w:tcPr>
                <w:p w14:paraId="5D15AEF5">
                  <w:pPr>
                    <w:adjustRightInd w:val="0"/>
                    <w:snapToGrid w:val="0"/>
                    <w:jc w:val="center"/>
                    <w:rPr>
                      <w:color w:val="auto"/>
                      <w:szCs w:val="21"/>
                    </w:rPr>
                  </w:pPr>
                  <w:r>
                    <w:rPr>
                      <w:rFonts w:hint="eastAsia"/>
                      <w:color w:val="auto"/>
                      <w:szCs w:val="21"/>
                      <w:lang w:val="en-US" w:eastAsia="zh-CN"/>
                    </w:rPr>
                    <w:t>38</w:t>
                  </w:r>
                  <w:r>
                    <w:rPr>
                      <w:rFonts w:hint="eastAsia"/>
                      <w:color w:val="auto"/>
                      <w:szCs w:val="21"/>
                    </w:rPr>
                    <w:t>50人</w:t>
                  </w:r>
                </w:p>
              </w:tc>
            </w:tr>
            <w:tr w14:paraId="40AD9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93" w:type="pct"/>
                  <w:vMerge w:val="continue"/>
                  <w:noWrap w:val="0"/>
                  <w:vAlign w:val="center"/>
                </w:tcPr>
                <w:p w14:paraId="02A61436">
                  <w:pPr>
                    <w:jc w:val="center"/>
                    <w:rPr>
                      <w:color w:val="auto"/>
                      <w:szCs w:val="21"/>
                    </w:rPr>
                  </w:pPr>
                </w:p>
              </w:tc>
              <w:tc>
                <w:tcPr>
                  <w:tcW w:w="284" w:type="pct"/>
                  <w:tcBorders>
                    <w:right w:val="single" w:color="auto" w:sz="4" w:space="0"/>
                  </w:tcBorders>
                  <w:noWrap w:val="0"/>
                  <w:vAlign w:val="center"/>
                </w:tcPr>
                <w:p w14:paraId="71F4D2D1">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600" w:type="pct"/>
                  <w:tcBorders>
                    <w:left w:val="single" w:color="auto" w:sz="4" w:space="0"/>
                    <w:right w:val="single" w:color="auto" w:sz="4" w:space="0"/>
                  </w:tcBorders>
                  <w:noWrap w:val="0"/>
                  <w:vAlign w:val="center"/>
                </w:tcPr>
                <w:p w14:paraId="00D94C48">
                  <w:pPr>
                    <w:jc w:val="center"/>
                    <w:rPr>
                      <w:rFonts w:ascii="宋体" w:hAnsi="宋体" w:cs="Tahoma"/>
                      <w:color w:val="auto"/>
                      <w:szCs w:val="21"/>
                    </w:rPr>
                  </w:pPr>
                  <w:r>
                    <w:rPr>
                      <w:rFonts w:hint="eastAsia" w:ascii="宋体" w:hAnsi="宋体" w:cs="Tahoma"/>
                      <w:color w:val="auto"/>
                      <w:szCs w:val="21"/>
                    </w:rPr>
                    <w:t>新庄孜</w:t>
                  </w:r>
                </w:p>
              </w:tc>
              <w:tc>
                <w:tcPr>
                  <w:tcW w:w="1687" w:type="pct"/>
                  <w:tcBorders>
                    <w:left w:val="single" w:color="auto" w:sz="4" w:space="0"/>
                  </w:tcBorders>
                  <w:noWrap w:val="0"/>
                  <w:vAlign w:val="center"/>
                </w:tcPr>
                <w:p w14:paraId="686D5A00">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902014</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576076</w:t>
                  </w:r>
                  <w:r>
                    <w:rPr>
                      <w:rFonts w:hAnsi="宋体"/>
                      <w:color w:val="auto"/>
                      <w:szCs w:val="21"/>
                    </w:rPr>
                    <w:t>）</w:t>
                  </w:r>
                </w:p>
              </w:tc>
              <w:tc>
                <w:tcPr>
                  <w:tcW w:w="482" w:type="pct"/>
                  <w:noWrap w:val="0"/>
                  <w:vAlign w:val="center"/>
                </w:tcPr>
                <w:p w14:paraId="1192852B">
                  <w:pPr>
                    <w:snapToGrid w:val="0"/>
                    <w:jc w:val="center"/>
                    <w:rPr>
                      <w:rFonts w:hint="default" w:eastAsia="宋体"/>
                      <w:color w:val="auto"/>
                      <w:lang w:val="en-US" w:eastAsia="zh-CN"/>
                    </w:rPr>
                  </w:pPr>
                  <w:r>
                    <w:rPr>
                      <w:rFonts w:hint="eastAsia"/>
                      <w:color w:val="auto"/>
                      <w:szCs w:val="21"/>
                      <w:lang w:val="en-US" w:eastAsia="zh-CN"/>
                    </w:rPr>
                    <w:t>NE</w:t>
                  </w:r>
                </w:p>
              </w:tc>
              <w:tc>
                <w:tcPr>
                  <w:tcW w:w="641" w:type="pct"/>
                  <w:noWrap w:val="0"/>
                  <w:vAlign w:val="center"/>
                </w:tcPr>
                <w:p w14:paraId="357AF8FD">
                  <w:pPr>
                    <w:adjustRightInd w:val="0"/>
                    <w:snapToGrid w:val="0"/>
                    <w:jc w:val="center"/>
                    <w:rPr>
                      <w:rFonts w:hint="default" w:eastAsia="宋体"/>
                      <w:color w:val="auto"/>
                      <w:szCs w:val="21"/>
                      <w:lang w:val="en-US" w:eastAsia="zh-CN"/>
                    </w:rPr>
                  </w:pPr>
                  <w:r>
                    <w:rPr>
                      <w:rFonts w:hint="eastAsia"/>
                      <w:color w:val="auto"/>
                      <w:szCs w:val="21"/>
                      <w:lang w:val="en-US" w:eastAsia="zh-CN"/>
                    </w:rPr>
                    <w:t>1185</w:t>
                  </w:r>
                </w:p>
              </w:tc>
              <w:tc>
                <w:tcPr>
                  <w:tcW w:w="910" w:type="pct"/>
                  <w:noWrap w:val="0"/>
                  <w:vAlign w:val="center"/>
                </w:tcPr>
                <w:p w14:paraId="0D025598">
                  <w:pPr>
                    <w:adjustRightInd w:val="0"/>
                    <w:snapToGrid w:val="0"/>
                    <w:jc w:val="center"/>
                    <w:rPr>
                      <w:color w:val="auto"/>
                      <w:szCs w:val="21"/>
                    </w:rPr>
                  </w:pPr>
                  <w:r>
                    <w:rPr>
                      <w:rFonts w:hint="eastAsia"/>
                      <w:color w:val="auto"/>
                      <w:szCs w:val="21"/>
                      <w:lang w:val="en-US" w:eastAsia="zh-CN"/>
                    </w:rPr>
                    <w:t>110</w:t>
                  </w:r>
                  <w:r>
                    <w:rPr>
                      <w:rFonts w:hint="eastAsia"/>
                      <w:color w:val="auto"/>
                      <w:szCs w:val="21"/>
                    </w:rPr>
                    <w:t>人</w:t>
                  </w:r>
                </w:p>
              </w:tc>
            </w:tr>
            <w:tr w14:paraId="04FEA3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D26F5AF">
                  <w:pPr>
                    <w:jc w:val="center"/>
                    <w:rPr>
                      <w:color w:val="auto"/>
                      <w:szCs w:val="21"/>
                    </w:rPr>
                  </w:pPr>
                </w:p>
              </w:tc>
              <w:tc>
                <w:tcPr>
                  <w:tcW w:w="284" w:type="pct"/>
                  <w:tcBorders>
                    <w:right w:val="single" w:color="auto" w:sz="4" w:space="0"/>
                  </w:tcBorders>
                  <w:noWrap w:val="0"/>
                  <w:vAlign w:val="center"/>
                </w:tcPr>
                <w:p w14:paraId="17CE20CB">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00" w:type="pct"/>
                  <w:tcBorders>
                    <w:left w:val="single" w:color="auto" w:sz="4" w:space="0"/>
                    <w:right w:val="single" w:color="auto" w:sz="4" w:space="0"/>
                  </w:tcBorders>
                  <w:noWrap w:val="0"/>
                  <w:vAlign w:val="center"/>
                </w:tcPr>
                <w:p w14:paraId="1AF1780B">
                  <w:pPr>
                    <w:jc w:val="center"/>
                    <w:rPr>
                      <w:rFonts w:ascii="宋体" w:hAnsi="宋体" w:cs="Tahoma"/>
                      <w:color w:val="auto"/>
                      <w:szCs w:val="21"/>
                    </w:rPr>
                  </w:pPr>
                  <w:r>
                    <w:rPr>
                      <w:rFonts w:hint="eastAsia" w:ascii="宋体" w:hAnsi="宋体" w:cs="Tahoma"/>
                      <w:color w:val="auto"/>
                      <w:szCs w:val="21"/>
                    </w:rPr>
                    <w:t>河东小区</w:t>
                  </w:r>
                </w:p>
              </w:tc>
              <w:tc>
                <w:tcPr>
                  <w:tcW w:w="1687" w:type="pct"/>
                  <w:tcBorders>
                    <w:left w:val="single" w:color="auto" w:sz="4" w:space="0"/>
                  </w:tcBorders>
                  <w:noWrap w:val="0"/>
                  <w:vAlign w:val="center"/>
                </w:tcPr>
                <w:p w14:paraId="12AD159B">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893345，</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579809</w:t>
                  </w:r>
                  <w:r>
                    <w:rPr>
                      <w:rFonts w:hAnsi="宋体"/>
                      <w:color w:val="auto"/>
                      <w:szCs w:val="21"/>
                    </w:rPr>
                    <w:t>）</w:t>
                  </w:r>
                </w:p>
              </w:tc>
              <w:tc>
                <w:tcPr>
                  <w:tcW w:w="482" w:type="pct"/>
                  <w:noWrap w:val="0"/>
                  <w:vAlign w:val="center"/>
                </w:tcPr>
                <w:p w14:paraId="609A5FA9">
                  <w:pPr>
                    <w:snapToGrid w:val="0"/>
                    <w:jc w:val="center"/>
                    <w:rPr>
                      <w:rFonts w:hint="eastAsia" w:eastAsia="宋体"/>
                      <w:color w:val="auto"/>
                      <w:lang w:eastAsia="zh-CN"/>
                    </w:rPr>
                  </w:pPr>
                  <w:r>
                    <w:rPr>
                      <w:rFonts w:hint="eastAsia"/>
                      <w:color w:val="auto"/>
                      <w:lang w:val="en-US" w:eastAsia="zh-CN"/>
                    </w:rPr>
                    <w:t>N</w:t>
                  </w:r>
                </w:p>
              </w:tc>
              <w:tc>
                <w:tcPr>
                  <w:tcW w:w="641" w:type="pct"/>
                  <w:noWrap w:val="0"/>
                  <w:vAlign w:val="center"/>
                </w:tcPr>
                <w:p w14:paraId="3D47B5DD">
                  <w:pPr>
                    <w:adjustRightInd w:val="0"/>
                    <w:snapToGrid w:val="0"/>
                    <w:jc w:val="center"/>
                    <w:rPr>
                      <w:rFonts w:hint="default" w:eastAsia="宋体"/>
                      <w:color w:val="auto"/>
                      <w:szCs w:val="21"/>
                      <w:lang w:val="en-US" w:eastAsia="zh-CN"/>
                    </w:rPr>
                  </w:pPr>
                  <w:r>
                    <w:rPr>
                      <w:rFonts w:hint="eastAsia"/>
                      <w:color w:val="auto"/>
                      <w:szCs w:val="21"/>
                      <w:lang w:val="en-US" w:eastAsia="zh-CN"/>
                    </w:rPr>
                    <w:t>882</w:t>
                  </w:r>
                </w:p>
              </w:tc>
              <w:tc>
                <w:tcPr>
                  <w:tcW w:w="910" w:type="pct"/>
                  <w:noWrap w:val="0"/>
                  <w:vAlign w:val="center"/>
                </w:tcPr>
                <w:p w14:paraId="64DA34A9">
                  <w:pPr>
                    <w:adjustRightInd w:val="0"/>
                    <w:snapToGrid w:val="0"/>
                    <w:jc w:val="center"/>
                    <w:rPr>
                      <w:color w:val="auto"/>
                      <w:szCs w:val="21"/>
                    </w:rPr>
                  </w:pPr>
                  <w:r>
                    <w:rPr>
                      <w:rFonts w:hint="eastAsia"/>
                      <w:color w:val="auto"/>
                      <w:szCs w:val="21"/>
                      <w:lang w:val="en-US" w:eastAsia="zh-CN"/>
                    </w:rPr>
                    <w:t>2000</w:t>
                  </w:r>
                  <w:r>
                    <w:rPr>
                      <w:rFonts w:hint="eastAsia"/>
                      <w:color w:val="auto"/>
                      <w:szCs w:val="21"/>
                    </w:rPr>
                    <w:t>人</w:t>
                  </w:r>
                </w:p>
              </w:tc>
            </w:tr>
            <w:tr w14:paraId="35CA21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9D7BA2B">
                  <w:pPr>
                    <w:jc w:val="center"/>
                    <w:rPr>
                      <w:color w:val="auto"/>
                      <w:szCs w:val="21"/>
                    </w:rPr>
                  </w:pPr>
                </w:p>
              </w:tc>
              <w:tc>
                <w:tcPr>
                  <w:tcW w:w="284" w:type="pct"/>
                  <w:tcBorders>
                    <w:right w:val="single" w:color="auto" w:sz="4" w:space="0"/>
                  </w:tcBorders>
                  <w:noWrap w:val="0"/>
                  <w:vAlign w:val="center"/>
                </w:tcPr>
                <w:p w14:paraId="23FBF7FB">
                  <w:pPr>
                    <w:jc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600" w:type="pct"/>
                  <w:tcBorders>
                    <w:left w:val="single" w:color="auto" w:sz="4" w:space="0"/>
                    <w:right w:val="single" w:color="auto" w:sz="4" w:space="0"/>
                  </w:tcBorders>
                  <w:noWrap w:val="0"/>
                  <w:vAlign w:val="center"/>
                </w:tcPr>
                <w:p w14:paraId="0BE5696B">
                  <w:pPr>
                    <w:jc w:val="center"/>
                    <w:rPr>
                      <w:rFonts w:ascii="宋体" w:hAnsi="宋体" w:cs="Tahoma"/>
                      <w:color w:val="auto"/>
                      <w:szCs w:val="21"/>
                    </w:rPr>
                  </w:pPr>
                  <w:r>
                    <w:rPr>
                      <w:rFonts w:hint="eastAsia" w:ascii="宋体" w:hAnsi="宋体" w:cs="Tahoma"/>
                      <w:color w:val="auto"/>
                      <w:szCs w:val="21"/>
                    </w:rPr>
                    <w:t>小店孜</w:t>
                  </w:r>
                </w:p>
              </w:tc>
              <w:tc>
                <w:tcPr>
                  <w:tcW w:w="1687" w:type="pct"/>
                  <w:tcBorders>
                    <w:left w:val="single" w:color="auto" w:sz="4" w:space="0"/>
                  </w:tcBorders>
                  <w:noWrap w:val="0"/>
                  <w:vAlign w:val="center"/>
                </w:tcPr>
                <w:p w14:paraId="766CBFA7">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895341</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577878</w:t>
                  </w:r>
                  <w:r>
                    <w:rPr>
                      <w:rFonts w:hAnsi="宋体"/>
                      <w:color w:val="auto"/>
                      <w:szCs w:val="21"/>
                    </w:rPr>
                    <w:t>）</w:t>
                  </w:r>
                </w:p>
              </w:tc>
              <w:tc>
                <w:tcPr>
                  <w:tcW w:w="482" w:type="pct"/>
                  <w:noWrap w:val="0"/>
                  <w:vAlign w:val="center"/>
                </w:tcPr>
                <w:p w14:paraId="69E4F3EA">
                  <w:pPr>
                    <w:snapToGrid w:val="0"/>
                    <w:jc w:val="center"/>
                    <w:rPr>
                      <w:rFonts w:hint="default" w:eastAsia="宋体"/>
                      <w:color w:val="auto"/>
                      <w:lang w:val="en-US" w:eastAsia="zh-CN"/>
                    </w:rPr>
                  </w:pPr>
                  <w:r>
                    <w:rPr>
                      <w:rFonts w:hint="eastAsia"/>
                      <w:color w:val="auto"/>
                      <w:szCs w:val="21"/>
                      <w:lang w:val="en-US" w:eastAsia="zh-CN"/>
                    </w:rPr>
                    <w:t>NE</w:t>
                  </w:r>
                </w:p>
              </w:tc>
              <w:tc>
                <w:tcPr>
                  <w:tcW w:w="641" w:type="pct"/>
                  <w:noWrap w:val="0"/>
                  <w:vAlign w:val="center"/>
                </w:tcPr>
                <w:p w14:paraId="4E204871">
                  <w:pPr>
                    <w:adjustRightInd w:val="0"/>
                    <w:snapToGrid w:val="0"/>
                    <w:jc w:val="center"/>
                    <w:rPr>
                      <w:rFonts w:hint="default" w:eastAsia="宋体"/>
                      <w:color w:val="auto"/>
                      <w:szCs w:val="21"/>
                      <w:lang w:val="en-US" w:eastAsia="zh-CN"/>
                    </w:rPr>
                  </w:pPr>
                  <w:r>
                    <w:rPr>
                      <w:rFonts w:hint="eastAsia"/>
                      <w:color w:val="auto"/>
                      <w:szCs w:val="21"/>
                      <w:lang w:val="en-US" w:eastAsia="zh-CN"/>
                    </w:rPr>
                    <w:t>881</w:t>
                  </w:r>
                </w:p>
              </w:tc>
              <w:tc>
                <w:tcPr>
                  <w:tcW w:w="910" w:type="pct"/>
                  <w:noWrap w:val="0"/>
                  <w:vAlign w:val="center"/>
                </w:tcPr>
                <w:p w14:paraId="7C6D1847">
                  <w:pPr>
                    <w:adjustRightInd w:val="0"/>
                    <w:snapToGrid w:val="0"/>
                    <w:jc w:val="center"/>
                    <w:rPr>
                      <w:color w:val="auto"/>
                      <w:szCs w:val="21"/>
                    </w:rPr>
                  </w:pPr>
                  <w:r>
                    <w:rPr>
                      <w:rFonts w:hint="eastAsia"/>
                      <w:color w:val="auto"/>
                      <w:szCs w:val="21"/>
                    </w:rPr>
                    <w:t>1</w:t>
                  </w:r>
                  <w:r>
                    <w:rPr>
                      <w:rFonts w:hint="eastAsia"/>
                      <w:color w:val="auto"/>
                      <w:szCs w:val="21"/>
                      <w:lang w:val="en-US" w:eastAsia="zh-CN"/>
                    </w:rPr>
                    <w:t>3</w:t>
                  </w:r>
                  <w:r>
                    <w:rPr>
                      <w:rFonts w:hint="eastAsia"/>
                      <w:color w:val="auto"/>
                      <w:szCs w:val="21"/>
                    </w:rPr>
                    <w:t>0人</w:t>
                  </w:r>
                </w:p>
              </w:tc>
            </w:tr>
            <w:tr w14:paraId="36BE94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5D6B1C2">
                  <w:pPr>
                    <w:jc w:val="center"/>
                    <w:rPr>
                      <w:color w:val="auto"/>
                      <w:szCs w:val="21"/>
                    </w:rPr>
                  </w:pPr>
                </w:p>
              </w:tc>
              <w:tc>
                <w:tcPr>
                  <w:tcW w:w="284" w:type="pct"/>
                  <w:tcBorders>
                    <w:right w:val="single" w:color="auto" w:sz="4" w:space="0"/>
                  </w:tcBorders>
                  <w:noWrap w:val="0"/>
                  <w:vAlign w:val="center"/>
                </w:tcPr>
                <w:p w14:paraId="294F44E3">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600" w:type="pct"/>
                  <w:tcBorders>
                    <w:left w:val="single" w:color="auto" w:sz="4" w:space="0"/>
                    <w:right w:val="single" w:color="auto" w:sz="4" w:space="0"/>
                  </w:tcBorders>
                  <w:noWrap w:val="0"/>
                  <w:vAlign w:val="center"/>
                </w:tcPr>
                <w:p w14:paraId="7EB102BD">
                  <w:pPr>
                    <w:jc w:val="center"/>
                    <w:rPr>
                      <w:rFonts w:hint="default" w:eastAsia="宋体"/>
                      <w:color w:val="auto"/>
                      <w:szCs w:val="21"/>
                      <w:lang w:val="en-US" w:eastAsia="zh-CN"/>
                    </w:rPr>
                  </w:pPr>
                  <w:r>
                    <w:rPr>
                      <w:rFonts w:hint="eastAsia"/>
                      <w:color w:val="auto"/>
                      <w:szCs w:val="21"/>
                    </w:rPr>
                    <w:t>李郢孜镇</w:t>
                  </w:r>
                  <w:r>
                    <w:rPr>
                      <w:rFonts w:hint="eastAsia"/>
                      <w:color w:val="auto"/>
                      <w:szCs w:val="21"/>
                      <w:lang w:val="en-US" w:eastAsia="zh-CN"/>
                    </w:rPr>
                    <w:t>中心幼儿园</w:t>
                  </w:r>
                </w:p>
              </w:tc>
              <w:tc>
                <w:tcPr>
                  <w:tcW w:w="1687" w:type="pct"/>
                  <w:tcBorders>
                    <w:left w:val="single" w:color="auto" w:sz="4" w:space="0"/>
                  </w:tcBorders>
                  <w:noWrap w:val="0"/>
                  <w:vAlign w:val="center"/>
                </w:tcPr>
                <w:p w14:paraId="2C4E416C">
                  <w:pPr>
                    <w:jc w:val="center"/>
                    <w:rPr>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897025</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581022</w:t>
                  </w:r>
                  <w:r>
                    <w:rPr>
                      <w:rFonts w:hAnsi="宋体"/>
                      <w:color w:val="auto"/>
                      <w:szCs w:val="21"/>
                    </w:rPr>
                    <w:t>）</w:t>
                  </w:r>
                </w:p>
              </w:tc>
              <w:tc>
                <w:tcPr>
                  <w:tcW w:w="482" w:type="pct"/>
                  <w:noWrap w:val="0"/>
                  <w:vAlign w:val="center"/>
                </w:tcPr>
                <w:p w14:paraId="5DA50AC5">
                  <w:pPr>
                    <w:snapToGrid w:val="0"/>
                    <w:jc w:val="center"/>
                    <w:rPr>
                      <w:rFonts w:hint="default" w:eastAsia="宋体"/>
                      <w:color w:val="auto"/>
                      <w:lang w:val="en-US" w:eastAsia="zh-CN"/>
                    </w:rPr>
                  </w:pPr>
                  <w:r>
                    <w:rPr>
                      <w:rFonts w:hint="eastAsia"/>
                      <w:color w:val="auto"/>
                      <w:szCs w:val="21"/>
                      <w:lang w:val="en-US" w:eastAsia="zh-CN"/>
                    </w:rPr>
                    <w:t>NE</w:t>
                  </w:r>
                </w:p>
              </w:tc>
              <w:tc>
                <w:tcPr>
                  <w:tcW w:w="641" w:type="pct"/>
                  <w:noWrap w:val="0"/>
                  <w:vAlign w:val="center"/>
                </w:tcPr>
                <w:p w14:paraId="6E7AC1BA">
                  <w:pPr>
                    <w:adjustRightInd w:val="0"/>
                    <w:snapToGrid w:val="0"/>
                    <w:jc w:val="center"/>
                    <w:rPr>
                      <w:rFonts w:hint="default" w:eastAsia="宋体"/>
                      <w:color w:val="auto"/>
                      <w:szCs w:val="21"/>
                      <w:lang w:val="en-US" w:eastAsia="zh-CN"/>
                    </w:rPr>
                  </w:pPr>
                  <w:r>
                    <w:rPr>
                      <w:rFonts w:hint="eastAsia"/>
                      <w:color w:val="auto"/>
                      <w:szCs w:val="21"/>
                      <w:lang w:val="en-US" w:eastAsia="zh-CN"/>
                    </w:rPr>
                    <w:t>1325</w:t>
                  </w:r>
                </w:p>
              </w:tc>
              <w:tc>
                <w:tcPr>
                  <w:tcW w:w="910" w:type="pct"/>
                  <w:noWrap w:val="0"/>
                  <w:vAlign w:val="center"/>
                </w:tcPr>
                <w:p w14:paraId="47B60F56">
                  <w:pPr>
                    <w:adjustRightInd w:val="0"/>
                    <w:snapToGrid w:val="0"/>
                    <w:jc w:val="center"/>
                    <w:rPr>
                      <w:color w:val="auto"/>
                      <w:szCs w:val="21"/>
                    </w:rPr>
                  </w:pPr>
                  <w:r>
                    <w:rPr>
                      <w:rFonts w:hint="eastAsia"/>
                      <w:color w:val="auto"/>
                      <w:szCs w:val="21"/>
                      <w:lang w:val="en-US" w:eastAsia="zh-CN"/>
                    </w:rPr>
                    <w:t>100</w:t>
                  </w:r>
                  <w:r>
                    <w:rPr>
                      <w:rFonts w:hint="eastAsia"/>
                      <w:color w:val="auto"/>
                      <w:szCs w:val="21"/>
                    </w:rPr>
                    <w:t>人</w:t>
                  </w:r>
                </w:p>
              </w:tc>
            </w:tr>
            <w:tr w14:paraId="5DE29C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7B25FDD">
                  <w:pPr>
                    <w:jc w:val="center"/>
                    <w:rPr>
                      <w:color w:val="auto"/>
                      <w:szCs w:val="21"/>
                    </w:rPr>
                  </w:pPr>
                </w:p>
              </w:tc>
              <w:tc>
                <w:tcPr>
                  <w:tcW w:w="284" w:type="pct"/>
                  <w:tcBorders>
                    <w:right w:val="single" w:color="auto" w:sz="4" w:space="0"/>
                  </w:tcBorders>
                  <w:noWrap w:val="0"/>
                  <w:vAlign w:val="center"/>
                </w:tcPr>
                <w:p w14:paraId="1535CF2D">
                  <w:pPr>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600" w:type="pct"/>
                  <w:tcBorders>
                    <w:left w:val="single" w:color="auto" w:sz="4" w:space="0"/>
                    <w:right w:val="single" w:color="auto" w:sz="4" w:space="0"/>
                  </w:tcBorders>
                  <w:noWrap w:val="0"/>
                  <w:vAlign w:val="center"/>
                </w:tcPr>
                <w:p w14:paraId="406A478C">
                  <w:pPr>
                    <w:jc w:val="center"/>
                    <w:rPr>
                      <w:rFonts w:ascii="宋体" w:hAnsi="宋体" w:cs="Tahoma"/>
                      <w:color w:val="auto"/>
                      <w:szCs w:val="21"/>
                    </w:rPr>
                  </w:pPr>
                  <w:r>
                    <w:rPr>
                      <w:rFonts w:hint="eastAsia" w:ascii="宋体" w:hAnsi="宋体" w:cs="Tahoma"/>
                      <w:color w:val="auto"/>
                      <w:szCs w:val="21"/>
                    </w:rPr>
                    <w:t>春申北苑小区</w:t>
                  </w:r>
                </w:p>
              </w:tc>
              <w:tc>
                <w:tcPr>
                  <w:tcW w:w="1687" w:type="pct"/>
                  <w:tcBorders>
                    <w:left w:val="single" w:color="auto" w:sz="4" w:space="0"/>
                  </w:tcBorders>
                  <w:noWrap w:val="0"/>
                  <w:vAlign w:val="center"/>
                </w:tcPr>
                <w:p w14:paraId="5DFFDA7F">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893528</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582202</w:t>
                  </w:r>
                  <w:r>
                    <w:rPr>
                      <w:rFonts w:hAnsi="宋体"/>
                      <w:color w:val="auto"/>
                      <w:szCs w:val="21"/>
                    </w:rPr>
                    <w:t>）</w:t>
                  </w:r>
                </w:p>
              </w:tc>
              <w:tc>
                <w:tcPr>
                  <w:tcW w:w="482" w:type="pct"/>
                  <w:noWrap w:val="0"/>
                  <w:vAlign w:val="center"/>
                </w:tcPr>
                <w:p w14:paraId="449E6884">
                  <w:pPr>
                    <w:adjustRightInd w:val="0"/>
                    <w:snapToGrid w:val="0"/>
                    <w:jc w:val="center"/>
                    <w:rPr>
                      <w:rFonts w:hint="eastAsia" w:eastAsia="宋体"/>
                      <w:color w:val="auto"/>
                      <w:szCs w:val="21"/>
                      <w:lang w:eastAsia="zh-CN"/>
                    </w:rPr>
                  </w:pPr>
                  <w:r>
                    <w:rPr>
                      <w:rFonts w:hint="eastAsia"/>
                      <w:color w:val="auto"/>
                      <w:szCs w:val="21"/>
                      <w:lang w:val="en-US" w:eastAsia="zh-CN"/>
                    </w:rPr>
                    <w:t>N</w:t>
                  </w:r>
                </w:p>
              </w:tc>
              <w:tc>
                <w:tcPr>
                  <w:tcW w:w="641" w:type="pct"/>
                  <w:noWrap w:val="0"/>
                  <w:vAlign w:val="center"/>
                </w:tcPr>
                <w:p w14:paraId="2059DFD9">
                  <w:pPr>
                    <w:adjustRightInd w:val="0"/>
                    <w:snapToGrid w:val="0"/>
                    <w:jc w:val="center"/>
                    <w:rPr>
                      <w:rFonts w:hint="default" w:eastAsia="宋体"/>
                      <w:color w:val="auto"/>
                      <w:szCs w:val="21"/>
                      <w:lang w:val="en-US" w:eastAsia="zh-CN"/>
                    </w:rPr>
                  </w:pPr>
                  <w:r>
                    <w:rPr>
                      <w:rFonts w:hint="eastAsia"/>
                      <w:color w:val="auto"/>
                      <w:szCs w:val="21"/>
                      <w:lang w:val="en-US" w:eastAsia="zh-CN"/>
                    </w:rPr>
                    <w:t>1277</w:t>
                  </w:r>
                </w:p>
              </w:tc>
              <w:tc>
                <w:tcPr>
                  <w:tcW w:w="910" w:type="pct"/>
                  <w:noWrap w:val="0"/>
                  <w:vAlign w:val="center"/>
                </w:tcPr>
                <w:p w14:paraId="038DDAE5">
                  <w:pPr>
                    <w:adjustRightInd w:val="0"/>
                    <w:snapToGrid w:val="0"/>
                    <w:jc w:val="center"/>
                    <w:rPr>
                      <w:color w:val="auto"/>
                      <w:szCs w:val="21"/>
                    </w:rPr>
                  </w:pPr>
                  <w:r>
                    <w:rPr>
                      <w:rFonts w:hint="eastAsia"/>
                      <w:color w:val="auto"/>
                      <w:szCs w:val="21"/>
                    </w:rPr>
                    <w:t>1</w:t>
                  </w:r>
                  <w:r>
                    <w:rPr>
                      <w:rFonts w:hint="eastAsia"/>
                      <w:color w:val="auto"/>
                      <w:szCs w:val="21"/>
                      <w:lang w:val="en-US" w:eastAsia="zh-CN"/>
                    </w:rPr>
                    <w:t>60</w:t>
                  </w:r>
                  <w:r>
                    <w:rPr>
                      <w:rFonts w:hint="eastAsia"/>
                      <w:color w:val="auto"/>
                      <w:szCs w:val="21"/>
                    </w:rPr>
                    <w:t>0人</w:t>
                  </w:r>
                </w:p>
              </w:tc>
            </w:tr>
            <w:tr w14:paraId="07C6C0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5237598">
                  <w:pPr>
                    <w:jc w:val="center"/>
                    <w:rPr>
                      <w:color w:val="auto"/>
                      <w:szCs w:val="21"/>
                    </w:rPr>
                  </w:pPr>
                </w:p>
              </w:tc>
              <w:tc>
                <w:tcPr>
                  <w:tcW w:w="284" w:type="pct"/>
                  <w:tcBorders>
                    <w:right w:val="single" w:color="auto" w:sz="4" w:space="0"/>
                  </w:tcBorders>
                  <w:noWrap w:val="0"/>
                  <w:vAlign w:val="center"/>
                </w:tcPr>
                <w:p w14:paraId="18D3C238">
                  <w:pPr>
                    <w:jc w:val="center"/>
                    <w:rPr>
                      <w:rFonts w:hint="eastAsia" w:ascii="宋体" w:hAnsi="宋体" w:cs="Tahoma"/>
                      <w:color w:val="auto"/>
                      <w:szCs w:val="21"/>
                    </w:rPr>
                  </w:pPr>
                  <w:r>
                    <w:rPr>
                      <w:rFonts w:hint="eastAsia" w:ascii="宋体" w:hAnsi="宋体" w:cs="Tahoma"/>
                      <w:color w:val="auto"/>
                      <w:szCs w:val="21"/>
                    </w:rPr>
                    <w:t>19</w:t>
                  </w:r>
                </w:p>
              </w:tc>
              <w:tc>
                <w:tcPr>
                  <w:tcW w:w="600" w:type="pct"/>
                  <w:tcBorders>
                    <w:left w:val="single" w:color="auto" w:sz="4" w:space="0"/>
                    <w:right w:val="single" w:color="auto" w:sz="4" w:space="0"/>
                  </w:tcBorders>
                  <w:noWrap w:val="0"/>
                  <w:vAlign w:val="center"/>
                </w:tcPr>
                <w:p w14:paraId="13CCBDA9">
                  <w:pPr>
                    <w:jc w:val="center"/>
                    <w:rPr>
                      <w:rFonts w:ascii="宋体" w:hAnsi="宋体" w:cs="Tahoma"/>
                      <w:color w:val="auto"/>
                      <w:szCs w:val="21"/>
                    </w:rPr>
                  </w:pPr>
                  <w:r>
                    <w:rPr>
                      <w:rFonts w:hint="eastAsia" w:ascii="宋体" w:hAnsi="宋体" w:cs="Tahoma"/>
                      <w:color w:val="auto"/>
                      <w:szCs w:val="21"/>
                    </w:rPr>
                    <w:t>河西小区</w:t>
                  </w:r>
                </w:p>
              </w:tc>
              <w:tc>
                <w:tcPr>
                  <w:tcW w:w="1687" w:type="pct"/>
                  <w:tcBorders>
                    <w:left w:val="single" w:color="auto" w:sz="4" w:space="0"/>
                  </w:tcBorders>
                  <w:noWrap w:val="0"/>
                  <w:vAlign w:val="center"/>
                </w:tcPr>
                <w:p w14:paraId="3CCA2B00">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889826</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577792</w:t>
                  </w:r>
                  <w:r>
                    <w:rPr>
                      <w:rFonts w:hAnsi="宋体"/>
                      <w:color w:val="auto"/>
                      <w:szCs w:val="21"/>
                    </w:rPr>
                    <w:t>）</w:t>
                  </w:r>
                </w:p>
              </w:tc>
              <w:tc>
                <w:tcPr>
                  <w:tcW w:w="482" w:type="pct"/>
                  <w:noWrap w:val="0"/>
                  <w:vAlign w:val="center"/>
                </w:tcPr>
                <w:p w14:paraId="033E104D">
                  <w:pPr>
                    <w:adjustRightInd w:val="0"/>
                    <w:snapToGrid w:val="0"/>
                    <w:jc w:val="center"/>
                    <w:rPr>
                      <w:rFonts w:hint="eastAsia" w:eastAsia="宋体"/>
                      <w:color w:val="auto"/>
                      <w:szCs w:val="21"/>
                      <w:lang w:eastAsia="zh-CN"/>
                    </w:rPr>
                  </w:pPr>
                  <w:r>
                    <w:rPr>
                      <w:rFonts w:hint="eastAsia"/>
                      <w:color w:val="auto"/>
                      <w:szCs w:val="21"/>
                      <w:lang w:val="en-US" w:eastAsia="zh-CN"/>
                    </w:rPr>
                    <w:t>N</w:t>
                  </w:r>
                </w:p>
              </w:tc>
              <w:tc>
                <w:tcPr>
                  <w:tcW w:w="641" w:type="pct"/>
                  <w:noWrap w:val="0"/>
                  <w:vAlign w:val="center"/>
                </w:tcPr>
                <w:p w14:paraId="73A33A14">
                  <w:pPr>
                    <w:adjustRightInd w:val="0"/>
                    <w:snapToGrid w:val="0"/>
                    <w:jc w:val="center"/>
                    <w:rPr>
                      <w:rFonts w:hint="default" w:eastAsia="宋体"/>
                      <w:color w:val="auto"/>
                      <w:szCs w:val="21"/>
                      <w:lang w:val="en-US" w:eastAsia="zh-CN"/>
                    </w:rPr>
                  </w:pPr>
                  <w:r>
                    <w:rPr>
                      <w:rFonts w:hint="eastAsia"/>
                      <w:color w:val="auto"/>
                      <w:szCs w:val="21"/>
                      <w:lang w:val="en-US" w:eastAsia="zh-CN"/>
                    </w:rPr>
                    <w:t>580</w:t>
                  </w:r>
                </w:p>
              </w:tc>
              <w:tc>
                <w:tcPr>
                  <w:tcW w:w="910" w:type="pct"/>
                  <w:noWrap w:val="0"/>
                  <w:vAlign w:val="center"/>
                </w:tcPr>
                <w:p w14:paraId="63719215">
                  <w:pPr>
                    <w:adjustRightInd w:val="0"/>
                    <w:snapToGrid w:val="0"/>
                    <w:jc w:val="center"/>
                    <w:rPr>
                      <w:rFonts w:hint="eastAsia"/>
                      <w:color w:val="auto"/>
                      <w:szCs w:val="21"/>
                    </w:rPr>
                  </w:pPr>
                  <w:r>
                    <w:rPr>
                      <w:rFonts w:hint="eastAsia"/>
                      <w:color w:val="auto"/>
                      <w:szCs w:val="21"/>
                      <w:lang w:val="en-US" w:eastAsia="zh-CN"/>
                    </w:rPr>
                    <w:t>8000</w:t>
                  </w:r>
                  <w:r>
                    <w:rPr>
                      <w:rFonts w:hint="eastAsia"/>
                      <w:color w:val="auto"/>
                      <w:szCs w:val="21"/>
                    </w:rPr>
                    <w:t>人</w:t>
                  </w:r>
                </w:p>
              </w:tc>
            </w:tr>
            <w:tr w14:paraId="57CC80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325604F">
                  <w:pPr>
                    <w:jc w:val="center"/>
                    <w:rPr>
                      <w:color w:val="auto"/>
                      <w:szCs w:val="21"/>
                    </w:rPr>
                  </w:pPr>
                </w:p>
              </w:tc>
              <w:tc>
                <w:tcPr>
                  <w:tcW w:w="284" w:type="pct"/>
                  <w:tcBorders>
                    <w:right w:val="single" w:color="auto" w:sz="4" w:space="0"/>
                  </w:tcBorders>
                  <w:noWrap w:val="0"/>
                  <w:vAlign w:val="center"/>
                </w:tcPr>
                <w:p w14:paraId="6546C935">
                  <w:pPr>
                    <w:jc w:val="center"/>
                    <w:rPr>
                      <w:rFonts w:ascii="宋体" w:hAnsi="宋体" w:cs="Tahoma"/>
                      <w:color w:val="auto"/>
                      <w:szCs w:val="21"/>
                    </w:rPr>
                  </w:pPr>
                  <w:r>
                    <w:rPr>
                      <w:rFonts w:hint="eastAsia" w:ascii="宋体" w:hAnsi="宋体" w:cs="Tahoma"/>
                      <w:color w:val="auto"/>
                      <w:szCs w:val="21"/>
                    </w:rPr>
                    <w:t>20</w:t>
                  </w:r>
                </w:p>
              </w:tc>
              <w:tc>
                <w:tcPr>
                  <w:tcW w:w="600" w:type="pct"/>
                  <w:tcBorders>
                    <w:left w:val="single" w:color="auto" w:sz="4" w:space="0"/>
                    <w:right w:val="single" w:color="auto" w:sz="4" w:space="0"/>
                  </w:tcBorders>
                  <w:noWrap w:val="0"/>
                  <w:vAlign w:val="center"/>
                </w:tcPr>
                <w:p w14:paraId="40E086ED">
                  <w:pPr>
                    <w:jc w:val="center"/>
                    <w:rPr>
                      <w:rFonts w:ascii="宋体" w:hAnsi="宋体" w:cs="Tahoma"/>
                      <w:color w:val="auto"/>
                      <w:szCs w:val="21"/>
                    </w:rPr>
                  </w:pPr>
                  <w:r>
                    <w:rPr>
                      <w:rFonts w:hint="eastAsia" w:ascii="宋体" w:hAnsi="宋体" w:cs="Tahoma"/>
                      <w:color w:val="auto"/>
                      <w:szCs w:val="21"/>
                    </w:rPr>
                    <w:t>沈塘</w:t>
                  </w:r>
                </w:p>
              </w:tc>
              <w:tc>
                <w:tcPr>
                  <w:tcW w:w="1687" w:type="pct"/>
                  <w:tcBorders>
                    <w:left w:val="single" w:color="auto" w:sz="4" w:space="0"/>
                  </w:tcBorders>
                  <w:noWrap w:val="0"/>
                  <w:vAlign w:val="center"/>
                </w:tcPr>
                <w:p w14:paraId="658B9760">
                  <w:pPr>
                    <w:jc w:val="center"/>
                    <w:rPr>
                      <w:rFonts w:ascii="宋体" w:hAnsi="宋体" w:cs="Tahoma"/>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871330</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578919</w:t>
                  </w:r>
                  <w:r>
                    <w:rPr>
                      <w:rFonts w:hAnsi="宋体"/>
                      <w:color w:val="auto"/>
                      <w:szCs w:val="21"/>
                    </w:rPr>
                    <w:t>）</w:t>
                  </w:r>
                </w:p>
              </w:tc>
              <w:tc>
                <w:tcPr>
                  <w:tcW w:w="482" w:type="pct"/>
                  <w:noWrap w:val="0"/>
                  <w:vAlign w:val="center"/>
                </w:tcPr>
                <w:p w14:paraId="76CCC49B">
                  <w:pPr>
                    <w:adjustRightInd w:val="0"/>
                    <w:snapToGrid w:val="0"/>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6CC54733">
                  <w:pPr>
                    <w:adjustRightInd w:val="0"/>
                    <w:snapToGrid w:val="0"/>
                    <w:jc w:val="center"/>
                    <w:rPr>
                      <w:rFonts w:hint="default" w:eastAsia="宋体"/>
                      <w:color w:val="auto"/>
                      <w:szCs w:val="21"/>
                      <w:lang w:val="en-US" w:eastAsia="zh-CN"/>
                    </w:rPr>
                  </w:pPr>
                  <w:r>
                    <w:rPr>
                      <w:rFonts w:hint="eastAsia"/>
                      <w:color w:val="auto"/>
                      <w:szCs w:val="21"/>
                      <w:lang w:val="en-US" w:eastAsia="zh-CN"/>
                    </w:rPr>
                    <w:t>1890</w:t>
                  </w:r>
                </w:p>
              </w:tc>
              <w:tc>
                <w:tcPr>
                  <w:tcW w:w="910" w:type="pct"/>
                  <w:noWrap w:val="0"/>
                  <w:vAlign w:val="center"/>
                </w:tcPr>
                <w:p w14:paraId="0A08A02C">
                  <w:pPr>
                    <w:adjustRightInd w:val="0"/>
                    <w:snapToGrid w:val="0"/>
                    <w:jc w:val="center"/>
                    <w:rPr>
                      <w:color w:val="auto"/>
                      <w:szCs w:val="21"/>
                    </w:rPr>
                  </w:pPr>
                  <w:r>
                    <w:rPr>
                      <w:rFonts w:hint="eastAsia"/>
                      <w:color w:val="auto"/>
                      <w:szCs w:val="21"/>
                      <w:lang w:val="en-US" w:eastAsia="zh-CN"/>
                    </w:rPr>
                    <w:t>130</w:t>
                  </w:r>
                  <w:r>
                    <w:rPr>
                      <w:rFonts w:hint="eastAsia"/>
                      <w:color w:val="auto"/>
                      <w:szCs w:val="21"/>
                    </w:rPr>
                    <w:t>人</w:t>
                  </w:r>
                </w:p>
              </w:tc>
            </w:tr>
            <w:tr w14:paraId="039AB0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3568FCB">
                  <w:pPr>
                    <w:jc w:val="center"/>
                    <w:rPr>
                      <w:rFonts w:hint="eastAsia"/>
                      <w:color w:val="auto"/>
                      <w:szCs w:val="21"/>
                    </w:rPr>
                  </w:pPr>
                </w:p>
              </w:tc>
              <w:tc>
                <w:tcPr>
                  <w:tcW w:w="284" w:type="pct"/>
                  <w:tcBorders>
                    <w:right w:val="single" w:color="auto" w:sz="4" w:space="0"/>
                  </w:tcBorders>
                  <w:noWrap w:val="0"/>
                  <w:vAlign w:val="center"/>
                </w:tcPr>
                <w:p w14:paraId="1AC9C71A">
                  <w:pPr>
                    <w:jc w:val="center"/>
                    <w:rPr>
                      <w:color w:val="auto"/>
                      <w:szCs w:val="21"/>
                    </w:rPr>
                  </w:pPr>
                  <w:r>
                    <w:rPr>
                      <w:rFonts w:hint="eastAsia"/>
                      <w:color w:val="auto"/>
                      <w:szCs w:val="21"/>
                    </w:rPr>
                    <w:t>21</w:t>
                  </w:r>
                </w:p>
              </w:tc>
              <w:tc>
                <w:tcPr>
                  <w:tcW w:w="600" w:type="pct"/>
                  <w:tcBorders>
                    <w:left w:val="single" w:color="auto" w:sz="4" w:space="0"/>
                    <w:right w:val="single" w:color="auto" w:sz="4" w:space="0"/>
                  </w:tcBorders>
                  <w:noWrap w:val="0"/>
                  <w:vAlign w:val="center"/>
                </w:tcPr>
                <w:p w14:paraId="62A7F73F">
                  <w:pPr>
                    <w:jc w:val="center"/>
                    <w:rPr>
                      <w:color w:val="auto"/>
                      <w:szCs w:val="21"/>
                    </w:rPr>
                  </w:pPr>
                  <w:r>
                    <w:rPr>
                      <w:rFonts w:hint="eastAsia"/>
                      <w:color w:val="auto"/>
                      <w:szCs w:val="21"/>
                    </w:rPr>
                    <w:t>桂山村</w:t>
                  </w:r>
                </w:p>
              </w:tc>
              <w:tc>
                <w:tcPr>
                  <w:tcW w:w="1687" w:type="pct"/>
                  <w:tcBorders>
                    <w:left w:val="single" w:color="auto" w:sz="4" w:space="0"/>
                  </w:tcBorders>
                  <w:noWrap w:val="0"/>
                  <w:vAlign w:val="center"/>
                </w:tcPr>
                <w:p w14:paraId="0C72AC08">
                  <w:pPr>
                    <w:jc w:val="center"/>
                    <w:rPr>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866802</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582867</w:t>
                  </w:r>
                  <w:r>
                    <w:rPr>
                      <w:rFonts w:hAnsi="宋体"/>
                      <w:color w:val="auto"/>
                      <w:szCs w:val="21"/>
                    </w:rPr>
                    <w:t>）</w:t>
                  </w:r>
                </w:p>
              </w:tc>
              <w:tc>
                <w:tcPr>
                  <w:tcW w:w="482" w:type="pct"/>
                  <w:noWrap w:val="0"/>
                  <w:vAlign w:val="center"/>
                </w:tcPr>
                <w:p w14:paraId="06657C3A">
                  <w:pPr>
                    <w:adjustRightInd w:val="0"/>
                    <w:snapToGrid w:val="0"/>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2F8C9207">
                  <w:pPr>
                    <w:adjustRightInd w:val="0"/>
                    <w:snapToGrid w:val="0"/>
                    <w:jc w:val="center"/>
                    <w:rPr>
                      <w:rFonts w:hint="default" w:eastAsia="宋体"/>
                      <w:color w:val="auto"/>
                      <w:szCs w:val="21"/>
                      <w:lang w:val="en-US" w:eastAsia="zh-CN"/>
                    </w:rPr>
                  </w:pPr>
                  <w:r>
                    <w:rPr>
                      <w:rFonts w:hint="eastAsia"/>
                      <w:color w:val="auto"/>
                      <w:szCs w:val="21"/>
                      <w:lang w:val="en-US" w:eastAsia="zh-CN"/>
                    </w:rPr>
                    <w:t>2453</w:t>
                  </w:r>
                </w:p>
              </w:tc>
              <w:tc>
                <w:tcPr>
                  <w:tcW w:w="910" w:type="pct"/>
                  <w:noWrap w:val="0"/>
                  <w:vAlign w:val="center"/>
                </w:tcPr>
                <w:p w14:paraId="2B45410E">
                  <w:pPr>
                    <w:adjustRightInd w:val="0"/>
                    <w:snapToGrid w:val="0"/>
                    <w:jc w:val="center"/>
                    <w:rPr>
                      <w:color w:val="auto"/>
                      <w:szCs w:val="21"/>
                    </w:rPr>
                  </w:pPr>
                  <w:r>
                    <w:rPr>
                      <w:rFonts w:hint="eastAsia"/>
                      <w:color w:val="auto"/>
                      <w:szCs w:val="21"/>
                      <w:lang w:val="en-US" w:eastAsia="zh-CN"/>
                    </w:rPr>
                    <w:t>65</w:t>
                  </w:r>
                  <w:r>
                    <w:rPr>
                      <w:rFonts w:hint="eastAsia"/>
                      <w:color w:val="auto"/>
                      <w:szCs w:val="21"/>
                    </w:rPr>
                    <w:t>人</w:t>
                  </w:r>
                </w:p>
              </w:tc>
            </w:tr>
            <w:tr w14:paraId="416B1E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EBBA5C0">
                  <w:pPr>
                    <w:jc w:val="center"/>
                    <w:rPr>
                      <w:rFonts w:hint="eastAsia"/>
                      <w:color w:val="auto"/>
                      <w:szCs w:val="21"/>
                    </w:rPr>
                  </w:pPr>
                </w:p>
              </w:tc>
              <w:tc>
                <w:tcPr>
                  <w:tcW w:w="284" w:type="pct"/>
                  <w:tcBorders>
                    <w:right w:val="single" w:color="auto" w:sz="4" w:space="0"/>
                  </w:tcBorders>
                  <w:noWrap w:val="0"/>
                  <w:vAlign w:val="center"/>
                </w:tcPr>
                <w:p w14:paraId="7A3BD365">
                  <w:pPr>
                    <w:jc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600" w:type="pct"/>
                  <w:tcBorders>
                    <w:left w:val="single" w:color="auto" w:sz="4" w:space="0"/>
                    <w:right w:val="single" w:color="auto" w:sz="4" w:space="0"/>
                  </w:tcBorders>
                  <w:noWrap w:val="0"/>
                  <w:vAlign w:val="center"/>
                </w:tcPr>
                <w:p w14:paraId="5C54275D">
                  <w:pPr>
                    <w:jc w:val="center"/>
                    <w:rPr>
                      <w:rFonts w:hint="default" w:ascii="Times New Roman" w:hAnsi="Times New Roman" w:cs="Times New Roman"/>
                      <w:color w:val="auto"/>
                      <w:szCs w:val="21"/>
                    </w:rPr>
                  </w:pPr>
                  <w:r>
                    <w:rPr>
                      <w:rFonts w:hint="default" w:ascii="Times New Roman" w:hAnsi="Times New Roman" w:cs="Times New Roman"/>
                      <w:color w:val="auto"/>
                      <w:szCs w:val="21"/>
                    </w:rPr>
                    <w:t>莲花塘</w:t>
                  </w:r>
                </w:p>
              </w:tc>
              <w:tc>
                <w:tcPr>
                  <w:tcW w:w="1687" w:type="pct"/>
                  <w:tcBorders>
                    <w:left w:val="single" w:color="auto" w:sz="4" w:space="0"/>
                  </w:tcBorders>
                  <w:noWrap w:val="0"/>
                  <w:vAlign w:val="center"/>
                </w:tcPr>
                <w:p w14:paraId="3B8FAFB1">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865450</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578490</w:t>
                  </w:r>
                  <w:r>
                    <w:rPr>
                      <w:rFonts w:hint="default" w:ascii="Times New Roman" w:hAnsi="Times New Roman" w:cs="Times New Roman"/>
                      <w:color w:val="auto"/>
                      <w:szCs w:val="21"/>
                    </w:rPr>
                    <w:t>）</w:t>
                  </w:r>
                </w:p>
              </w:tc>
              <w:tc>
                <w:tcPr>
                  <w:tcW w:w="482" w:type="pct"/>
                  <w:noWrap w:val="0"/>
                  <w:vAlign w:val="center"/>
                </w:tcPr>
                <w:p w14:paraId="79C96DF0">
                  <w:pPr>
                    <w:adjustRightInd w:val="0"/>
                    <w:snapToGrid w:val="0"/>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711235B0">
                  <w:pPr>
                    <w:adjustRightInd w:val="0"/>
                    <w:snapToGrid w:val="0"/>
                    <w:jc w:val="center"/>
                    <w:rPr>
                      <w:rFonts w:hint="default" w:eastAsia="宋体"/>
                      <w:color w:val="auto"/>
                      <w:szCs w:val="21"/>
                      <w:lang w:val="en-US" w:eastAsia="zh-CN"/>
                    </w:rPr>
                  </w:pPr>
                  <w:r>
                    <w:rPr>
                      <w:rFonts w:hint="eastAsia"/>
                      <w:color w:val="auto"/>
                      <w:szCs w:val="21"/>
                      <w:lang w:val="en-US" w:eastAsia="zh-CN"/>
                    </w:rPr>
                    <w:t>2325</w:t>
                  </w:r>
                </w:p>
              </w:tc>
              <w:tc>
                <w:tcPr>
                  <w:tcW w:w="910" w:type="pct"/>
                  <w:noWrap w:val="0"/>
                  <w:vAlign w:val="center"/>
                </w:tcPr>
                <w:p w14:paraId="1FE18797">
                  <w:pPr>
                    <w:adjustRightInd w:val="0"/>
                    <w:snapToGrid w:val="0"/>
                    <w:jc w:val="center"/>
                    <w:rPr>
                      <w:color w:val="auto"/>
                      <w:szCs w:val="21"/>
                    </w:rPr>
                  </w:pPr>
                  <w:r>
                    <w:rPr>
                      <w:rFonts w:hint="eastAsia"/>
                      <w:color w:val="auto"/>
                      <w:szCs w:val="21"/>
                      <w:lang w:val="en-US" w:eastAsia="zh-CN"/>
                    </w:rPr>
                    <w:t>160</w:t>
                  </w:r>
                  <w:r>
                    <w:rPr>
                      <w:rFonts w:hint="eastAsia"/>
                      <w:color w:val="auto"/>
                      <w:szCs w:val="21"/>
                    </w:rPr>
                    <w:t>人</w:t>
                  </w:r>
                </w:p>
              </w:tc>
            </w:tr>
            <w:tr w14:paraId="75A44E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16A7A31">
                  <w:pPr>
                    <w:jc w:val="center"/>
                    <w:rPr>
                      <w:rFonts w:hint="eastAsia"/>
                      <w:color w:val="auto"/>
                      <w:szCs w:val="21"/>
                    </w:rPr>
                  </w:pPr>
                </w:p>
              </w:tc>
              <w:tc>
                <w:tcPr>
                  <w:tcW w:w="284" w:type="pct"/>
                  <w:tcBorders>
                    <w:right w:val="single" w:color="auto" w:sz="4" w:space="0"/>
                  </w:tcBorders>
                  <w:noWrap w:val="0"/>
                  <w:vAlign w:val="center"/>
                </w:tcPr>
                <w:p w14:paraId="00B369F2">
                  <w:pPr>
                    <w:jc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600" w:type="pct"/>
                  <w:tcBorders>
                    <w:left w:val="single" w:color="auto" w:sz="4" w:space="0"/>
                    <w:right w:val="single" w:color="auto" w:sz="4" w:space="0"/>
                  </w:tcBorders>
                  <w:noWrap w:val="0"/>
                  <w:vAlign w:val="center"/>
                </w:tcPr>
                <w:p w14:paraId="43B0D6F9">
                  <w:pPr>
                    <w:jc w:val="center"/>
                    <w:rPr>
                      <w:rFonts w:hint="default" w:ascii="Times New Roman" w:hAnsi="Times New Roman" w:cs="Times New Roman"/>
                      <w:color w:val="auto"/>
                      <w:szCs w:val="21"/>
                    </w:rPr>
                  </w:pPr>
                  <w:r>
                    <w:rPr>
                      <w:rFonts w:hint="default" w:ascii="Times New Roman" w:hAnsi="Times New Roman" w:cs="Times New Roman"/>
                      <w:color w:val="auto"/>
                      <w:szCs w:val="21"/>
                    </w:rPr>
                    <w:t>陈郢</w:t>
                  </w:r>
                </w:p>
              </w:tc>
              <w:tc>
                <w:tcPr>
                  <w:tcW w:w="1687" w:type="pct"/>
                  <w:tcBorders>
                    <w:left w:val="single" w:color="auto" w:sz="4" w:space="0"/>
                  </w:tcBorders>
                  <w:noWrap w:val="0"/>
                  <w:vAlign w:val="center"/>
                </w:tcPr>
                <w:p w14:paraId="11F3CF24">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872038</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574498</w:t>
                  </w:r>
                  <w:r>
                    <w:rPr>
                      <w:rFonts w:hint="default" w:ascii="Times New Roman" w:hAnsi="Times New Roman" w:cs="Times New Roman"/>
                      <w:color w:val="auto"/>
                      <w:szCs w:val="21"/>
                    </w:rPr>
                    <w:t>）</w:t>
                  </w:r>
                </w:p>
              </w:tc>
              <w:tc>
                <w:tcPr>
                  <w:tcW w:w="482" w:type="pct"/>
                  <w:noWrap w:val="0"/>
                  <w:vAlign w:val="center"/>
                </w:tcPr>
                <w:p w14:paraId="19E33D17">
                  <w:pPr>
                    <w:adjustRightInd w:val="0"/>
                    <w:snapToGrid w:val="0"/>
                    <w:jc w:val="center"/>
                    <w:rPr>
                      <w:color w:val="auto"/>
                      <w:szCs w:val="21"/>
                    </w:rPr>
                  </w:pPr>
                  <w:r>
                    <w:rPr>
                      <w:rFonts w:hint="eastAsia"/>
                      <w:color w:val="auto"/>
                      <w:szCs w:val="21"/>
                      <w:lang w:val="en-US" w:eastAsia="zh-CN"/>
                    </w:rPr>
                    <w:t>W</w:t>
                  </w:r>
                </w:p>
              </w:tc>
              <w:tc>
                <w:tcPr>
                  <w:tcW w:w="641" w:type="pct"/>
                  <w:noWrap w:val="0"/>
                  <w:vAlign w:val="center"/>
                </w:tcPr>
                <w:p w14:paraId="69472503">
                  <w:pPr>
                    <w:adjustRightInd w:val="0"/>
                    <w:snapToGrid w:val="0"/>
                    <w:jc w:val="center"/>
                    <w:rPr>
                      <w:rFonts w:hint="default" w:eastAsia="宋体"/>
                      <w:color w:val="auto"/>
                      <w:szCs w:val="21"/>
                      <w:lang w:val="en-US" w:eastAsia="zh-CN"/>
                    </w:rPr>
                  </w:pPr>
                  <w:r>
                    <w:rPr>
                      <w:rFonts w:hint="eastAsia"/>
                      <w:color w:val="auto"/>
                      <w:szCs w:val="21"/>
                      <w:lang w:val="en-US" w:eastAsia="zh-CN"/>
                    </w:rPr>
                    <w:t>1653</w:t>
                  </w:r>
                </w:p>
              </w:tc>
              <w:tc>
                <w:tcPr>
                  <w:tcW w:w="910" w:type="pct"/>
                  <w:noWrap w:val="0"/>
                  <w:vAlign w:val="center"/>
                </w:tcPr>
                <w:p w14:paraId="76E12B64">
                  <w:pPr>
                    <w:adjustRightInd w:val="0"/>
                    <w:snapToGrid w:val="0"/>
                    <w:jc w:val="center"/>
                    <w:rPr>
                      <w:color w:val="auto"/>
                      <w:szCs w:val="21"/>
                    </w:rPr>
                  </w:pPr>
                  <w:r>
                    <w:rPr>
                      <w:rFonts w:hint="eastAsia"/>
                      <w:color w:val="auto"/>
                      <w:szCs w:val="21"/>
                      <w:lang w:val="en-US" w:eastAsia="zh-CN"/>
                    </w:rPr>
                    <w:t>65</w:t>
                  </w:r>
                  <w:r>
                    <w:rPr>
                      <w:rFonts w:hint="eastAsia"/>
                      <w:color w:val="auto"/>
                      <w:szCs w:val="21"/>
                    </w:rPr>
                    <w:t>人</w:t>
                  </w:r>
                </w:p>
              </w:tc>
            </w:tr>
            <w:tr w14:paraId="5DA67E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BD8150D">
                  <w:pPr>
                    <w:jc w:val="center"/>
                    <w:rPr>
                      <w:rFonts w:hint="eastAsia"/>
                      <w:color w:val="auto"/>
                      <w:szCs w:val="21"/>
                    </w:rPr>
                  </w:pPr>
                </w:p>
              </w:tc>
              <w:tc>
                <w:tcPr>
                  <w:tcW w:w="284" w:type="pct"/>
                  <w:tcBorders>
                    <w:right w:val="single" w:color="auto" w:sz="4" w:space="0"/>
                  </w:tcBorders>
                  <w:noWrap w:val="0"/>
                  <w:vAlign w:val="center"/>
                </w:tcPr>
                <w:p w14:paraId="51CF4CD4">
                  <w:pPr>
                    <w:jc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c>
                <w:tcPr>
                  <w:tcW w:w="600" w:type="pct"/>
                  <w:tcBorders>
                    <w:left w:val="single" w:color="auto" w:sz="4" w:space="0"/>
                    <w:right w:val="single" w:color="auto" w:sz="4" w:space="0"/>
                  </w:tcBorders>
                  <w:noWrap w:val="0"/>
                  <w:vAlign w:val="center"/>
                </w:tcPr>
                <w:p w14:paraId="18D1291E">
                  <w:pPr>
                    <w:jc w:val="center"/>
                    <w:rPr>
                      <w:rFonts w:hint="default" w:ascii="Times New Roman" w:hAnsi="Times New Roman" w:cs="Times New Roman"/>
                      <w:color w:val="auto"/>
                      <w:szCs w:val="21"/>
                    </w:rPr>
                  </w:pPr>
                  <w:r>
                    <w:rPr>
                      <w:rFonts w:hint="default" w:ascii="Times New Roman" w:hAnsi="Times New Roman" w:cs="Times New Roman"/>
                      <w:color w:val="auto"/>
                      <w:szCs w:val="21"/>
                    </w:rPr>
                    <w:t>张圩</w:t>
                  </w:r>
                </w:p>
              </w:tc>
              <w:tc>
                <w:tcPr>
                  <w:tcW w:w="1687" w:type="pct"/>
                  <w:tcBorders>
                    <w:left w:val="single" w:color="auto" w:sz="4" w:space="0"/>
                  </w:tcBorders>
                  <w:noWrap w:val="0"/>
                  <w:vAlign w:val="center"/>
                </w:tcPr>
                <w:p w14:paraId="428D4147">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878067</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572253</w:t>
                  </w:r>
                  <w:r>
                    <w:rPr>
                      <w:rFonts w:hint="default" w:ascii="Times New Roman" w:hAnsi="Times New Roman" w:cs="Times New Roman"/>
                      <w:color w:val="auto"/>
                      <w:szCs w:val="21"/>
                    </w:rPr>
                    <w:t>）</w:t>
                  </w:r>
                </w:p>
              </w:tc>
              <w:tc>
                <w:tcPr>
                  <w:tcW w:w="482" w:type="pct"/>
                  <w:noWrap w:val="0"/>
                  <w:vAlign w:val="center"/>
                </w:tcPr>
                <w:p w14:paraId="426B9D03">
                  <w:pPr>
                    <w:adjustRightInd w:val="0"/>
                    <w:snapToGrid w:val="0"/>
                    <w:jc w:val="center"/>
                    <w:rPr>
                      <w:rFonts w:hint="eastAsia" w:eastAsia="宋体"/>
                      <w:color w:val="auto"/>
                      <w:szCs w:val="21"/>
                      <w:lang w:eastAsia="zh-CN"/>
                    </w:rPr>
                  </w:pPr>
                  <w:r>
                    <w:rPr>
                      <w:rFonts w:hint="eastAsia"/>
                      <w:color w:val="auto"/>
                      <w:szCs w:val="21"/>
                      <w:lang w:val="en-US" w:eastAsia="zh-CN"/>
                    </w:rPr>
                    <w:t>W</w:t>
                  </w:r>
                </w:p>
              </w:tc>
              <w:tc>
                <w:tcPr>
                  <w:tcW w:w="641" w:type="pct"/>
                  <w:noWrap w:val="0"/>
                  <w:vAlign w:val="center"/>
                </w:tcPr>
                <w:p w14:paraId="11D837BA">
                  <w:pPr>
                    <w:adjustRightInd w:val="0"/>
                    <w:snapToGrid w:val="0"/>
                    <w:jc w:val="center"/>
                    <w:rPr>
                      <w:rFonts w:hint="default" w:eastAsia="宋体"/>
                      <w:color w:val="auto"/>
                      <w:szCs w:val="21"/>
                      <w:lang w:val="en-US" w:eastAsia="zh-CN"/>
                    </w:rPr>
                  </w:pPr>
                  <w:r>
                    <w:rPr>
                      <w:rFonts w:hint="eastAsia"/>
                      <w:color w:val="auto"/>
                      <w:szCs w:val="21"/>
                    </w:rPr>
                    <w:t>1</w:t>
                  </w:r>
                  <w:r>
                    <w:rPr>
                      <w:rFonts w:hint="eastAsia"/>
                      <w:color w:val="auto"/>
                      <w:szCs w:val="21"/>
                      <w:lang w:val="en-US" w:eastAsia="zh-CN"/>
                    </w:rPr>
                    <w:t>034</w:t>
                  </w:r>
                </w:p>
              </w:tc>
              <w:tc>
                <w:tcPr>
                  <w:tcW w:w="910" w:type="pct"/>
                  <w:noWrap w:val="0"/>
                  <w:vAlign w:val="center"/>
                </w:tcPr>
                <w:p w14:paraId="399DF00A">
                  <w:pPr>
                    <w:adjustRightInd w:val="0"/>
                    <w:snapToGrid w:val="0"/>
                    <w:jc w:val="center"/>
                    <w:rPr>
                      <w:color w:val="auto"/>
                      <w:szCs w:val="21"/>
                    </w:rPr>
                  </w:pPr>
                  <w:r>
                    <w:rPr>
                      <w:rFonts w:hint="eastAsia"/>
                      <w:color w:val="auto"/>
                      <w:szCs w:val="21"/>
                      <w:lang w:val="en-US" w:eastAsia="zh-CN"/>
                    </w:rPr>
                    <w:t>65</w:t>
                  </w:r>
                  <w:r>
                    <w:rPr>
                      <w:rFonts w:hint="eastAsia"/>
                      <w:color w:val="auto"/>
                      <w:szCs w:val="21"/>
                    </w:rPr>
                    <w:t>人</w:t>
                  </w:r>
                </w:p>
              </w:tc>
            </w:tr>
            <w:tr w14:paraId="677A1E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33FCF5B">
                  <w:pPr>
                    <w:jc w:val="center"/>
                    <w:rPr>
                      <w:rFonts w:hint="eastAsia"/>
                      <w:color w:val="auto"/>
                      <w:szCs w:val="21"/>
                    </w:rPr>
                  </w:pPr>
                </w:p>
              </w:tc>
              <w:tc>
                <w:tcPr>
                  <w:tcW w:w="284" w:type="pct"/>
                  <w:tcBorders>
                    <w:right w:val="single" w:color="auto" w:sz="4" w:space="0"/>
                  </w:tcBorders>
                  <w:noWrap w:val="0"/>
                  <w:vAlign w:val="center"/>
                </w:tcPr>
                <w:p w14:paraId="32A8F4A0">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600" w:type="pct"/>
                  <w:tcBorders>
                    <w:left w:val="single" w:color="auto" w:sz="4" w:space="0"/>
                    <w:right w:val="single" w:color="auto" w:sz="4" w:space="0"/>
                  </w:tcBorders>
                  <w:noWrap w:val="0"/>
                  <w:vAlign w:val="center"/>
                </w:tcPr>
                <w:p w14:paraId="0EB6F278">
                  <w:pPr>
                    <w:jc w:val="center"/>
                    <w:rPr>
                      <w:rFonts w:hint="default" w:ascii="Times New Roman" w:hAnsi="Times New Roman" w:cs="Times New Roman"/>
                      <w:color w:val="auto"/>
                      <w:szCs w:val="21"/>
                    </w:rPr>
                  </w:pPr>
                  <w:r>
                    <w:rPr>
                      <w:rFonts w:hint="default" w:ascii="Times New Roman" w:hAnsi="Times New Roman" w:cs="Times New Roman"/>
                      <w:color w:val="auto"/>
                      <w:szCs w:val="21"/>
                    </w:rPr>
                    <w:t>小北洼</w:t>
                  </w:r>
                </w:p>
              </w:tc>
              <w:tc>
                <w:tcPr>
                  <w:tcW w:w="1687" w:type="pct"/>
                  <w:tcBorders>
                    <w:left w:val="single" w:color="auto" w:sz="4" w:space="0"/>
                  </w:tcBorders>
                  <w:noWrap w:val="0"/>
                  <w:vAlign w:val="center"/>
                </w:tcPr>
                <w:p w14:paraId="151EE32D">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878089</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569821</w:t>
                  </w:r>
                  <w:r>
                    <w:rPr>
                      <w:rFonts w:hint="default" w:ascii="Times New Roman" w:hAnsi="Times New Roman" w:cs="Times New Roman"/>
                      <w:color w:val="auto"/>
                      <w:szCs w:val="21"/>
                    </w:rPr>
                    <w:t>）</w:t>
                  </w:r>
                </w:p>
              </w:tc>
              <w:tc>
                <w:tcPr>
                  <w:tcW w:w="482" w:type="pct"/>
                  <w:noWrap w:val="0"/>
                  <w:vAlign w:val="center"/>
                </w:tcPr>
                <w:p w14:paraId="547C6B8C">
                  <w:pPr>
                    <w:adjustRightInd w:val="0"/>
                    <w:snapToGrid w:val="0"/>
                    <w:jc w:val="center"/>
                    <w:rPr>
                      <w:rFonts w:hint="eastAsia" w:eastAsia="宋体"/>
                      <w:color w:val="auto"/>
                      <w:szCs w:val="21"/>
                      <w:lang w:eastAsia="zh-CN"/>
                    </w:rPr>
                  </w:pPr>
                  <w:r>
                    <w:rPr>
                      <w:rFonts w:hint="eastAsia"/>
                      <w:color w:val="auto"/>
                      <w:szCs w:val="21"/>
                      <w:lang w:val="en-US" w:eastAsia="zh-CN"/>
                    </w:rPr>
                    <w:t>W</w:t>
                  </w:r>
                </w:p>
              </w:tc>
              <w:tc>
                <w:tcPr>
                  <w:tcW w:w="641" w:type="pct"/>
                  <w:noWrap w:val="0"/>
                  <w:vAlign w:val="center"/>
                </w:tcPr>
                <w:p w14:paraId="74174B89">
                  <w:pPr>
                    <w:adjustRightInd w:val="0"/>
                    <w:snapToGrid w:val="0"/>
                    <w:jc w:val="center"/>
                    <w:rPr>
                      <w:rFonts w:hint="default" w:eastAsia="宋体"/>
                      <w:color w:val="auto"/>
                      <w:szCs w:val="21"/>
                      <w:lang w:val="en-US" w:eastAsia="zh-CN"/>
                    </w:rPr>
                  </w:pPr>
                  <w:r>
                    <w:rPr>
                      <w:rFonts w:hint="eastAsia"/>
                      <w:color w:val="auto"/>
                      <w:szCs w:val="21"/>
                      <w:lang w:val="en-US" w:eastAsia="zh-CN"/>
                    </w:rPr>
                    <w:t>999</w:t>
                  </w:r>
                </w:p>
              </w:tc>
              <w:tc>
                <w:tcPr>
                  <w:tcW w:w="910" w:type="pct"/>
                  <w:noWrap w:val="0"/>
                  <w:vAlign w:val="center"/>
                </w:tcPr>
                <w:p w14:paraId="6A932831">
                  <w:pPr>
                    <w:adjustRightInd w:val="0"/>
                    <w:snapToGrid w:val="0"/>
                    <w:jc w:val="center"/>
                    <w:rPr>
                      <w:rFonts w:hint="eastAsia"/>
                      <w:color w:val="auto"/>
                      <w:szCs w:val="21"/>
                    </w:rPr>
                  </w:pPr>
                  <w:r>
                    <w:rPr>
                      <w:rFonts w:hint="eastAsia"/>
                      <w:color w:val="auto"/>
                      <w:szCs w:val="21"/>
                      <w:lang w:val="en-US" w:eastAsia="zh-CN"/>
                    </w:rPr>
                    <w:t>65</w:t>
                  </w:r>
                  <w:r>
                    <w:rPr>
                      <w:rFonts w:hint="eastAsia"/>
                      <w:color w:val="auto"/>
                      <w:szCs w:val="21"/>
                    </w:rPr>
                    <w:t>人</w:t>
                  </w:r>
                </w:p>
              </w:tc>
            </w:tr>
            <w:tr w14:paraId="32A1C5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A9B3A79">
                  <w:pPr>
                    <w:jc w:val="center"/>
                    <w:rPr>
                      <w:rFonts w:hint="eastAsia"/>
                      <w:color w:val="auto"/>
                      <w:szCs w:val="21"/>
                    </w:rPr>
                  </w:pPr>
                </w:p>
              </w:tc>
              <w:tc>
                <w:tcPr>
                  <w:tcW w:w="284" w:type="pct"/>
                  <w:tcBorders>
                    <w:right w:val="single" w:color="auto" w:sz="4" w:space="0"/>
                  </w:tcBorders>
                  <w:noWrap w:val="0"/>
                  <w:vAlign w:val="center"/>
                </w:tcPr>
                <w:p w14:paraId="0CB36BE7">
                  <w:pPr>
                    <w:jc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600" w:type="pct"/>
                  <w:tcBorders>
                    <w:left w:val="single" w:color="auto" w:sz="4" w:space="0"/>
                    <w:right w:val="single" w:color="auto" w:sz="4" w:space="0"/>
                  </w:tcBorders>
                  <w:noWrap w:val="0"/>
                  <w:vAlign w:val="center"/>
                </w:tcPr>
                <w:p w14:paraId="038EB98B">
                  <w:pPr>
                    <w:jc w:val="center"/>
                    <w:rPr>
                      <w:rFonts w:hint="default" w:ascii="Times New Roman" w:hAnsi="Times New Roman" w:cs="Times New Roman"/>
                      <w:color w:val="auto"/>
                      <w:szCs w:val="21"/>
                    </w:rPr>
                  </w:pPr>
                  <w:r>
                    <w:rPr>
                      <w:rFonts w:hint="default" w:ascii="Times New Roman" w:hAnsi="Times New Roman" w:cs="Times New Roman"/>
                      <w:color w:val="auto"/>
                      <w:szCs w:val="21"/>
                    </w:rPr>
                    <w:t>李洼</w:t>
                  </w:r>
                </w:p>
              </w:tc>
              <w:tc>
                <w:tcPr>
                  <w:tcW w:w="1687" w:type="pct"/>
                  <w:tcBorders>
                    <w:left w:val="single" w:color="auto" w:sz="4" w:space="0"/>
                  </w:tcBorders>
                  <w:noWrap w:val="0"/>
                  <w:vAlign w:val="center"/>
                </w:tcPr>
                <w:p w14:paraId="2847D385">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882917</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568017</w:t>
                  </w:r>
                  <w:r>
                    <w:rPr>
                      <w:rFonts w:hint="default" w:ascii="Times New Roman" w:hAnsi="Times New Roman" w:cs="Times New Roman"/>
                      <w:color w:val="auto"/>
                      <w:szCs w:val="21"/>
                    </w:rPr>
                    <w:t>）</w:t>
                  </w:r>
                </w:p>
              </w:tc>
              <w:tc>
                <w:tcPr>
                  <w:tcW w:w="482" w:type="pct"/>
                  <w:noWrap w:val="0"/>
                  <w:vAlign w:val="center"/>
                </w:tcPr>
                <w:p w14:paraId="3CAB5DA4">
                  <w:pPr>
                    <w:adjustRightInd w:val="0"/>
                    <w:snapToGrid w:val="0"/>
                    <w:jc w:val="center"/>
                    <w:rPr>
                      <w:rFonts w:hint="eastAsia" w:eastAsia="宋体"/>
                      <w:color w:val="auto"/>
                      <w:szCs w:val="21"/>
                      <w:lang w:eastAsia="zh-CN"/>
                    </w:rPr>
                  </w:pPr>
                  <w:r>
                    <w:rPr>
                      <w:rFonts w:hint="eastAsia"/>
                      <w:color w:val="auto"/>
                      <w:szCs w:val="21"/>
                      <w:lang w:val="en-US" w:eastAsia="zh-CN"/>
                    </w:rPr>
                    <w:t>W</w:t>
                  </w:r>
                </w:p>
              </w:tc>
              <w:tc>
                <w:tcPr>
                  <w:tcW w:w="641" w:type="pct"/>
                  <w:noWrap w:val="0"/>
                  <w:vAlign w:val="center"/>
                </w:tcPr>
                <w:p w14:paraId="25BED97E">
                  <w:pPr>
                    <w:adjustRightInd w:val="0"/>
                    <w:snapToGrid w:val="0"/>
                    <w:jc w:val="center"/>
                    <w:rPr>
                      <w:rFonts w:hint="default" w:eastAsia="宋体"/>
                      <w:color w:val="auto"/>
                      <w:szCs w:val="21"/>
                      <w:lang w:val="en-US" w:eastAsia="zh-CN"/>
                    </w:rPr>
                  </w:pPr>
                  <w:r>
                    <w:rPr>
                      <w:rFonts w:hint="eastAsia"/>
                      <w:color w:val="auto"/>
                      <w:szCs w:val="21"/>
                      <w:lang w:val="en-US" w:eastAsia="zh-CN"/>
                    </w:rPr>
                    <w:t>603</w:t>
                  </w:r>
                </w:p>
              </w:tc>
              <w:tc>
                <w:tcPr>
                  <w:tcW w:w="910" w:type="pct"/>
                  <w:noWrap w:val="0"/>
                  <w:vAlign w:val="center"/>
                </w:tcPr>
                <w:p w14:paraId="6BB60C86">
                  <w:pPr>
                    <w:adjustRightInd w:val="0"/>
                    <w:snapToGrid w:val="0"/>
                    <w:jc w:val="center"/>
                    <w:rPr>
                      <w:rFonts w:hint="eastAsia"/>
                      <w:color w:val="auto"/>
                      <w:szCs w:val="21"/>
                    </w:rPr>
                  </w:pPr>
                  <w:r>
                    <w:rPr>
                      <w:rFonts w:hint="eastAsia"/>
                      <w:color w:val="auto"/>
                      <w:szCs w:val="21"/>
                      <w:lang w:val="en-US" w:eastAsia="zh-CN"/>
                    </w:rPr>
                    <w:t>50</w:t>
                  </w:r>
                  <w:r>
                    <w:rPr>
                      <w:rFonts w:hint="eastAsia"/>
                      <w:color w:val="auto"/>
                      <w:szCs w:val="21"/>
                    </w:rPr>
                    <w:t>人</w:t>
                  </w:r>
                </w:p>
              </w:tc>
            </w:tr>
            <w:tr w14:paraId="10F419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3C0C028">
                  <w:pPr>
                    <w:jc w:val="center"/>
                    <w:rPr>
                      <w:rFonts w:hint="eastAsia"/>
                      <w:color w:val="auto"/>
                      <w:szCs w:val="21"/>
                    </w:rPr>
                  </w:pPr>
                </w:p>
              </w:tc>
              <w:tc>
                <w:tcPr>
                  <w:tcW w:w="284" w:type="pct"/>
                  <w:tcBorders>
                    <w:right w:val="single" w:color="auto" w:sz="4" w:space="0"/>
                  </w:tcBorders>
                  <w:noWrap w:val="0"/>
                  <w:vAlign w:val="center"/>
                </w:tcPr>
                <w:p w14:paraId="0887236F">
                  <w:pPr>
                    <w:jc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600" w:type="pct"/>
                  <w:tcBorders>
                    <w:left w:val="single" w:color="auto" w:sz="4" w:space="0"/>
                    <w:right w:val="single" w:color="auto" w:sz="4" w:space="0"/>
                  </w:tcBorders>
                  <w:noWrap w:val="0"/>
                  <w:vAlign w:val="center"/>
                </w:tcPr>
                <w:p w14:paraId="411811E8">
                  <w:pPr>
                    <w:jc w:val="center"/>
                    <w:rPr>
                      <w:rFonts w:hint="default" w:ascii="Times New Roman" w:hAnsi="Times New Roman" w:cs="Times New Roman"/>
                      <w:color w:val="auto"/>
                      <w:szCs w:val="21"/>
                    </w:rPr>
                  </w:pPr>
                  <w:r>
                    <w:rPr>
                      <w:rFonts w:hint="default" w:ascii="Times New Roman" w:hAnsi="Times New Roman" w:cs="Times New Roman"/>
                      <w:color w:val="auto"/>
                      <w:szCs w:val="21"/>
                    </w:rPr>
                    <w:t>陆家圩</w:t>
                  </w:r>
                </w:p>
              </w:tc>
              <w:tc>
                <w:tcPr>
                  <w:tcW w:w="1687" w:type="pct"/>
                  <w:tcBorders>
                    <w:left w:val="single" w:color="auto" w:sz="4" w:space="0"/>
                  </w:tcBorders>
                  <w:noWrap w:val="0"/>
                  <w:vAlign w:val="center"/>
                </w:tcPr>
                <w:p w14:paraId="114001F8">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897014</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573855</w:t>
                  </w:r>
                  <w:r>
                    <w:rPr>
                      <w:rFonts w:hint="default" w:ascii="Times New Roman" w:hAnsi="Times New Roman" w:cs="Times New Roman"/>
                      <w:color w:val="auto"/>
                      <w:szCs w:val="21"/>
                    </w:rPr>
                    <w:t>）</w:t>
                  </w:r>
                </w:p>
              </w:tc>
              <w:tc>
                <w:tcPr>
                  <w:tcW w:w="482" w:type="pct"/>
                  <w:noWrap w:val="0"/>
                  <w:vAlign w:val="center"/>
                </w:tcPr>
                <w:p w14:paraId="6E334E7B">
                  <w:pPr>
                    <w:adjustRightInd w:val="0"/>
                    <w:snapToGrid w:val="0"/>
                    <w:jc w:val="center"/>
                    <w:rPr>
                      <w:rFonts w:hint="default" w:eastAsia="宋体"/>
                      <w:color w:val="auto"/>
                      <w:szCs w:val="21"/>
                      <w:lang w:val="en-US" w:eastAsia="zh-CN"/>
                    </w:rPr>
                  </w:pPr>
                  <w:r>
                    <w:rPr>
                      <w:rFonts w:hint="eastAsia"/>
                      <w:color w:val="auto"/>
                      <w:szCs w:val="21"/>
                      <w:lang w:val="en-US" w:eastAsia="zh-CN"/>
                    </w:rPr>
                    <w:t>NE</w:t>
                  </w:r>
                </w:p>
              </w:tc>
              <w:tc>
                <w:tcPr>
                  <w:tcW w:w="641" w:type="pct"/>
                  <w:noWrap w:val="0"/>
                  <w:vAlign w:val="center"/>
                </w:tcPr>
                <w:p w14:paraId="7BC73991">
                  <w:pPr>
                    <w:adjustRightInd w:val="0"/>
                    <w:snapToGrid w:val="0"/>
                    <w:jc w:val="center"/>
                    <w:rPr>
                      <w:rFonts w:hint="default" w:eastAsia="宋体"/>
                      <w:color w:val="auto"/>
                      <w:szCs w:val="21"/>
                      <w:lang w:val="en-US" w:eastAsia="zh-CN"/>
                    </w:rPr>
                  </w:pPr>
                  <w:r>
                    <w:rPr>
                      <w:rFonts w:hint="eastAsia"/>
                      <w:color w:val="auto"/>
                      <w:szCs w:val="21"/>
                      <w:lang w:val="en-US" w:eastAsia="zh-CN"/>
                    </w:rPr>
                    <w:t>637</w:t>
                  </w:r>
                </w:p>
              </w:tc>
              <w:tc>
                <w:tcPr>
                  <w:tcW w:w="910" w:type="pct"/>
                  <w:noWrap w:val="0"/>
                  <w:vAlign w:val="center"/>
                </w:tcPr>
                <w:p w14:paraId="7DBFEB58">
                  <w:pPr>
                    <w:adjustRightInd w:val="0"/>
                    <w:snapToGrid w:val="0"/>
                    <w:jc w:val="center"/>
                    <w:rPr>
                      <w:rFonts w:hint="eastAsia"/>
                      <w:color w:val="auto"/>
                      <w:szCs w:val="21"/>
                    </w:rPr>
                  </w:pPr>
                  <w:r>
                    <w:rPr>
                      <w:rFonts w:hint="eastAsia"/>
                      <w:color w:val="auto"/>
                      <w:szCs w:val="21"/>
                      <w:lang w:val="en-US" w:eastAsia="zh-CN"/>
                    </w:rPr>
                    <w:t>130</w:t>
                  </w:r>
                  <w:r>
                    <w:rPr>
                      <w:rFonts w:hint="eastAsia"/>
                      <w:color w:val="auto"/>
                      <w:szCs w:val="21"/>
                    </w:rPr>
                    <w:t>人</w:t>
                  </w:r>
                </w:p>
              </w:tc>
            </w:tr>
            <w:tr w14:paraId="5E5131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77B5C2B">
                  <w:pPr>
                    <w:jc w:val="center"/>
                    <w:rPr>
                      <w:rFonts w:hint="eastAsia"/>
                      <w:color w:val="auto"/>
                      <w:szCs w:val="21"/>
                    </w:rPr>
                  </w:pPr>
                </w:p>
              </w:tc>
              <w:tc>
                <w:tcPr>
                  <w:tcW w:w="284" w:type="pct"/>
                  <w:tcBorders>
                    <w:right w:val="single" w:color="auto" w:sz="4" w:space="0"/>
                  </w:tcBorders>
                  <w:noWrap w:val="0"/>
                  <w:vAlign w:val="center"/>
                </w:tcPr>
                <w:p w14:paraId="476A96BD">
                  <w:pPr>
                    <w:jc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c>
                <w:tcPr>
                  <w:tcW w:w="600" w:type="pct"/>
                  <w:tcBorders>
                    <w:left w:val="single" w:color="auto" w:sz="4" w:space="0"/>
                    <w:right w:val="single" w:color="auto" w:sz="4" w:space="0"/>
                  </w:tcBorders>
                  <w:noWrap w:val="0"/>
                  <w:vAlign w:val="center"/>
                </w:tcPr>
                <w:p w14:paraId="6DB17887">
                  <w:pPr>
                    <w:jc w:val="center"/>
                    <w:rPr>
                      <w:rFonts w:hint="default" w:ascii="Times New Roman" w:hAnsi="Times New Roman" w:cs="Times New Roman"/>
                      <w:color w:val="auto"/>
                      <w:szCs w:val="21"/>
                    </w:rPr>
                  </w:pPr>
                  <w:r>
                    <w:rPr>
                      <w:rFonts w:hint="default" w:ascii="Times New Roman" w:hAnsi="Times New Roman" w:cs="Times New Roman"/>
                      <w:color w:val="auto"/>
                      <w:szCs w:val="21"/>
                    </w:rPr>
                    <w:t>新范圩子</w:t>
                  </w:r>
                </w:p>
              </w:tc>
              <w:tc>
                <w:tcPr>
                  <w:tcW w:w="1687" w:type="pct"/>
                  <w:tcBorders>
                    <w:left w:val="single" w:color="auto" w:sz="4" w:space="0"/>
                  </w:tcBorders>
                  <w:noWrap w:val="0"/>
                  <w:vAlign w:val="center"/>
                </w:tcPr>
                <w:p w14:paraId="1C4F9464">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908709</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576666</w:t>
                  </w:r>
                  <w:r>
                    <w:rPr>
                      <w:rFonts w:hint="default" w:ascii="Times New Roman" w:hAnsi="Times New Roman" w:cs="Times New Roman"/>
                      <w:color w:val="auto"/>
                      <w:szCs w:val="21"/>
                    </w:rPr>
                    <w:t>）</w:t>
                  </w:r>
                </w:p>
              </w:tc>
              <w:tc>
                <w:tcPr>
                  <w:tcW w:w="482" w:type="pct"/>
                  <w:noWrap w:val="0"/>
                  <w:vAlign w:val="center"/>
                </w:tcPr>
                <w:p w14:paraId="1CC4B008">
                  <w:pPr>
                    <w:adjustRightInd w:val="0"/>
                    <w:snapToGrid w:val="0"/>
                    <w:jc w:val="center"/>
                    <w:rPr>
                      <w:rFonts w:hint="default" w:eastAsia="宋体"/>
                      <w:color w:val="auto"/>
                      <w:szCs w:val="21"/>
                      <w:lang w:val="en-US" w:eastAsia="zh-CN"/>
                    </w:rPr>
                  </w:pPr>
                  <w:r>
                    <w:rPr>
                      <w:rFonts w:hint="eastAsia"/>
                      <w:color w:val="auto"/>
                      <w:szCs w:val="21"/>
                      <w:lang w:val="en-US" w:eastAsia="zh-CN"/>
                    </w:rPr>
                    <w:t>NE</w:t>
                  </w:r>
                </w:p>
              </w:tc>
              <w:tc>
                <w:tcPr>
                  <w:tcW w:w="641" w:type="pct"/>
                  <w:noWrap w:val="0"/>
                  <w:vAlign w:val="center"/>
                </w:tcPr>
                <w:p w14:paraId="7863E7E3">
                  <w:pPr>
                    <w:adjustRightInd w:val="0"/>
                    <w:snapToGrid w:val="0"/>
                    <w:jc w:val="center"/>
                    <w:rPr>
                      <w:rFonts w:hint="default" w:eastAsia="宋体"/>
                      <w:color w:val="auto"/>
                      <w:szCs w:val="21"/>
                      <w:lang w:val="en-US" w:eastAsia="zh-CN"/>
                    </w:rPr>
                  </w:pPr>
                  <w:r>
                    <w:rPr>
                      <w:rFonts w:hint="eastAsia"/>
                      <w:color w:val="auto"/>
                      <w:szCs w:val="21"/>
                      <w:lang w:val="en-US" w:eastAsia="zh-CN"/>
                    </w:rPr>
                    <w:t>1770</w:t>
                  </w:r>
                </w:p>
              </w:tc>
              <w:tc>
                <w:tcPr>
                  <w:tcW w:w="910" w:type="pct"/>
                  <w:noWrap w:val="0"/>
                  <w:vAlign w:val="center"/>
                </w:tcPr>
                <w:p w14:paraId="639F714E">
                  <w:pPr>
                    <w:adjustRightInd w:val="0"/>
                    <w:snapToGrid w:val="0"/>
                    <w:jc w:val="center"/>
                    <w:rPr>
                      <w:rFonts w:hint="eastAsia"/>
                      <w:color w:val="auto"/>
                      <w:szCs w:val="21"/>
                    </w:rPr>
                  </w:pPr>
                  <w:r>
                    <w:rPr>
                      <w:rFonts w:hint="eastAsia"/>
                      <w:color w:val="auto"/>
                      <w:szCs w:val="21"/>
                      <w:lang w:val="en-US" w:eastAsia="zh-CN"/>
                    </w:rPr>
                    <w:t>65</w:t>
                  </w:r>
                  <w:r>
                    <w:rPr>
                      <w:rFonts w:hint="eastAsia"/>
                      <w:color w:val="auto"/>
                      <w:szCs w:val="21"/>
                    </w:rPr>
                    <w:t>人</w:t>
                  </w:r>
                </w:p>
              </w:tc>
            </w:tr>
            <w:tr w14:paraId="333FF6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286929FE">
                  <w:pPr>
                    <w:jc w:val="center"/>
                    <w:rPr>
                      <w:rFonts w:hint="eastAsia"/>
                      <w:color w:val="auto"/>
                      <w:szCs w:val="21"/>
                    </w:rPr>
                  </w:pPr>
                </w:p>
              </w:tc>
              <w:tc>
                <w:tcPr>
                  <w:tcW w:w="284" w:type="pct"/>
                  <w:tcBorders>
                    <w:right w:val="single" w:color="auto" w:sz="4" w:space="0"/>
                  </w:tcBorders>
                  <w:noWrap w:val="0"/>
                  <w:vAlign w:val="center"/>
                </w:tcPr>
                <w:p w14:paraId="26C457C4">
                  <w:pPr>
                    <w:jc w:val="center"/>
                    <w:rPr>
                      <w:rFonts w:hint="default" w:ascii="Times New Roman" w:hAnsi="Times New Roman" w:cs="Times New Roman"/>
                      <w:color w:val="auto"/>
                      <w:szCs w:val="21"/>
                    </w:rPr>
                  </w:pPr>
                  <w:r>
                    <w:rPr>
                      <w:rFonts w:hint="default" w:ascii="Times New Roman" w:hAnsi="Times New Roman" w:cs="Times New Roman"/>
                      <w:color w:val="auto"/>
                      <w:szCs w:val="21"/>
                    </w:rPr>
                    <w:t>29</w:t>
                  </w:r>
                </w:p>
              </w:tc>
              <w:tc>
                <w:tcPr>
                  <w:tcW w:w="600" w:type="pct"/>
                  <w:tcBorders>
                    <w:left w:val="single" w:color="auto" w:sz="4" w:space="0"/>
                    <w:right w:val="single" w:color="auto" w:sz="4" w:space="0"/>
                  </w:tcBorders>
                  <w:noWrap w:val="0"/>
                  <w:vAlign w:val="center"/>
                </w:tcPr>
                <w:p w14:paraId="11B94FA8">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三号桥</w:t>
                  </w:r>
                </w:p>
              </w:tc>
              <w:tc>
                <w:tcPr>
                  <w:tcW w:w="1687" w:type="pct"/>
                  <w:tcBorders>
                    <w:left w:val="single" w:color="auto" w:sz="4" w:space="0"/>
                  </w:tcBorders>
                  <w:noWrap w:val="0"/>
                  <w:vAlign w:val="center"/>
                </w:tcPr>
                <w:p w14:paraId="7F0EA7B4">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914975</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580721</w:t>
                  </w:r>
                  <w:r>
                    <w:rPr>
                      <w:rFonts w:hint="default" w:ascii="Times New Roman" w:hAnsi="Times New Roman" w:cs="Times New Roman"/>
                      <w:color w:val="auto"/>
                      <w:szCs w:val="21"/>
                    </w:rPr>
                    <w:t>）</w:t>
                  </w:r>
                </w:p>
              </w:tc>
              <w:tc>
                <w:tcPr>
                  <w:tcW w:w="482" w:type="pct"/>
                  <w:noWrap w:val="0"/>
                  <w:vAlign w:val="top"/>
                </w:tcPr>
                <w:p w14:paraId="160F9B88">
                  <w:pPr>
                    <w:jc w:val="center"/>
                    <w:rPr>
                      <w:color w:val="auto"/>
                    </w:rPr>
                  </w:pPr>
                  <w:r>
                    <w:rPr>
                      <w:rFonts w:hint="eastAsia"/>
                      <w:color w:val="auto"/>
                      <w:szCs w:val="21"/>
                      <w:lang w:val="en-US" w:eastAsia="zh-CN"/>
                    </w:rPr>
                    <w:t>NE</w:t>
                  </w:r>
                </w:p>
              </w:tc>
              <w:tc>
                <w:tcPr>
                  <w:tcW w:w="641" w:type="pct"/>
                  <w:noWrap w:val="0"/>
                  <w:vAlign w:val="center"/>
                </w:tcPr>
                <w:p w14:paraId="50638981">
                  <w:pPr>
                    <w:adjustRightInd w:val="0"/>
                    <w:snapToGrid w:val="0"/>
                    <w:jc w:val="center"/>
                    <w:rPr>
                      <w:rFonts w:hint="default" w:eastAsia="宋体"/>
                      <w:color w:val="auto"/>
                      <w:szCs w:val="21"/>
                      <w:lang w:val="en-US" w:eastAsia="zh-CN"/>
                    </w:rPr>
                  </w:pPr>
                  <w:r>
                    <w:rPr>
                      <w:rFonts w:hint="eastAsia"/>
                      <w:color w:val="auto"/>
                      <w:szCs w:val="21"/>
                      <w:lang w:val="en-US" w:eastAsia="zh-CN"/>
                    </w:rPr>
                    <w:t>2648</w:t>
                  </w:r>
                </w:p>
              </w:tc>
              <w:tc>
                <w:tcPr>
                  <w:tcW w:w="910" w:type="pct"/>
                  <w:noWrap w:val="0"/>
                  <w:vAlign w:val="center"/>
                </w:tcPr>
                <w:p w14:paraId="106EFFF4">
                  <w:pPr>
                    <w:adjustRightInd w:val="0"/>
                    <w:snapToGrid w:val="0"/>
                    <w:jc w:val="center"/>
                    <w:rPr>
                      <w:rFonts w:hint="eastAsia"/>
                      <w:color w:val="auto"/>
                      <w:szCs w:val="21"/>
                    </w:rPr>
                  </w:pPr>
                  <w:r>
                    <w:rPr>
                      <w:rFonts w:hint="eastAsia"/>
                      <w:color w:val="auto"/>
                      <w:szCs w:val="21"/>
                      <w:lang w:val="en-US" w:eastAsia="zh-CN"/>
                    </w:rPr>
                    <w:t>35</w:t>
                  </w:r>
                  <w:r>
                    <w:rPr>
                      <w:rFonts w:hint="eastAsia"/>
                      <w:color w:val="auto"/>
                      <w:szCs w:val="21"/>
                    </w:rPr>
                    <w:t>人</w:t>
                  </w:r>
                </w:p>
              </w:tc>
            </w:tr>
            <w:tr w14:paraId="1C1014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BB83629">
                  <w:pPr>
                    <w:jc w:val="center"/>
                    <w:rPr>
                      <w:rFonts w:hint="eastAsia"/>
                      <w:color w:val="auto"/>
                      <w:szCs w:val="21"/>
                    </w:rPr>
                  </w:pPr>
                </w:p>
              </w:tc>
              <w:tc>
                <w:tcPr>
                  <w:tcW w:w="284" w:type="pct"/>
                  <w:tcBorders>
                    <w:right w:val="single" w:color="auto" w:sz="4" w:space="0"/>
                  </w:tcBorders>
                  <w:noWrap w:val="0"/>
                  <w:vAlign w:val="center"/>
                </w:tcPr>
                <w:p w14:paraId="7E66440B">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00" w:type="pct"/>
                  <w:tcBorders>
                    <w:left w:val="single" w:color="auto" w:sz="4" w:space="0"/>
                    <w:right w:val="single" w:color="auto" w:sz="4" w:space="0"/>
                  </w:tcBorders>
                  <w:noWrap w:val="0"/>
                  <w:vAlign w:val="center"/>
                </w:tcPr>
                <w:p w14:paraId="2B96EBC5">
                  <w:pPr>
                    <w:jc w:val="center"/>
                    <w:rPr>
                      <w:rFonts w:hint="default" w:ascii="Times New Roman" w:hAnsi="Times New Roman" w:cs="Times New Roman"/>
                      <w:color w:val="auto"/>
                      <w:szCs w:val="21"/>
                    </w:rPr>
                  </w:pPr>
                  <w:r>
                    <w:rPr>
                      <w:rFonts w:hint="default" w:ascii="Times New Roman" w:hAnsi="Times New Roman" w:cs="Times New Roman"/>
                      <w:color w:val="auto"/>
                      <w:szCs w:val="21"/>
                    </w:rPr>
                    <w:t>刘老郢孜</w:t>
                  </w:r>
                </w:p>
              </w:tc>
              <w:tc>
                <w:tcPr>
                  <w:tcW w:w="1687" w:type="pct"/>
                  <w:tcBorders>
                    <w:left w:val="single" w:color="auto" w:sz="4" w:space="0"/>
                  </w:tcBorders>
                  <w:noWrap w:val="0"/>
                  <w:vAlign w:val="center"/>
                </w:tcPr>
                <w:p w14:paraId="61497CA1">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917363</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574584</w:t>
                  </w:r>
                  <w:r>
                    <w:rPr>
                      <w:rFonts w:hint="default" w:ascii="Times New Roman" w:hAnsi="Times New Roman" w:cs="Times New Roman"/>
                      <w:color w:val="auto"/>
                      <w:szCs w:val="21"/>
                    </w:rPr>
                    <w:t>）</w:t>
                  </w:r>
                </w:p>
              </w:tc>
              <w:tc>
                <w:tcPr>
                  <w:tcW w:w="482" w:type="pct"/>
                  <w:noWrap w:val="0"/>
                  <w:vAlign w:val="top"/>
                </w:tcPr>
                <w:p w14:paraId="4AB11A3C">
                  <w:pPr>
                    <w:jc w:val="center"/>
                    <w:rPr>
                      <w:rFonts w:hint="default" w:eastAsia="宋体"/>
                      <w:color w:val="auto"/>
                      <w:lang w:val="en-US" w:eastAsia="zh-CN"/>
                    </w:rPr>
                  </w:pPr>
                  <w:r>
                    <w:rPr>
                      <w:rFonts w:hint="eastAsia"/>
                      <w:color w:val="auto"/>
                      <w:lang w:val="en-US" w:eastAsia="zh-CN"/>
                    </w:rPr>
                    <w:t>E</w:t>
                  </w:r>
                </w:p>
              </w:tc>
              <w:tc>
                <w:tcPr>
                  <w:tcW w:w="641" w:type="pct"/>
                  <w:noWrap w:val="0"/>
                  <w:vAlign w:val="center"/>
                </w:tcPr>
                <w:p w14:paraId="1616B0D0">
                  <w:pPr>
                    <w:adjustRightInd w:val="0"/>
                    <w:snapToGrid w:val="0"/>
                    <w:jc w:val="center"/>
                    <w:rPr>
                      <w:rFonts w:hint="default" w:eastAsia="宋体"/>
                      <w:color w:val="auto"/>
                      <w:szCs w:val="21"/>
                      <w:lang w:val="en-US" w:eastAsia="zh-CN"/>
                    </w:rPr>
                  </w:pPr>
                  <w:r>
                    <w:rPr>
                      <w:rFonts w:hint="eastAsia"/>
                      <w:color w:val="auto"/>
                      <w:szCs w:val="21"/>
                    </w:rPr>
                    <w:t>2</w:t>
                  </w:r>
                  <w:r>
                    <w:rPr>
                      <w:rFonts w:hint="eastAsia"/>
                      <w:color w:val="auto"/>
                      <w:szCs w:val="21"/>
                      <w:lang w:val="en-US" w:eastAsia="zh-CN"/>
                    </w:rPr>
                    <w:t>260</w:t>
                  </w:r>
                </w:p>
              </w:tc>
              <w:tc>
                <w:tcPr>
                  <w:tcW w:w="910" w:type="pct"/>
                  <w:noWrap w:val="0"/>
                  <w:vAlign w:val="center"/>
                </w:tcPr>
                <w:p w14:paraId="10411594">
                  <w:pPr>
                    <w:adjustRightInd w:val="0"/>
                    <w:snapToGrid w:val="0"/>
                    <w:jc w:val="center"/>
                    <w:rPr>
                      <w:rFonts w:hint="eastAsia"/>
                      <w:color w:val="auto"/>
                      <w:szCs w:val="21"/>
                    </w:rPr>
                  </w:pPr>
                  <w:r>
                    <w:rPr>
                      <w:rFonts w:hint="eastAsia"/>
                      <w:color w:val="auto"/>
                      <w:szCs w:val="21"/>
                      <w:lang w:val="en-US" w:eastAsia="zh-CN"/>
                    </w:rPr>
                    <w:t>190</w:t>
                  </w:r>
                  <w:r>
                    <w:rPr>
                      <w:rFonts w:hint="eastAsia"/>
                      <w:color w:val="auto"/>
                      <w:szCs w:val="21"/>
                    </w:rPr>
                    <w:t>人</w:t>
                  </w:r>
                </w:p>
              </w:tc>
            </w:tr>
            <w:tr w14:paraId="2AAE34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74A705C">
                  <w:pPr>
                    <w:jc w:val="center"/>
                    <w:rPr>
                      <w:rFonts w:hint="eastAsia"/>
                      <w:color w:val="auto"/>
                      <w:szCs w:val="21"/>
                    </w:rPr>
                  </w:pPr>
                </w:p>
              </w:tc>
              <w:tc>
                <w:tcPr>
                  <w:tcW w:w="284" w:type="pct"/>
                  <w:tcBorders>
                    <w:right w:val="single" w:color="auto" w:sz="4" w:space="0"/>
                  </w:tcBorders>
                  <w:noWrap w:val="0"/>
                  <w:vAlign w:val="center"/>
                </w:tcPr>
                <w:p w14:paraId="452A266E">
                  <w:pPr>
                    <w:jc w:val="center"/>
                    <w:rPr>
                      <w:rFonts w:hint="default" w:ascii="Times New Roman" w:hAnsi="Times New Roman" w:cs="Times New Roman"/>
                      <w:color w:val="auto"/>
                      <w:szCs w:val="21"/>
                    </w:rPr>
                  </w:pPr>
                  <w:r>
                    <w:rPr>
                      <w:rFonts w:hint="default" w:ascii="Times New Roman" w:hAnsi="Times New Roman" w:cs="Times New Roman"/>
                      <w:color w:val="auto"/>
                      <w:szCs w:val="21"/>
                    </w:rPr>
                    <w:t>31</w:t>
                  </w:r>
                </w:p>
              </w:tc>
              <w:tc>
                <w:tcPr>
                  <w:tcW w:w="600" w:type="pct"/>
                  <w:tcBorders>
                    <w:left w:val="single" w:color="auto" w:sz="4" w:space="0"/>
                    <w:right w:val="single" w:color="auto" w:sz="4" w:space="0"/>
                  </w:tcBorders>
                  <w:noWrap w:val="0"/>
                  <w:vAlign w:val="center"/>
                </w:tcPr>
                <w:p w14:paraId="3C9E8FC1">
                  <w:pPr>
                    <w:jc w:val="center"/>
                    <w:rPr>
                      <w:rFonts w:hint="default" w:ascii="Times New Roman" w:hAnsi="Times New Roman" w:cs="Times New Roman"/>
                      <w:color w:val="auto"/>
                      <w:szCs w:val="21"/>
                    </w:rPr>
                  </w:pPr>
                  <w:r>
                    <w:rPr>
                      <w:rFonts w:hint="default" w:ascii="Times New Roman" w:hAnsi="Times New Roman" w:cs="Times New Roman"/>
                      <w:color w:val="auto"/>
                      <w:szCs w:val="21"/>
                    </w:rPr>
                    <w:t>后郢孜</w:t>
                  </w:r>
                </w:p>
              </w:tc>
              <w:tc>
                <w:tcPr>
                  <w:tcW w:w="1687" w:type="pct"/>
                  <w:tcBorders>
                    <w:left w:val="single" w:color="auto" w:sz="4" w:space="0"/>
                  </w:tcBorders>
                  <w:noWrap w:val="0"/>
                  <w:vAlign w:val="center"/>
                </w:tcPr>
                <w:p w14:paraId="2754AADC">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915726</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569628</w:t>
                  </w:r>
                  <w:r>
                    <w:rPr>
                      <w:rFonts w:hint="default" w:ascii="Times New Roman" w:hAnsi="Times New Roman" w:cs="Times New Roman"/>
                      <w:color w:val="auto"/>
                      <w:szCs w:val="21"/>
                    </w:rPr>
                    <w:t>）</w:t>
                  </w:r>
                </w:p>
              </w:tc>
              <w:tc>
                <w:tcPr>
                  <w:tcW w:w="482" w:type="pct"/>
                  <w:noWrap w:val="0"/>
                  <w:vAlign w:val="top"/>
                </w:tcPr>
                <w:p w14:paraId="3A6F2024">
                  <w:pPr>
                    <w:jc w:val="center"/>
                    <w:rPr>
                      <w:rFonts w:hint="eastAsia"/>
                      <w:color w:val="auto"/>
                      <w:szCs w:val="21"/>
                    </w:rPr>
                  </w:pPr>
                  <w:r>
                    <w:rPr>
                      <w:rFonts w:hint="eastAsia"/>
                      <w:color w:val="auto"/>
                      <w:szCs w:val="21"/>
                    </w:rPr>
                    <w:t>E</w:t>
                  </w:r>
                </w:p>
              </w:tc>
              <w:tc>
                <w:tcPr>
                  <w:tcW w:w="641" w:type="pct"/>
                  <w:noWrap w:val="0"/>
                  <w:vAlign w:val="center"/>
                </w:tcPr>
                <w:p w14:paraId="197E20C2">
                  <w:pPr>
                    <w:adjustRightInd w:val="0"/>
                    <w:snapToGrid w:val="0"/>
                    <w:jc w:val="center"/>
                    <w:rPr>
                      <w:rFonts w:hint="default" w:eastAsia="宋体"/>
                      <w:color w:val="auto"/>
                      <w:szCs w:val="21"/>
                      <w:lang w:val="en-US" w:eastAsia="zh-CN"/>
                    </w:rPr>
                  </w:pPr>
                  <w:r>
                    <w:rPr>
                      <w:rFonts w:hint="eastAsia"/>
                      <w:color w:val="auto"/>
                      <w:szCs w:val="21"/>
                      <w:lang w:val="en-US" w:eastAsia="zh-CN"/>
                    </w:rPr>
                    <w:t>2180</w:t>
                  </w:r>
                </w:p>
              </w:tc>
              <w:tc>
                <w:tcPr>
                  <w:tcW w:w="910" w:type="pct"/>
                  <w:noWrap w:val="0"/>
                  <w:vAlign w:val="center"/>
                </w:tcPr>
                <w:p w14:paraId="17CC7E49">
                  <w:pPr>
                    <w:adjustRightInd w:val="0"/>
                    <w:snapToGrid w:val="0"/>
                    <w:jc w:val="center"/>
                    <w:rPr>
                      <w:rFonts w:hint="eastAsia"/>
                      <w:color w:val="auto"/>
                      <w:szCs w:val="21"/>
                    </w:rPr>
                  </w:pPr>
                  <w:r>
                    <w:rPr>
                      <w:rFonts w:hint="eastAsia"/>
                      <w:color w:val="auto"/>
                      <w:szCs w:val="21"/>
                      <w:lang w:val="en-US" w:eastAsia="zh-CN"/>
                    </w:rPr>
                    <w:t>16</w:t>
                  </w:r>
                  <w:r>
                    <w:rPr>
                      <w:rFonts w:hint="eastAsia"/>
                      <w:color w:val="auto"/>
                      <w:szCs w:val="21"/>
                    </w:rPr>
                    <w:t>0人</w:t>
                  </w:r>
                </w:p>
              </w:tc>
            </w:tr>
            <w:tr w14:paraId="2DF7D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1B9C473">
                  <w:pPr>
                    <w:jc w:val="center"/>
                    <w:rPr>
                      <w:rFonts w:hint="eastAsia"/>
                      <w:color w:val="auto"/>
                      <w:szCs w:val="21"/>
                    </w:rPr>
                  </w:pPr>
                </w:p>
              </w:tc>
              <w:tc>
                <w:tcPr>
                  <w:tcW w:w="284" w:type="pct"/>
                  <w:tcBorders>
                    <w:right w:val="single" w:color="auto" w:sz="4" w:space="0"/>
                  </w:tcBorders>
                  <w:noWrap w:val="0"/>
                  <w:vAlign w:val="center"/>
                </w:tcPr>
                <w:p w14:paraId="4DB95B34">
                  <w:pPr>
                    <w:jc w:val="center"/>
                    <w:rPr>
                      <w:rFonts w:hint="default" w:ascii="Times New Roman" w:hAnsi="Times New Roman" w:cs="Times New Roman"/>
                      <w:color w:val="auto"/>
                      <w:szCs w:val="21"/>
                    </w:rPr>
                  </w:pPr>
                  <w:r>
                    <w:rPr>
                      <w:rFonts w:hint="default" w:ascii="Times New Roman" w:hAnsi="Times New Roman" w:cs="Times New Roman"/>
                      <w:color w:val="auto"/>
                      <w:szCs w:val="21"/>
                    </w:rPr>
                    <w:t>32</w:t>
                  </w:r>
                </w:p>
              </w:tc>
              <w:tc>
                <w:tcPr>
                  <w:tcW w:w="600" w:type="pct"/>
                  <w:tcBorders>
                    <w:left w:val="single" w:color="auto" w:sz="4" w:space="0"/>
                    <w:right w:val="single" w:color="auto" w:sz="4" w:space="0"/>
                  </w:tcBorders>
                  <w:noWrap w:val="0"/>
                  <w:vAlign w:val="center"/>
                </w:tcPr>
                <w:p w14:paraId="145BCD77">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下郢孜</w:t>
                  </w:r>
                </w:p>
              </w:tc>
              <w:tc>
                <w:tcPr>
                  <w:tcW w:w="1687" w:type="pct"/>
                  <w:tcBorders>
                    <w:left w:val="single" w:color="auto" w:sz="4" w:space="0"/>
                  </w:tcBorders>
                  <w:noWrap w:val="0"/>
                  <w:vAlign w:val="center"/>
                </w:tcPr>
                <w:p w14:paraId="26516E6F">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909589</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570100</w:t>
                  </w:r>
                  <w:r>
                    <w:rPr>
                      <w:rFonts w:hint="default" w:ascii="Times New Roman" w:hAnsi="Times New Roman" w:cs="Times New Roman"/>
                      <w:color w:val="auto"/>
                      <w:szCs w:val="21"/>
                    </w:rPr>
                    <w:t>）</w:t>
                  </w:r>
                </w:p>
              </w:tc>
              <w:tc>
                <w:tcPr>
                  <w:tcW w:w="482" w:type="pct"/>
                  <w:noWrap w:val="0"/>
                  <w:vAlign w:val="top"/>
                </w:tcPr>
                <w:p w14:paraId="54422E44">
                  <w:pPr>
                    <w:jc w:val="center"/>
                    <w:rPr>
                      <w:rFonts w:hint="eastAsia"/>
                      <w:color w:val="auto"/>
                      <w:szCs w:val="21"/>
                    </w:rPr>
                  </w:pPr>
                  <w:r>
                    <w:rPr>
                      <w:rFonts w:hint="eastAsia"/>
                      <w:color w:val="auto"/>
                      <w:szCs w:val="21"/>
                    </w:rPr>
                    <w:t>E</w:t>
                  </w:r>
                </w:p>
              </w:tc>
              <w:tc>
                <w:tcPr>
                  <w:tcW w:w="641" w:type="pct"/>
                  <w:noWrap w:val="0"/>
                  <w:vAlign w:val="center"/>
                </w:tcPr>
                <w:p w14:paraId="0ABA73D1">
                  <w:pPr>
                    <w:adjustRightInd w:val="0"/>
                    <w:snapToGrid w:val="0"/>
                    <w:jc w:val="center"/>
                    <w:rPr>
                      <w:rFonts w:hint="default" w:eastAsia="宋体"/>
                      <w:color w:val="auto"/>
                      <w:szCs w:val="21"/>
                      <w:lang w:val="en-US" w:eastAsia="zh-CN"/>
                    </w:rPr>
                  </w:pPr>
                  <w:r>
                    <w:rPr>
                      <w:rFonts w:hint="eastAsia"/>
                      <w:color w:val="auto"/>
                      <w:szCs w:val="21"/>
                      <w:lang w:val="en-US" w:eastAsia="zh-CN"/>
                    </w:rPr>
                    <w:t>1502</w:t>
                  </w:r>
                </w:p>
              </w:tc>
              <w:tc>
                <w:tcPr>
                  <w:tcW w:w="910" w:type="pct"/>
                  <w:noWrap w:val="0"/>
                  <w:vAlign w:val="center"/>
                </w:tcPr>
                <w:p w14:paraId="11890435">
                  <w:pPr>
                    <w:adjustRightInd w:val="0"/>
                    <w:snapToGrid w:val="0"/>
                    <w:jc w:val="center"/>
                    <w:rPr>
                      <w:rFonts w:hint="eastAsia"/>
                      <w:color w:val="auto"/>
                      <w:szCs w:val="21"/>
                    </w:rPr>
                  </w:pPr>
                  <w:r>
                    <w:rPr>
                      <w:rFonts w:hint="eastAsia"/>
                      <w:color w:val="auto"/>
                      <w:szCs w:val="21"/>
                      <w:lang w:val="en-US" w:eastAsia="zh-CN"/>
                    </w:rPr>
                    <w:t>150</w:t>
                  </w:r>
                  <w:r>
                    <w:rPr>
                      <w:rFonts w:hint="eastAsia"/>
                      <w:color w:val="auto"/>
                      <w:szCs w:val="21"/>
                    </w:rPr>
                    <w:t>人</w:t>
                  </w:r>
                </w:p>
              </w:tc>
            </w:tr>
            <w:tr w14:paraId="4D218B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4F38702">
                  <w:pPr>
                    <w:jc w:val="center"/>
                    <w:rPr>
                      <w:rFonts w:hint="eastAsia"/>
                      <w:color w:val="auto"/>
                      <w:szCs w:val="21"/>
                    </w:rPr>
                  </w:pPr>
                </w:p>
              </w:tc>
              <w:tc>
                <w:tcPr>
                  <w:tcW w:w="284" w:type="pct"/>
                  <w:tcBorders>
                    <w:right w:val="single" w:color="auto" w:sz="4" w:space="0"/>
                  </w:tcBorders>
                  <w:noWrap w:val="0"/>
                  <w:vAlign w:val="center"/>
                </w:tcPr>
                <w:p w14:paraId="287C9E52">
                  <w:pPr>
                    <w:jc w:val="center"/>
                    <w:rPr>
                      <w:rFonts w:hint="default" w:ascii="Times New Roman" w:hAnsi="Times New Roman" w:cs="Times New Roman"/>
                      <w:color w:val="auto"/>
                      <w:szCs w:val="21"/>
                    </w:rPr>
                  </w:pPr>
                  <w:r>
                    <w:rPr>
                      <w:rFonts w:hint="default" w:ascii="Times New Roman" w:hAnsi="Times New Roman" w:cs="Times New Roman"/>
                      <w:color w:val="auto"/>
                      <w:szCs w:val="21"/>
                    </w:rPr>
                    <w:t>33</w:t>
                  </w:r>
                </w:p>
              </w:tc>
              <w:tc>
                <w:tcPr>
                  <w:tcW w:w="600" w:type="pct"/>
                  <w:tcBorders>
                    <w:left w:val="single" w:color="auto" w:sz="4" w:space="0"/>
                    <w:right w:val="single" w:color="auto" w:sz="4" w:space="0"/>
                  </w:tcBorders>
                  <w:noWrap w:val="0"/>
                  <w:vAlign w:val="center"/>
                </w:tcPr>
                <w:p w14:paraId="254A75F9">
                  <w:pPr>
                    <w:jc w:val="center"/>
                    <w:rPr>
                      <w:rFonts w:hint="default" w:ascii="Times New Roman" w:hAnsi="Times New Roman" w:cs="Times New Roman"/>
                      <w:color w:val="auto"/>
                      <w:szCs w:val="21"/>
                    </w:rPr>
                  </w:pPr>
                  <w:r>
                    <w:rPr>
                      <w:rFonts w:hint="default" w:ascii="Times New Roman" w:hAnsi="Times New Roman" w:cs="Times New Roman"/>
                      <w:color w:val="auto"/>
                      <w:szCs w:val="21"/>
                    </w:rPr>
                    <w:t>鲁家塘梢</w:t>
                  </w:r>
                </w:p>
              </w:tc>
              <w:tc>
                <w:tcPr>
                  <w:tcW w:w="1687" w:type="pct"/>
                  <w:tcBorders>
                    <w:left w:val="single" w:color="auto" w:sz="4" w:space="0"/>
                  </w:tcBorders>
                  <w:noWrap w:val="0"/>
                  <w:vAlign w:val="center"/>
                </w:tcPr>
                <w:p w14:paraId="4C37D484">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909009</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565937</w:t>
                  </w:r>
                  <w:r>
                    <w:rPr>
                      <w:rFonts w:hint="default" w:ascii="Times New Roman" w:hAnsi="Times New Roman" w:cs="Times New Roman"/>
                      <w:color w:val="auto"/>
                      <w:szCs w:val="21"/>
                    </w:rPr>
                    <w:t>）</w:t>
                  </w:r>
                </w:p>
              </w:tc>
              <w:tc>
                <w:tcPr>
                  <w:tcW w:w="482" w:type="pct"/>
                  <w:noWrap w:val="0"/>
                  <w:vAlign w:val="top"/>
                </w:tcPr>
                <w:p w14:paraId="68568A20">
                  <w:pPr>
                    <w:jc w:val="center"/>
                    <w:rPr>
                      <w:rFonts w:hint="eastAsia"/>
                      <w:color w:val="auto"/>
                      <w:szCs w:val="21"/>
                    </w:rPr>
                  </w:pPr>
                  <w:r>
                    <w:rPr>
                      <w:rFonts w:hint="eastAsia"/>
                      <w:color w:val="auto"/>
                      <w:szCs w:val="21"/>
                    </w:rPr>
                    <w:t>E</w:t>
                  </w:r>
                </w:p>
              </w:tc>
              <w:tc>
                <w:tcPr>
                  <w:tcW w:w="641" w:type="pct"/>
                  <w:noWrap w:val="0"/>
                  <w:vAlign w:val="center"/>
                </w:tcPr>
                <w:p w14:paraId="187DD924">
                  <w:pPr>
                    <w:adjustRightInd w:val="0"/>
                    <w:snapToGrid w:val="0"/>
                    <w:jc w:val="center"/>
                    <w:rPr>
                      <w:rFonts w:hint="default" w:eastAsia="宋体"/>
                      <w:color w:val="auto"/>
                      <w:szCs w:val="21"/>
                      <w:lang w:val="en-US" w:eastAsia="zh-CN"/>
                    </w:rPr>
                  </w:pPr>
                  <w:r>
                    <w:rPr>
                      <w:rFonts w:hint="eastAsia"/>
                      <w:color w:val="auto"/>
                      <w:szCs w:val="21"/>
                    </w:rPr>
                    <w:t>14</w:t>
                  </w:r>
                  <w:r>
                    <w:rPr>
                      <w:rFonts w:hint="eastAsia"/>
                      <w:color w:val="auto"/>
                      <w:szCs w:val="21"/>
                      <w:lang w:val="en-US" w:eastAsia="zh-CN"/>
                    </w:rPr>
                    <w:t>53</w:t>
                  </w:r>
                </w:p>
              </w:tc>
              <w:tc>
                <w:tcPr>
                  <w:tcW w:w="910" w:type="pct"/>
                  <w:noWrap w:val="0"/>
                  <w:vAlign w:val="center"/>
                </w:tcPr>
                <w:p w14:paraId="2C6D6826">
                  <w:pPr>
                    <w:adjustRightInd w:val="0"/>
                    <w:snapToGrid w:val="0"/>
                    <w:jc w:val="center"/>
                    <w:rPr>
                      <w:rFonts w:hint="eastAsia"/>
                      <w:color w:val="auto"/>
                      <w:szCs w:val="21"/>
                    </w:rPr>
                  </w:pPr>
                  <w:r>
                    <w:rPr>
                      <w:rFonts w:hint="eastAsia"/>
                      <w:color w:val="auto"/>
                      <w:szCs w:val="21"/>
                      <w:lang w:val="en-US" w:eastAsia="zh-CN"/>
                    </w:rPr>
                    <w:t>65</w:t>
                  </w:r>
                  <w:r>
                    <w:rPr>
                      <w:rFonts w:hint="eastAsia"/>
                      <w:color w:val="auto"/>
                      <w:szCs w:val="21"/>
                    </w:rPr>
                    <w:t>人</w:t>
                  </w:r>
                </w:p>
              </w:tc>
            </w:tr>
            <w:tr w14:paraId="27F661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63034158">
                  <w:pPr>
                    <w:jc w:val="center"/>
                    <w:rPr>
                      <w:rFonts w:hint="eastAsia"/>
                      <w:color w:val="auto"/>
                      <w:szCs w:val="21"/>
                    </w:rPr>
                  </w:pPr>
                </w:p>
              </w:tc>
              <w:tc>
                <w:tcPr>
                  <w:tcW w:w="284" w:type="pct"/>
                  <w:tcBorders>
                    <w:right w:val="single" w:color="auto" w:sz="4" w:space="0"/>
                  </w:tcBorders>
                  <w:noWrap w:val="0"/>
                  <w:vAlign w:val="center"/>
                </w:tcPr>
                <w:p w14:paraId="7D501C02">
                  <w:pPr>
                    <w:jc w:val="center"/>
                    <w:rPr>
                      <w:rFonts w:hint="default" w:ascii="Times New Roman" w:hAnsi="Times New Roman" w:cs="Times New Roman"/>
                      <w:color w:val="auto"/>
                      <w:szCs w:val="21"/>
                    </w:rPr>
                  </w:pPr>
                  <w:r>
                    <w:rPr>
                      <w:rFonts w:hint="default" w:ascii="Times New Roman" w:hAnsi="Times New Roman" w:cs="Times New Roman"/>
                      <w:color w:val="auto"/>
                      <w:szCs w:val="21"/>
                    </w:rPr>
                    <w:t>34</w:t>
                  </w:r>
                </w:p>
              </w:tc>
              <w:tc>
                <w:tcPr>
                  <w:tcW w:w="600" w:type="pct"/>
                  <w:tcBorders>
                    <w:left w:val="single" w:color="auto" w:sz="4" w:space="0"/>
                    <w:right w:val="single" w:color="auto" w:sz="4" w:space="0"/>
                  </w:tcBorders>
                  <w:noWrap w:val="0"/>
                  <w:vAlign w:val="center"/>
                </w:tcPr>
                <w:p w14:paraId="56C9786C">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下郢</w:t>
                  </w:r>
                </w:p>
              </w:tc>
              <w:tc>
                <w:tcPr>
                  <w:tcW w:w="1687" w:type="pct"/>
                  <w:tcBorders>
                    <w:left w:val="single" w:color="auto" w:sz="4" w:space="0"/>
                  </w:tcBorders>
                  <w:noWrap w:val="0"/>
                  <w:vAlign w:val="center"/>
                </w:tcPr>
                <w:p w14:paraId="272AD75F">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903259</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568705</w:t>
                  </w:r>
                  <w:r>
                    <w:rPr>
                      <w:rFonts w:hint="default" w:ascii="Times New Roman" w:hAnsi="Times New Roman" w:cs="Times New Roman"/>
                      <w:color w:val="auto"/>
                      <w:szCs w:val="21"/>
                    </w:rPr>
                    <w:t>）</w:t>
                  </w:r>
                </w:p>
              </w:tc>
              <w:tc>
                <w:tcPr>
                  <w:tcW w:w="482" w:type="pct"/>
                  <w:noWrap w:val="0"/>
                  <w:vAlign w:val="top"/>
                </w:tcPr>
                <w:p w14:paraId="134EC885">
                  <w:pPr>
                    <w:jc w:val="center"/>
                    <w:rPr>
                      <w:rFonts w:hint="eastAsia" w:eastAsia="宋体"/>
                      <w:color w:val="auto"/>
                      <w:szCs w:val="21"/>
                      <w:lang w:eastAsia="zh-CN"/>
                    </w:rPr>
                  </w:pPr>
                  <w:r>
                    <w:rPr>
                      <w:rFonts w:hint="eastAsia"/>
                      <w:color w:val="auto"/>
                      <w:szCs w:val="21"/>
                      <w:lang w:val="en-US" w:eastAsia="zh-CN"/>
                    </w:rPr>
                    <w:t>E</w:t>
                  </w:r>
                </w:p>
              </w:tc>
              <w:tc>
                <w:tcPr>
                  <w:tcW w:w="641" w:type="pct"/>
                  <w:noWrap w:val="0"/>
                  <w:vAlign w:val="center"/>
                </w:tcPr>
                <w:p w14:paraId="617E479E">
                  <w:pPr>
                    <w:adjustRightInd w:val="0"/>
                    <w:snapToGrid w:val="0"/>
                    <w:jc w:val="center"/>
                    <w:rPr>
                      <w:rFonts w:hint="default" w:eastAsia="宋体"/>
                      <w:color w:val="auto"/>
                      <w:szCs w:val="21"/>
                      <w:lang w:val="en-US" w:eastAsia="zh-CN"/>
                    </w:rPr>
                  </w:pPr>
                  <w:r>
                    <w:rPr>
                      <w:rFonts w:hint="eastAsia"/>
                      <w:color w:val="auto"/>
                      <w:szCs w:val="21"/>
                      <w:lang w:val="en-US" w:eastAsia="zh-CN"/>
                    </w:rPr>
                    <w:t>850</w:t>
                  </w:r>
                </w:p>
              </w:tc>
              <w:tc>
                <w:tcPr>
                  <w:tcW w:w="910" w:type="pct"/>
                  <w:noWrap w:val="0"/>
                  <w:vAlign w:val="center"/>
                </w:tcPr>
                <w:p w14:paraId="72DB4CB7">
                  <w:pPr>
                    <w:adjustRightInd w:val="0"/>
                    <w:snapToGrid w:val="0"/>
                    <w:jc w:val="center"/>
                    <w:rPr>
                      <w:rFonts w:hint="eastAsia"/>
                      <w:color w:val="auto"/>
                      <w:szCs w:val="21"/>
                    </w:rPr>
                  </w:pPr>
                  <w:r>
                    <w:rPr>
                      <w:rFonts w:hint="eastAsia"/>
                      <w:color w:val="auto"/>
                      <w:szCs w:val="21"/>
                      <w:lang w:val="en-US" w:eastAsia="zh-CN"/>
                    </w:rPr>
                    <w:t>80</w:t>
                  </w:r>
                  <w:r>
                    <w:rPr>
                      <w:rFonts w:hint="eastAsia"/>
                      <w:color w:val="auto"/>
                      <w:szCs w:val="21"/>
                    </w:rPr>
                    <w:t>人</w:t>
                  </w:r>
                </w:p>
              </w:tc>
            </w:tr>
            <w:tr w14:paraId="21DC6A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2FF04E6">
                  <w:pPr>
                    <w:jc w:val="center"/>
                    <w:rPr>
                      <w:rFonts w:hint="eastAsia"/>
                      <w:color w:val="auto"/>
                      <w:szCs w:val="21"/>
                    </w:rPr>
                  </w:pPr>
                </w:p>
              </w:tc>
              <w:tc>
                <w:tcPr>
                  <w:tcW w:w="284" w:type="pct"/>
                  <w:tcBorders>
                    <w:right w:val="single" w:color="auto" w:sz="4" w:space="0"/>
                  </w:tcBorders>
                  <w:noWrap w:val="0"/>
                  <w:vAlign w:val="center"/>
                </w:tcPr>
                <w:p w14:paraId="4C63E95A">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600" w:type="pct"/>
                  <w:tcBorders>
                    <w:left w:val="single" w:color="auto" w:sz="4" w:space="0"/>
                    <w:right w:val="single" w:color="auto" w:sz="4" w:space="0"/>
                  </w:tcBorders>
                  <w:noWrap w:val="0"/>
                  <w:vAlign w:val="center"/>
                </w:tcPr>
                <w:p w14:paraId="21FAB5CB">
                  <w:pPr>
                    <w:jc w:val="center"/>
                    <w:rPr>
                      <w:rFonts w:hint="default" w:ascii="Times New Roman" w:hAnsi="Times New Roman" w:cs="Times New Roman"/>
                      <w:color w:val="auto"/>
                      <w:szCs w:val="21"/>
                    </w:rPr>
                  </w:pPr>
                  <w:r>
                    <w:rPr>
                      <w:rFonts w:hint="default" w:ascii="Times New Roman" w:hAnsi="Times New Roman" w:cs="Times New Roman"/>
                      <w:color w:val="auto"/>
                      <w:szCs w:val="21"/>
                    </w:rPr>
                    <w:t>莲花村</w:t>
                  </w:r>
                </w:p>
              </w:tc>
              <w:tc>
                <w:tcPr>
                  <w:tcW w:w="1687" w:type="pct"/>
                  <w:tcBorders>
                    <w:left w:val="single" w:color="auto" w:sz="4" w:space="0"/>
                  </w:tcBorders>
                  <w:noWrap w:val="0"/>
                  <w:vAlign w:val="center"/>
                </w:tcPr>
                <w:p w14:paraId="259CC36C">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872252</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590227</w:t>
                  </w:r>
                  <w:r>
                    <w:rPr>
                      <w:rFonts w:hint="default" w:ascii="Times New Roman" w:hAnsi="Times New Roman" w:cs="Times New Roman"/>
                      <w:color w:val="auto"/>
                      <w:szCs w:val="21"/>
                    </w:rPr>
                    <w:t>）</w:t>
                  </w:r>
                </w:p>
              </w:tc>
              <w:tc>
                <w:tcPr>
                  <w:tcW w:w="482" w:type="pct"/>
                  <w:noWrap w:val="0"/>
                  <w:vAlign w:val="top"/>
                </w:tcPr>
                <w:p w14:paraId="6C49636D">
                  <w:pPr>
                    <w:jc w:val="center"/>
                    <w:rPr>
                      <w:rFonts w:hint="eastAsia"/>
                      <w:color w:val="auto"/>
                      <w:szCs w:val="21"/>
                    </w:rPr>
                  </w:pPr>
                  <w:r>
                    <w:rPr>
                      <w:rFonts w:hint="eastAsia"/>
                      <w:color w:val="auto"/>
                      <w:szCs w:val="21"/>
                      <w:lang w:val="en-US" w:eastAsia="zh-CN"/>
                    </w:rPr>
                    <w:t>N</w:t>
                  </w:r>
                  <w:r>
                    <w:rPr>
                      <w:rFonts w:hint="eastAsia"/>
                      <w:color w:val="auto"/>
                      <w:szCs w:val="21"/>
                    </w:rPr>
                    <w:t>W</w:t>
                  </w:r>
                </w:p>
              </w:tc>
              <w:tc>
                <w:tcPr>
                  <w:tcW w:w="641" w:type="pct"/>
                  <w:noWrap w:val="0"/>
                  <w:vAlign w:val="center"/>
                </w:tcPr>
                <w:p w14:paraId="759F5B14">
                  <w:pPr>
                    <w:adjustRightInd w:val="0"/>
                    <w:snapToGrid w:val="0"/>
                    <w:jc w:val="center"/>
                    <w:rPr>
                      <w:rFonts w:hint="default" w:eastAsia="宋体"/>
                      <w:color w:val="auto"/>
                      <w:szCs w:val="21"/>
                      <w:lang w:val="en-US" w:eastAsia="zh-CN"/>
                    </w:rPr>
                  </w:pPr>
                  <w:r>
                    <w:rPr>
                      <w:rFonts w:hint="eastAsia"/>
                      <w:color w:val="auto"/>
                      <w:szCs w:val="21"/>
                      <w:lang w:val="en-US" w:eastAsia="zh-CN"/>
                    </w:rPr>
                    <w:t>2764</w:t>
                  </w:r>
                </w:p>
              </w:tc>
              <w:tc>
                <w:tcPr>
                  <w:tcW w:w="910" w:type="pct"/>
                  <w:noWrap w:val="0"/>
                  <w:vAlign w:val="center"/>
                </w:tcPr>
                <w:p w14:paraId="4CE3B6FA">
                  <w:pPr>
                    <w:adjustRightInd w:val="0"/>
                    <w:snapToGrid w:val="0"/>
                    <w:jc w:val="center"/>
                    <w:rPr>
                      <w:rFonts w:hint="eastAsia"/>
                      <w:color w:val="auto"/>
                      <w:szCs w:val="21"/>
                    </w:rPr>
                  </w:pPr>
                  <w:r>
                    <w:rPr>
                      <w:rFonts w:hint="eastAsia"/>
                      <w:color w:val="auto"/>
                      <w:szCs w:val="21"/>
                    </w:rPr>
                    <w:t>200人</w:t>
                  </w:r>
                </w:p>
              </w:tc>
            </w:tr>
            <w:tr w14:paraId="35FD62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732154E4">
                  <w:pPr>
                    <w:jc w:val="center"/>
                    <w:rPr>
                      <w:rFonts w:hint="eastAsia"/>
                      <w:color w:val="auto"/>
                      <w:szCs w:val="21"/>
                    </w:rPr>
                  </w:pPr>
                </w:p>
              </w:tc>
              <w:tc>
                <w:tcPr>
                  <w:tcW w:w="284" w:type="pct"/>
                  <w:tcBorders>
                    <w:right w:val="single" w:color="auto" w:sz="4" w:space="0"/>
                  </w:tcBorders>
                  <w:noWrap w:val="0"/>
                  <w:vAlign w:val="center"/>
                </w:tcPr>
                <w:p w14:paraId="7A0B7A4B">
                  <w:pPr>
                    <w:jc w:val="center"/>
                    <w:rPr>
                      <w:rFonts w:hint="default" w:ascii="Times New Roman" w:hAnsi="Times New Roman" w:cs="Times New Roman"/>
                      <w:color w:val="auto"/>
                      <w:szCs w:val="21"/>
                    </w:rPr>
                  </w:pPr>
                  <w:r>
                    <w:rPr>
                      <w:rFonts w:hint="default" w:ascii="Times New Roman" w:hAnsi="Times New Roman" w:cs="Times New Roman"/>
                      <w:color w:val="auto"/>
                      <w:szCs w:val="21"/>
                    </w:rPr>
                    <w:t>36</w:t>
                  </w:r>
                </w:p>
              </w:tc>
              <w:tc>
                <w:tcPr>
                  <w:tcW w:w="600" w:type="pct"/>
                  <w:tcBorders>
                    <w:left w:val="single" w:color="auto" w:sz="4" w:space="0"/>
                    <w:right w:val="single" w:color="auto" w:sz="4" w:space="0"/>
                  </w:tcBorders>
                  <w:noWrap w:val="0"/>
                  <w:vAlign w:val="center"/>
                </w:tcPr>
                <w:p w14:paraId="37EA839F">
                  <w:pPr>
                    <w:jc w:val="center"/>
                    <w:rPr>
                      <w:rFonts w:hint="default" w:ascii="Times New Roman" w:hAnsi="Times New Roman" w:cs="Times New Roman"/>
                      <w:color w:val="auto"/>
                      <w:szCs w:val="21"/>
                    </w:rPr>
                  </w:pPr>
                  <w:r>
                    <w:rPr>
                      <w:rFonts w:hint="default" w:ascii="Times New Roman" w:hAnsi="Times New Roman" w:cs="Times New Roman"/>
                      <w:color w:val="auto"/>
                      <w:szCs w:val="21"/>
                    </w:rPr>
                    <w:t>吴郢孜</w:t>
                  </w:r>
                </w:p>
              </w:tc>
              <w:tc>
                <w:tcPr>
                  <w:tcW w:w="1687" w:type="pct"/>
                  <w:tcBorders>
                    <w:left w:val="single" w:color="auto" w:sz="4" w:space="0"/>
                  </w:tcBorders>
                  <w:noWrap w:val="0"/>
                  <w:vAlign w:val="center"/>
                </w:tcPr>
                <w:p w14:paraId="1E1F26DF">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870536</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588081</w:t>
                  </w:r>
                  <w:r>
                    <w:rPr>
                      <w:rFonts w:hint="default" w:ascii="Times New Roman" w:hAnsi="Times New Roman" w:cs="Times New Roman"/>
                      <w:color w:val="auto"/>
                      <w:szCs w:val="21"/>
                    </w:rPr>
                    <w:t>）</w:t>
                  </w:r>
                </w:p>
              </w:tc>
              <w:tc>
                <w:tcPr>
                  <w:tcW w:w="482" w:type="pct"/>
                  <w:noWrap w:val="0"/>
                  <w:vAlign w:val="top"/>
                </w:tcPr>
                <w:p w14:paraId="509EAD9B">
                  <w:pPr>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64620D45">
                  <w:pPr>
                    <w:adjustRightInd w:val="0"/>
                    <w:snapToGrid w:val="0"/>
                    <w:jc w:val="center"/>
                    <w:rPr>
                      <w:rFonts w:hint="default" w:eastAsia="宋体"/>
                      <w:color w:val="auto"/>
                      <w:szCs w:val="21"/>
                      <w:lang w:val="en-US" w:eastAsia="zh-CN"/>
                    </w:rPr>
                  </w:pPr>
                  <w:r>
                    <w:rPr>
                      <w:rFonts w:hint="eastAsia"/>
                      <w:color w:val="auto"/>
                      <w:szCs w:val="21"/>
                    </w:rPr>
                    <w:t>2</w:t>
                  </w:r>
                  <w:r>
                    <w:rPr>
                      <w:rFonts w:hint="eastAsia"/>
                      <w:color w:val="auto"/>
                      <w:szCs w:val="21"/>
                      <w:lang w:val="en-US" w:eastAsia="zh-CN"/>
                    </w:rPr>
                    <w:t>726</w:t>
                  </w:r>
                </w:p>
              </w:tc>
              <w:tc>
                <w:tcPr>
                  <w:tcW w:w="910" w:type="pct"/>
                  <w:noWrap w:val="0"/>
                  <w:vAlign w:val="center"/>
                </w:tcPr>
                <w:p w14:paraId="16C7444A">
                  <w:pPr>
                    <w:adjustRightInd w:val="0"/>
                    <w:snapToGrid w:val="0"/>
                    <w:jc w:val="center"/>
                    <w:rPr>
                      <w:rFonts w:hint="eastAsia"/>
                      <w:color w:val="auto"/>
                      <w:szCs w:val="21"/>
                    </w:rPr>
                  </w:pPr>
                  <w:r>
                    <w:rPr>
                      <w:rFonts w:hint="eastAsia"/>
                      <w:color w:val="auto"/>
                      <w:szCs w:val="21"/>
                      <w:lang w:val="en-US" w:eastAsia="zh-CN"/>
                    </w:rPr>
                    <w:t>130</w:t>
                  </w:r>
                  <w:r>
                    <w:rPr>
                      <w:rFonts w:hint="eastAsia"/>
                      <w:color w:val="auto"/>
                      <w:szCs w:val="21"/>
                    </w:rPr>
                    <w:t>人</w:t>
                  </w:r>
                </w:p>
              </w:tc>
            </w:tr>
            <w:tr w14:paraId="6B597B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6EEC56A">
                  <w:pPr>
                    <w:jc w:val="center"/>
                    <w:rPr>
                      <w:rFonts w:hint="eastAsia"/>
                      <w:color w:val="auto"/>
                      <w:szCs w:val="21"/>
                    </w:rPr>
                  </w:pPr>
                </w:p>
              </w:tc>
              <w:tc>
                <w:tcPr>
                  <w:tcW w:w="284" w:type="pct"/>
                  <w:tcBorders>
                    <w:right w:val="single" w:color="auto" w:sz="4" w:space="0"/>
                  </w:tcBorders>
                  <w:noWrap w:val="0"/>
                  <w:vAlign w:val="center"/>
                </w:tcPr>
                <w:p w14:paraId="6803B6B4">
                  <w:pPr>
                    <w:jc w:val="center"/>
                    <w:rPr>
                      <w:rFonts w:hint="default" w:ascii="Times New Roman" w:hAnsi="Times New Roman" w:cs="Times New Roman"/>
                      <w:color w:val="auto"/>
                      <w:szCs w:val="21"/>
                    </w:rPr>
                  </w:pPr>
                  <w:r>
                    <w:rPr>
                      <w:rFonts w:hint="default" w:ascii="Times New Roman" w:hAnsi="Times New Roman" w:cs="Times New Roman"/>
                      <w:color w:val="auto"/>
                      <w:szCs w:val="21"/>
                    </w:rPr>
                    <w:t>37</w:t>
                  </w:r>
                </w:p>
              </w:tc>
              <w:tc>
                <w:tcPr>
                  <w:tcW w:w="600" w:type="pct"/>
                  <w:tcBorders>
                    <w:left w:val="single" w:color="auto" w:sz="4" w:space="0"/>
                    <w:right w:val="single" w:color="auto" w:sz="4" w:space="0"/>
                  </w:tcBorders>
                  <w:noWrap w:val="0"/>
                  <w:vAlign w:val="center"/>
                </w:tcPr>
                <w:p w14:paraId="4061D1F3">
                  <w:pPr>
                    <w:jc w:val="center"/>
                    <w:rPr>
                      <w:rFonts w:hint="default" w:ascii="Times New Roman" w:hAnsi="Times New Roman" w:cs="Times New Roman"/>
                      <w:color w:val="auto"/>
                      <w:szCs w:val="21"/>
                    </w:rPr>
                  </w:pPr>
                  <w:r>
                    <w:rPr>
                      <w:rFonts w:hint="default" w:ascii="Times New Roman" w:hAnsi="Times New Roman" w:cs="Times New Roman"/>
                      <w:color w:val="auto"/>
                      <w:szCs w:val="21"/>
                    </w:rPr>
                    <w:t>谢家集区第</w:t>
                  </w:r>
                  <w:r>
                    <w:rPr>
                      <w:rFonts w:hint="eastAsia" w:ascii="Times New Roman" w:hAnsi="Times New Roman" w:cs="Times New Roman"/>
                      <w:color w:val="auto"/>
                      <w:szCs w:val="21"/>
                      <w:lang w:val="en-US" w:eastAsia="zh-CN"/>
                    </w:rPr>
                    <w:t>二</w:t>
                  </w:r>
                  <w:r>
                    <w:rPr>
                      <w:rFonts w:hint="default" w:ascii="Times New Roman" w:hAnsi="Times New Roman" w:cs="Times New Roman"/>
                      <w:color w:val="auto"/>
                      <w:szCs w:val="21"/>
                    </w:rPr>
                    <w:t>中学</w:t>
                  </w:r>
                </w:p>
              </w:tc>
              <w:tc>
                <w:tcPr>
                  <w:tcW w:w="1687" w:type="pct"/>
                  <w:tcBorders>
                    <w:left w:val="single" w:color="auto" w:sz="4" w:space="0"/>
                  </w:tcBorders>
                  <w:noWrap w:val="0"/>
                  <w:vAlign w:val="center"/>
                </w:tcPr>
                <w:p w14:paraId="628F808D">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879467</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58</w:t>
                  </w:r>
                  <w:r>
                    <w:rPr>
                      <w:rFonts w:hint="eastAsia" w:ascii="Times New Roman" w:hAnsi="Times New Roman" w:cs="Times New Roman"/>
                      <w:color w:val="auto"/>
                      <w:szCs w:val="21"/>
                      <w:lang w:val="en-US" w:eastAsia="zh-CN"/>
                    </w:rPr>
                    <w:t>66</w:t>
                  </w:r>
                  <w:r>
                    <w:rPr>
                      <w:rFonts w:hint="default" w:ascii="Times New Roman" w:hAnsi="Times New Roman" w:cs="Times New Roman"/>
                      <w:color w:val="auto"/>
                      <w:szCs w:val="21"/>
                      <w:lang w:val="en-US" w:eastAsia="zh-CN"/>
                    </w:rPr>
                    <w:t>80</w:t>
                  </w:r>
                  <w:r>
                    <w:rPr>
                      <w:rFonts w:hint="default" w:ascii="Times New Roman" w:hAnsi="Times New Roman" w:cs="Times New Roman"/>
                      <w:color w:val="auto"/>
                      <w:szCs w:val="21"/>
                    </w:rPr>
                    <w:t>）</w:t>
                  </w:r>
                </w:p>
              </w:tc>
              <w:tc>
                <w:tcPr>
                  <w:tcW w:w="482" w:type="pct"/>
                  <w:noWrap w:val="0"/>
                  <w:vAlign w:val="center"/>
                </w:tcPr>
                <w:p w14:paraId="14CC6252">
                  <w:pPr>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6B2CE49D">
                  <w:pPr>
                    <w:adjustRightInd w:val="0"/>
                    <w:snapToGrid w:val="0"/>
                    <w:jc w:val="center"/>
                    <w:rPr>
                      <w:rFonts w:hint="default" w:eastAsia="宋体"/>
                      <w:color w:val="auto"/>
                      <w:szCs w:val="21"/>
                      <w:lang w:val="en-US" w:eastAsia="zh-CN"/>
                    </w:rPr>
                  </w:pPr>
                  <w:r>
                    <w:rPr>
                      <w:rFonts w:hint="eastAsia"/>
                      <w:color w:val="auto"/>
                      <w:szCs w:val="21"/>
                      <w:lang w:val="en-US" w:eastAsia="zh-CN"/>
                    </w:rPr>
                    <w:t>2090</w:t>
                  </w:r>
                </w:p>
              </w:tc>
              <w:tc>
                <w:tcPr>
                  <w:tcW w:w="910" w:type="pct"/>
                  <w:noWrap w:val="0"/>
                  <w:vAlign w:val="center"/>
                </w:tcPr>
                <w:p w14:paraId="241606C5">
                  <w:pPr>
                    <w:adjustRightInd w:val="0"/>
                    <w:snapToGrid w:val="0"/>
                    <w:jc w:val="center"/>
                    <w:rPr>
                      <w:rFonts w:hint="eastAsia"/>
                      <w:color w:val="auto"/>
                      <w:szCs w:val="21"/>
                    </w:rPr>
                  </w:pPr>
                  <w:r>
                    <w:rPr>
                      <w:rFonts w:hint="eastAsia"/>
                      <w:color w:val="auto"/>
                      <w:szCs w:val="21"/>
                      <w:lang w:val="en-US" w:eastAsia="zh-CN"/>
                    </w:rPr>
                    <w:t>师生762人</w:t>
                  </w:r>
                </w:p>
              </w:tc>
            </w:tr>
            <w:tr w14:paraId="4F1218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772067C0">
                  <w:pPr>
                    <w:jc w:val="center"/>
                    <w:rPr>
                      <w:rFonts w:hint="eastAsia"/>
                      <w:color w:val="auto"/>
                      <w:szCs w:val="21"/>
                    </w:rPr>
                  </w:pPr>
                </w:p>
              </w:tc>
              <w:tc>
                <w:tcPr>
                  <w:tcW w:w="284" w:type="pct"/>
                  <w:tcBorders>
                    <w:right w:val="single" w:color="auto" w:sz="4" w:space="0"/>
                  </w:tcBorders>
                  <w:noWrap w:val="0"/>
                  <w:vAlign w:val="center"/>
                </w:tcPr>
                <w:p w14:paraId="1239E1B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38</w:t>
                  </w:r>
                </w:p>
              </w:tc>
              <w:tc>
                <w:tcPr>
                  <w:tcW w:w="600" w:type="pct"/>
                  <w:tcBorders>
                    <w:left w:val="single" w:color="auto" w:sz="4" w:space="0"/>
                    <w:right w:val="single" w:color="auto" w:sz="4" w:space="0"/>
                  </w:tcBorders>
                  <w:noWrap w:val="0"/>
                  <w:vAlign w:val="center"/>
                </w:tcPr>
                <w:p w14:paraId="1877D3F5">
                  <w:pPr>
                    <w:jc w:val="center"/>
                    <w:rPr>
                      <w:rFonts w:hint="default" w:ascii="Times New Roman" w:hAnsi="Times New Roman" w:cs="Times New Roman"/>
                      <w:color w:val="auto"/>
                      <w:szCs w:val="21"/>
                    </w:rPr>
                  </w:pPr>
                  <w:r>
                    <w:rPr>
                      <w:rFonts w:hint="default" w:ascii="Times New Roman" w:hAnsi="Times New Roman" w:cs="Times New Roman"/>
                      <w:color w:val="auto"/>
                      <w:szCs w:val="21"/>
                    </w:rPr>
                    <w:t>谢家集区第三中学</w:t>
                  </w:r>
                </w:p>
              </w:tc>
              <w:tc>
                <w:tcPr>
                  <w:tcW w:w="1687" w:type="pct"/>
                  <w:tcBorders>
                    <w:left w:val="single" w:color="auto" w:sz="4" w:space="0"/>
                  </w:tcBorders>
                  <w:noWrap w:val="0"/>
                  <w:vAlign w:val="center"/>
                </w:tcPr>
                <w:p w14:paraId="4B03E9F1">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876072</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592459</w:t>
                  </w:r>
                  <w:r>
                    <w:rPr>
                      <w:rFonts w:hint="default" w:ascii="Times New Roman" w:hAnsi="Times New Roman" w:cs="Times New Roman"/>
                      <w:color w:val="auto"/>
                      <w:szCs w:val="21"/>
                    </w:rPr>
                    <w:t>）</w:t>
                  </w:r>
                </w:p>
              </w:tc>
              <w:tc>
                <w:tcPr>
                  <w:tcW w:w="482" w:type="pct"/>
                  <w:noWrap w:val="0"/>
                  <w:vAlign w:val="center"/>
                </w:tcPr>
                <w:p w14:paraId="1482113C">
                  <w:pPr>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3006B864">
                  <w:pPr>
                    <w:adjustRightInd w:val="0"/>
                    <w:snapToGrid w:val="0"/>
                    <w:jc w:val="center"/>
                    <w:rPr>
                      <w:rFonts w:hint="default" w:eastAsia="宋体"/>
                      <w:color w:val="auto"/>
                      <w:szCs w:val="21"/>
                      <w:lang w:val="en-US" w:eastAsia="zh-CN"/>
                    </w:rPr>
                  </w:pPr>
                  <w:r>
                    <w:rPr>
                      <w:rFonts w:hint="eastAsia"/>
                      <w:color w:val="auto"/>
                      <w:szCs w:val="21"/>
                      <w:lang w:val="en-US" w:eastAsia="zh-CN"/>
                    </w:rPr>
                    <w:t>2879</w:t>
                  </w:r>
                </w:p>
              </w:tc>
              <w:tc>
                <w:tcPr>
                  <w:tcW w:w="910" w:type="pct"/>
                  <w:noWrap w:val="0"/>
                  <w:vAlign w:val="center"/>
                </w:tcPr>
                <w:p w14:paraId="2E77040A">
                  <w:pPr>
                    <w:adjustRightInd w:val="0"/>
                    <w:snapToGrid w:val="0"/>
                    <w:jc w:val="center"/>
                    <w:rPr>
                      <w:rFonts w:hint="default" w:eastAsia="宋体"/>
                      <w:color w:val="auto"/>
                      <w:szCs w:val="21"/>
                      <w:lang w:val="en-US" w:eastAsia="zh-CN"/>
                    </w:rPr>
                  </w:pPr>
                  <w:r>
                    <w:rPr>
                      <w:rFonts w:hint="eastAsia"/>
                      <w:color w:val="auto"/>
                      <w:szCs w:val="21"/>
                      <w:lang w:val="en-US" w:eastAsia="zh-CN"/>
                    </w:rPr>
                    <w:t>师生1415人</w:t>
                  </w:r>
                </w:p>
              </w:tc>
            </w:tr>
            <w:tr w14:paraId="4CA6F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0CA9866">
                  <w:pPr>
                    <w:jc w:val="center"/>
                    <w:rPr>
                      <w:rFonts w:hint="eastAsia"/>
                      <w:color w:val="auto"/>
                      <w:szCs w:val="21"/>
                    </w:rPr>
                  </w:pPr>
                </w:p>
              </w:tc>
              <w:tc>
                <w:tcPr>
                  <w:tcW w:w="284" w:type="pct"/>
                  <w:tcBorders>
                    <w:right w:val="single" w:color="auto" w:sz="4" w:space="0"/>
                  </w:tcBorders>
                  <w:noWrap w:val="0"/>
                  <w:vAlign w:val="center"/>
                </w:tcPr>
                <w:p w14:paraId="54C068F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39</w:t>
                  </w:r>
                </w:p>
              </w:tc>
              <w:tc>
                <w:tcPr>
                  <w:tcW w:w="600" w:type="pct"/>
                  <w:tcBorders>
                    <w:left w:val="single" w:color="auto" w:sz="4" w:space="0"/>
                    <w:right w:val="single" w:color="auto" w:sz="4" w:space="0"/>
                  </w:tcBorders>
                  <w:noWrap w:val="0"/>
                  <w:vAlign w:val="center"/>
                </w:tcPr>
                <w:p w14:paraId="7559BC30">
                  <w:pPr>
                    <w:jc w:val="center"/>
                    <w:rPr>
                      <w:rFonts w:hint="default" w:ascii="Times New Roman" w:hAnsi="Times New Roman" w:cs="Times New Roman"/>
                      <w:color w:val="auto"/>
                      <w:szCs w:val="21"/>
                    </w:rPr>
                  </w:pPr>
                  <w:r>
                    <w:rPr>
                      <w:rFonts w:hint="default" w:ascii="Times New Roman" w:hAnsi="Times New Roman" w:cs="Times New Roman"/>
                      <w:color w:val="auto"/>
                      <w:szCs w:val="21"/>
                    </w:rPr>
                    <w:t>尚庵村</w:t>
                  </w:r>
                </w:p>
              </w:tc>
              <w:tc>
                <w:tcPr>
                  <w:tcW w:w="1687" w:type="pct"/>
                  <w:tcBorders>
                    <w:left w:val="single" w:color="auto" w:sz="4" w:space="0"/>
                  </w:tcBorders>
                  <w:noWrap w:val="0"/>
                  <w:vAlign w:val="center"/>
                </w:tcPr>
                <w:p w14:paraId="14CD25F4">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874055</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564692</w:t>
                  </w:r>
                  <w:r>
                    <w:rPr>
                      <w:rFonts w:hAnsi="宋体"/>
                      <w:color w:val="auto"/>
                      <w:szCs w:val="21"/>
                    </w:rPr>
                    <w:t>）</w:t>
                  </w:r>
                </w:p>
              </w:tc>
              <w:tc>
                <w:tcPr>
                  <w:tcW w:w="482" w:type="pct"/>
                  <w:noWrap w:val="0"/>
                  <w:vAlign w:val="center"/>
                </w:tcPr>
                <w:p w14:paraId="1965A3B6">
                  <w:pPr>
                    <w:adjustRightInd w:val="0"/>
                    <w:snapToGrid w:val="0"/>
                    <w:jc w:val="center"/>
                    <w:rPr>
                      <w:rFonts w:hint="eastAsia"/>
                      <w:color w:val="auto"/>
                      <w:szCs w:val="21"/>
                    </w:rPr>
                  </w:pPr>
                  <w:r>
                    <w:rPr>
                      <w:rFonts w:hint="eastAsia"/>
                      <w:color w:val="auto"/>
                      <w:szCs w:val="21"/>
                      <w:lang w:val="en-US" w:eastAsia="zh-CN"/>
                    </w:rPr>
                    <w:t>SW</w:t>
                  </w:r>
                </w:p>
              </w:tc>
              <w:tc>
                <w:tcPr>
                  <w:tcW w:w="641" w:type="pct"/>
                  <w:noWrap w:val="0"/>
                  <w:vAlign w:val="center"/>
                </w:tcPr>
                <w:p w14:paraId="5F504EEE">
                  <w:pPr>
                    <w:adjustRightInd w:val="0"/>
                    <w:snapToGrid w:val="0"/>
                    <w:jc w:val="center"/>
                    <w:rPr>
                      <w:rFonts w:hint="default"/>
                      <w:color w:val="auto"/>
                      <w:szCs w:val="21"/>
                      <w:lang w:val="en-US"/>
                    </w:rPr>
                  </w:pPr>
                  <w:r>
                    <w:rPr>
                      <w:rFonts w:hint="eastAsia"/>
                      <w:color w:val="auto"/>
                      <w:szCs w:val="21"/>
                      <w:lang w:val="en-US" w:eastAsia="zh-CN"/>
                    </w:rPr>
                    <w:t>1428</w:t>
                  </w:r>
                </w:p>
              </w:tc>
              <w:tc>
                <w:tcPr>
                  <w:tcW w:w="910" w:type="pct"/>
                  <w:noWrap w:val="0"/>
                  <w:vAlign w:val="center"/>
                </w:tcPr>
                <w:p w14:paraId="464358BC">
                  <w:pPr>
                    <w:adjustRightInd w:val="0"/>
                    <w:snapToGrid w:val="0"/>
                    <w:jc w:val="center"/>
                    <w:rPr>
                      <w:rFonts w:hint="default" w:eastAsia="宋体"/>
                      <w:color w:val="auto"/>
                      <w:szCs w:val="21"/>
                      <w:lang w:val="en-US" w:eastAsia="zh-CN"/>
                    </w:rPr>
                  </w:pPr>
                  <w:r>
                    <w:rPr>
                      <w:rFonts w:hint="eastAsia"/>
                      <w:color w:val="auto"/>
                      <w:szCs w:val="21"/>
                      <w:lang w:val="en-US" w:eastAsia="zh-CN"/>
                    </w:rPr>
                    <w:t>130人</w:t>
                  </w:r>
                </w:p>
              </w:tc>
            </w:tr>
            <w:tr w14:paraId="6D81FE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7A1D29F4">
                  <w:pPr>
                    <w:jc w:val="center"/>
                    <w:rPr>
                      <w:rFonts w:hint="eastAsia"/>
                      <w:color w:val="auto"/>
                      <w:szCs w:val="21"/>
                    </w:rPr>
                  </w:pPr>
                </w:p>
              </w:tc>
              <w:tc>
                <w:tcPr>
                  <w:tcW w:w="284" w:type="pct"/>
                  <w:tcBorders>
                    <w:right w:val="single" w:color="auto" w:sz="4" w:space="0"/>
                  </w:tcBorders>
                  <w:noWrap w:val="0"/>
                  <w:vAlign w:val="center"/>
                </w:tcPr>
                <w:p w14:paraId="43D10AB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c>
                <w:tcPr>
                  <w:tcW w:w="600" w:type="pct"/>
                  <w:tcBorders>
                    <w:left w:val="single" w:color="auto" w:sz="4" w:space="0"/>
                    <w:right w:val="single" w:color="auto" w:sz="4" w:space="0"/>
                  </w:tcBorders>
                  <w:noWrap w:val="0"/>
                  <w:vAlign w:val="center"/>
                </w:tcPr>
                <w:p w14:paraId="145EDE0C">
                  <w:pPr>
                    <w:jc w:val="center"/>
                    <w:rPr>
                      <w:rFonts w:hint="default" w:ascii="Times New Roman" w:hAnsi="Times New Roman" w:cs="Times New Roman"/>
                      <w:color w:val="auto"/>
                      <w:szCs w:val="21"/>
                    </w:rPr>
                  </w:pPr>
                  <w:r>
                    <w:rPr>
                      <w:rFonts w:hint="default" w:ascii="Times New Roman" w:hAnsi="Times New Roman" w:cs="Times New Roman"/>
                      <w:color w:val="auto"/>
                      <w:szCs w:val="21"/>
                    </w:rPr>
                    <w:t>张家岗</w:t>
                  </w:r>
                </w:p>
              </w:tc>
              <w:tc>
                <w:tcPr>
                  <w:tcW w:w="1687" w:type="pct"/>
                  <w:tcBorders>
                    <w:left w:val="single" w:color="auto" w:sz="4" w:space="0"/>
                  </w:tcBorders>
                  <w:noWrap w:val="0"/>
                  <w:vAlign w:val="center"/>
                </w:tcPr>
                <w:p w14:paraId="223DDA4E">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869313</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567847</w:t>
                  </w:r>
                  <w:r>
                    <w:rPr>
                      <w:rFonts w:hAnsi="宋体"/>
                      <w:color w:val="auto"/>
                      <w:szCs w:val="21"/>
                    </w:rPr>
                    <w:t>）</w:t>
                  </w:r>
                </w:p>
              </w:tc>
              <w:tc>
                <w:tcPr>
                  <w:tcW w:w="482" w:type="pct"/>
                  <w:noWrap w:val="0"/>
                  <w:vAlign w:val="center"/>
                </w:tcPr>
                <w:p w14:paraId="722A7192">
                  <w:pPr>
                    <w:adjustRightInd w:val="0"/>
                    <w:snapToGrid w:val="0"/>
                    <w:jc w:val="center"/>
                    <w:rPr>
                      <w:rFonts w:hint="eastAsia"/>
                      <w:color w:val="auto"/>
                      <w:szCs w:val="21"/>
                    </w:rPr>
                  </w:pPr>
                  <w:r>
                    <w:rPr>
                      <w:rFonts w:hint="eastAsia"/>
                      <w:color w:val="auto"/>
                      <w:szCs w:val="21"/>
                      <w:lang w:val="en-US" w:eastAsia="zh-CN"/>
                    </w:rPr>
                    <w:t>W</w:t>
                  </w:r>
                </w:p>
              </w:tc>
              <w:tc>
                <w:tcPr>
                  <w:tcW w:w="641" w:type="pct"/>
                  <w:noWrap w:val="0"/>
                  <w:vAlign w:val="center"/>
                </w:tcPr>
                <w:p w14:paraId="713B8F7B">
                  <w:pPr>
                    <w:adjustRightInd w:val="0"/>
                    <w:snapToGrid w:val="0"/>
                    <w:jc w:val="center"/>
                    <w:rPr>
                      <w:rFonts w:hint="default"/>
                      <w:color w:val="auto"/>
                      <w:szCs w:val="21"/>
                      <w:lang w:val="en-US"/>
                    </w:rPr>
                  </w:pPr>
                  <w:r>
                    <w:rPr>
                      <w:rFonts w:hint="eastAsia"/>
                      <w:color w:val="auto"/>
                      <w:szCs w:val="21"/>
                      <w:lang w:val="en-US" w:eastAsia="zh-CN"/>
                    </w:rPr>
                    <w:t>1956</w:t>
                  </w:r>
                </w:p>
              </w:tc>
              <w:tc>
                <w:tcPr>
                  <w:tcW w:w="910" w:type="pct"/>
                  <w:noWrap w:val="0"/>
                  <w:vAlign w:val="center"/>
                </w:tcPr>
                <w:p w14:paraId="609B8465">
                  <w:pPr>
                    <w:adjustRightInd w:val="0"/>
                    <w:snapToGrid w:val="0"/>
                    <w:jc w:val="center"/>
                    <w:rPr>
                      <w:rFonts w:hint="eastAsia"/>
                      <w:color w:val="auto"/>
                      <w:szCs w:val="21"/>
                    </w:rPr>
                  </w:pPr>
                  <w:r>
                    <w:rPr>
                      <w:rFonts w:hint="eastAsia"/>
                      <w:color w:val="auto"/>
                      <w:szCs w:val="21"/>
                      <w:lang w:val="en-US" w:eastAsia="zh-CN"/>
                    </w:rPr>
                    <w:t>65人</w:t>
                  </w:r>
                </w:p>
              </w:tc>
            </w:tr>
            <w:tr w14:paraId="59D1AB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6887EA0A">
                  <w:pPr>
                    <w:jc w:val="center"/>
                    <w:rPr>
                      <w:rFonts w:hint="eastAsia"/>
                      <w:color w:val="auto"/>
                      <w:szCs w:val="21"/>
                    </w:rPr>
                  </w:pPr>
                </w:p>
              </w:tc>
              <w:tc>
                <w:tcPr>
                  <w:tcW w:w="284" w:type="pct"/>
                  <w:tcBorders>
                    <w:right w:val="single" w:color="auto" w:sz="4" w:space="0"/>
                  </w:tcBorders>
                  <w:noWrap w:val="0"/>
                  <w:vAlign w:val="center"/>
                </w:tcPr>
                <w:p w14:paraId="411D512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c>
                <w:tcPr>
                  <w:tcW w:w="600" w:type="pct"/>
                  <w:tcBorders>
                    <w:left w:val="single" w:color="auto" w:sz="4" w:space="0"/>
                    <w:right w:val="single" w:color="auto" w:sz="4" w:space="0"/>
                  </w:tcBorders>
                  <w:noWrap w:val="0"/>
                  <w:vAlign w:val="center"/>
                </w:tcPr>
                <w:p w14:paraId="1BC720C5">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北东方</w:t>
                  </w:r>
                </w:p>
              </w:tc>
              <w:tc>
                <w:tcPr>
                  <w:tcW w:w="1687" w:type="pct"/>
                  <w:tcBorders>
                    <w:left w:val="single" w:color="auto" w:sz="4" w:space="0"/>
                  </w:tcBorders>
                  <w:noWrap w:val="0"/>
                  <w:vAlign w:val="center"/>
                </w:tcPr>
                <w:p w14:paraId="42846E05">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867746</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558212</w:t>
                  </w:r>
                  <w:r>
                    <w:rPr>
                      <w:rFonts w:hAnsi="宋体"/>
                      <w:color w:val="auto"/>
                      <w:szCs w:val="21"/>
                    </w:rPr>
                    <w:t>）</w:t>
                  </w:r>
                </w:p>
              </w:tc>
              <w:tc>
                <w:tcPr>
                  <w:tcW w:w="482" w:type="pct"/>
                  <w:noWrap w:val="0"/>
                  <w:vAlign w:val="center"/>
                </w:tcPr>
                <w:p w14:paraId="5E57E224">
                  <w:pPr>
                    <w:adjustRightInd w:val="0"/>
                    <w:snapToGrid w:val="0"/>
                    <w:jc w:val="center"/>
                    <w:rPr>
                      <w:rFonts w:hint="default" w:eastAsia="宋体"/>
                      <w:color w:val="auto"/>
                      <w:szCs w:val="21"/>
                      <w:lang w:val="en-US" w:eastAsia="zh-CN"/>
                    </w:rPr>
                  </w:pPr>
                  <w:r>
                    <w:rPr>
                      <w:rFonts w:hint="eastAsia"/>
                      <w:color w:val="auto"/>
                      <w:szCs w:val="21"/>
                      <w:lang w:val="en-US" w:eastAsia="zh-CN"/>
                    </w:rPr>
                    <w:t>SW</w:t>
                  </w:r>
                </w:p>
              </w:tc>
              <w:tc>
                <w:tcPr>
                  <w:tcW w:w="641" w:type="pct"/>
                  <w:noWrap w:val="0"/>
                  <w:vAlign w:val="center"/>
                </w:tcPr>
                <w:p w14:paraId="35951CF2">
                  <w:pPr>
                    <w:adjustRightInd w:val="0"/>
                    <w:snapToGrid w:val="0"/>
                    <w:jc w:val="center"/>
                    <w:rPr>
                      <w:rFonts w:hint="default"/>
                      <w:color w:val="auto"/>
                      <w:szCs w:val="21"/>
                      <w:lang w:val="en-US"/>
                    </w:rPr>
                  </w:pPr>
                  <w:r>
                    <w:rPr>
                      <w:rFonts w:hint="eastAsia"/>
                      <w:color w:val="auto"/>
                      <w:szCs w:val="21"/>
                      <w:lang w:val="en-US" w:eastAsia="zh-CN"/>
                    </w:rPr>
                    <w:t>2376</w:t>
                  </w:r>
                </w:p>
              </w:tc>
              <w:tc>
                <w:tcPr>
                  <w:tcW w:w="910" w:type="pct"/>
                  <w:noWrap w:val="0"/>
                  <w:vAlign w:val="center"/>
                </w:tcPr>
                <w:p w14:paraId="4F458186">
                  <w:pPr>
                    <w:adjustRightInd w:val="0"/>
                    <w:snapToGrid w:val="0"/>
                    <w:jc w:val="center"/>
                    <w:rPr>
                      <w:rFonts w:hint="default" w:eastAsia="宋体"/>
                      <w:color w:val="auto"/>
                      <w:szCs w:val="21"/>
                      <w:lang w:val="en-US" w:eastAsia="zh-CN"/>
                    </w:rPr>
                  </w:pPr>
                  <w:r>
                    <w:rPr>
                      <w:rFonts w:hint="eastAsia"/>
                      <w:color w:val="auto"/>
                      <w:szCs w:val="21"/>
                      <w:lang w:val="en-US" w:eastAsia="zh-CN"/>
                    </w:rPr>
                    <w:t>65人</w:t>
                  </w:r>
                </w:p>
              </w:tc>
            </w:tr>
            <w:tr w14:paraId="69CD3B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4E700E6">
                  <w:pPr>
                    <w:jc w:val="center"/>
                    <w:rPr>
                      <w:rFonts w:hint="eastAsia"/>
                      <w:color w:val="auto"/>
                      <w:szCs w:val="21"/>
                    </w:rPr>
                  </w:pPr>
                </w:p>
              </w:tc>
              <w:tc>
                <w:tcPr>
                  <w:tcW w:w="284" w:type="pct"/>
                  <w:tcBorders>
                    <w:right w:val="single" w:color="auto" w:sz="4" w:space="0"/>
                  </w:tcBorders>
                  <w:noWrap w:val="0"/>
                  <w:vAlign w:val="center"/>
                </w:tcPr>
                <w:p w14:paraId="23FF4E8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42</w:t>
                  </w:r>
                </w:p>
              </w:tc>
              <w:tc>
                <w:tcPr>
                  <w:tcW w:w="600" w:type="pct"/>
                  <w:tcBorders>
                    <w:left w:val="single" w:color="auto" w:sz="4" w:space="0"/>
                    <w:right w:val="single" w:color="auto" w:sz="4" w:space="0"/>
                  </w:tcBorders>
                  <w:noWrap w:val="0"/>
                  <w:vAlign w:val="center"/>
                </w:tcPr>
                <w:p w14:paraId="079B0C5D">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南岗</w:t>
                  </w:r>
                </w:p>
              </w:tc>
              <w:tc>
                <w:tcPr>
                  <w:tcW w:w="1687" w:type="pct"/>
                  <w:tcBorders>
                    <w:left w:val="single" w:color="auto" w:sz="4" w:space="0"/>
                  </w:tcBorders>
                  <w:noWrap w:val="0"/>
                  <w:vAlign w:val="center"/>
                </w:tcPr>
                <w:p w14:paraId="3B0C6FE8">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875385</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559006</w:t>
                  </w:r>
                  <w:r>
                    <w:rPr>
                      <w:rFonts w:hAnsi="宋体"/>
                      <w:color w:val="auto"/>
                      <w:szCs w:val="21"/>
                    </w:rPr>
                    <w:t>）</w:t>
                  </w:r>
                </w:p>
              </w:tc>
              <w:tc>
                <w:tcPr>
                  <w:tcW w:w="482" w:type="pct"/>
                  <w:noWrap w:val="0"/>
                  <w:vAlign w:val="top"/>
                </w:tcPr>
                <w:p w14:paraId="6F54E28F">
                  <w:pPr>
                    <w:jc w:val="center"/>
                    <w:rPr>
                      <w:rFonts w:hint="default"/>
                      <w:color w:val="auto"/>
                      <w:szCs w:val="21"/>
                      <w:lang w:val="en-US"/>
                    </w:rPr>
                  </w:pPr>
                  <w:r>
                    <w:rPr>
                      <w:rFonts w:hint="eastAsia"/>
                      <w:color w:val="auto"/>
                      <w:szCs w:val="21"/>
                      <w:lang w:val="en-US" w:eastAsia="zh-CN"/>
                    </w:rPr>
                    <w:t>SW</w:t>
                  </w:r>
                </w:p>
              </w:tc>
              <w:tc>
                <w:tcPr>
                  <w:tcW w:w="641" w:type="pct"/>
                  <w:noWrap w:val="0"/>
                  <w:vAlign w:val="center"/>
                </w:tcPr>
                <w:p w14:paraId="3E0C3B88">
                  <w:pPr>
                    <w:adjustRightInd w:val="0"/>
                    <w:snapToGrid w:val="0"/>
                    <w:jc w:val="center"/>
                    <w:rPr>
                      <w:rFonts w:hint="default"/>
                      <w:color w:val="auto"/>
                      <w:szCs w:val="21"/>
                      <w:lang w:val="en-US"/>
                    </w:rPr>
                  </w:pPr>
                  <w:r>
                    <w:rPr>
                      <w:rFonts w:hint="eastAsia"/>
                      <w:color w:val="auto"/>
                      <w:szCs w:val="21"/>
                      <w:lang w:val="en-US" w:eastAsia="zh-CN"/>
                    </w:rPr>
                    <w:t>1793</w:t>
                  </w:r>
                </w:p>
              </w:tc>
              <w:tc>
                <w:tcPr>
                  <w:tcW w:w="910" w:type="pct"/>
                  <w:noWrap w:val="0"/>
                  <w:vAlign w:val="center"/>
                </w:tcPr>
                <w:p w14:paraId="5763A4F1">
                  <w:pPr>
                    <w:adjustRightInd w:val="0"/>
                    <w:snapToGrid w:val="0"/>
                    <w:jc w:val="center"/>
                    <w:rPr>
                      <w:rFonts w:hint="default" w:eastAsia="宋体"/>
                      <w:color w:val="auto"/>
                      <w:szCs w:val="21"/>
                      <w:lang w:val="en-US" w:eastAsia="zh-CN"/>
                    </w:rPr>
                  </w:pPr>
                  <w:r>
                    <w:rPr>
                      <w:rFonts w:hint="eastAsia"/>
                      <w:color w:val="auto"/>
                      <w:szCs w:val="21"/>
                      <w:lang w:val="en-US" w:eastAsia="zh-CN"/>
                    </w:rPr>
                    <w:t>60人</w:t>
                  </w:r>
                </w:p>
              </w:tc>
            </w:tr>
            <w:tr w14:paraId="501CC8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88ED329">
                  <w:pPr>
                    <w:jc w:val="center"/>
                    <w:rPr>
                      <w:rFonts w:hint="eastAsia"/>
                      <w:color w:val="auto"/>
                      <w:szCs w:val="21"/>
                    </w:rPr>
                  </w:pPr>
                </w:p>
              </w:tc>
              <w:tc>
                <w:tcPr>
                  <w:tcW w:w="284" w:type="pct"/>
                  <w:tcBorders>
                    <w:right w:val="single" w:color="auto" w:sz="4" w:space="0"/>
                  </w:tcBorders>
                  <w:noWrap w:val="0"/>
                  <w:vAlign w:val="center"/>
                </w:tcPr>
                <w:p w14:paraId="2976DFC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43</w:t>
                  </w:r>
                </w:p>
              </w:tc>
              <w:tc>
                <w:tcPr>
                  <w:tcW w:w="600" w:type="pct"/>
                  <w:tcBorders>
                    <w:left w:val="single" w:color="auto" w:sz="4" w:space="0"/>
                    <w:right w:val="single" w:color="auto" w:sz="4" w:space="0"/>
                  </w:tcBorders>
                  <w:noWrap w:val="0"/>
                  <w:vAlign w:val="center"/>
                </w:tcPr>
                <w:p w14:paraId="63E526E5">
                  <w:pPr>
                    <w:jc w:val="center"/>
                    <w:rPr>
                      <w:rFonts w:hint="default" w:ascii="Times New Roman" w:hAnsi="Times New Roman" w:cs="Times New Roman"/>
                      <w:color w:val="auto"/>
                      <w:szCs w:val="21"/>
                    </w:rPr>
                  </w:pPr>
                  <w:r>
                    <w:rPr>
                      <w:rFonts w:hint="default" w:ascii="Times New Roman" w:hAnsi="Times New Roman" w:cs="Times New Roman"/>
                      <w:color w:val="auto"/>
                      <w:szCs w:val="21"/>
                    </w:rPr>
                    <w:t>新河村</w:t>
                  </w:r>
                </w:p>
              </w:tc>
              <w:tc>
                <w:tcPr>
                  <w:tcW w:w="1687" w:type="pct"/>
                  <w:tcBorders>
                    <w:left w:val="single" w:color="auto" w:sz="4" w:space="0"/>
                  </w:tcBorders>
                  <w:noWrap w:val="0"/>
                  <w:vAlign w:val="center"/>
                </w:tcPr>
                <w:p w14:paraId="28132228">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885856</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558641</w:t>
                  </w:r>
                  <w:r>
                    <w:rPr>
                      <w:rFonts w:hAnsi="宋体"/>
                      <w:color w:val="auto"/>
                      <w:szCs w:val="21"/>
                    </w:rPr>
                    <w:t>）</w:t>
                  </w:r>
                </w:p>
              </w:tc>
              <w:tc>
                <w:tcPr>
                  <w:tcW w:w="482" w:type="pct"/>
                  <w:noWrap w:val="0"/>
                  <w:vAlign w:val="top"/>
                </w:tcPr>
                <w:p w14:paraId="4FC81FD2">
                  <w:pPr>
                    <w:jc w:val="center"/>
                    <w:rPr>
                      <w:rFonts w:hint="default"/>
                      <w:color w:val="auto"/>
                      <w:szCs w:val="21"/>
                      <w:lang w:val="en-US"/>
                    </w:rPr>
                  </w:pPr>
                  <w:r>
                    <w:rPr>
                      <w:rFonts w:hint="eastAsia"/>
                      <w:color w:val="auto"/>
                      <w:lang w:val="en-US" w:eastAsia="zh-CN"/>
                    </w:rPr>
                    <w:t>SW</w:t>
                  </w:r>
                </w:p>
              </w:tc>
              <w:tc>
                <w:tcPr>
                  <w:tcW w:w="641" w:type="pct"/>
                  <w:noWrap w:val="0"/>
                  <w:vAlign w:val="center"/>
                </w:tcPr>
                <w:p w14:paraId="2A74150F">
                  <w:pPr>
                    <w:adjustRightInd w:val="0"/>
                    <w:snapToGrid w:val="0"/>
                    <w:jc w:val="center"/>
                    <w:rPr>
                      <w:rFonts w:hint="default" w:eastAsia="宋体"/>
                      <w:color w:val="auto"/>
                      <w:szCs w:val="21"/>
                      <w:lang w:val="en-US" w:eastAsia="zh-CN"/>
                    </w:rPr>
                  </w:pPr>
                  <w:r>
                    <w:rPr>
                      <w:rFonts w:hint="eastAsia"/>
                      <w:color w:val="auto"/>
                      <w:szCs w:val="21"/>
                      <w:lang w:val="en-US" w:eastAsia="zh-CN"/>
                    </w:rPr>
                    <w:t>1108</w:t>
                  </w:r>
                </w:p>
              </w:tc>
              <w:tc>
                <w:tcPr>
                  <w:tcW w:w="910" w:type="pct"/>
                  <w:noWrap w:val="0"/>
                  <w:vAlign w:val="center"/>
                </w:tcPr>
                <w:p w14:paraId="28AFA222">
                  <w:pPr>
                    <w:adjustRightInd w:val="0"/>
                    <w:snapToGrid w:val="0"/>
                    <w:jc w:val="center"/>
                    <w:rPr>
                      <w:rFonts w:hint="default" w:eastAsia="宋体"/>
                      <w:color w:val="auto"/>
                      <w:szCs w:val="21"/>
                      <w:lang w:val="en-US" w:eastAsia="zh-CN"/>
                    </w:rPr>
                  </w:pPr>
                  <w:r>
                    <w:rPr>
                      <w:rFonts w:hint="eastAsia"/>
                      <w:color w:val="auto"/>
                      <w:szCs w:val="21"/>
                      <w:lang w:val="en-US" w:eastAsia="zh-CN"/>
                    </w:rPr>
                    <w:t>100人</w:t>
                  </w:r>
                </w:p>
              </w:tc>
            </w:tr>
            <w:tr w14:paraId="62472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DA1C9E0">
                  <w:pPr>
                    <w:jc w:val="center"/>
                    <w:rPr>
                      <w:rFonts w:hint="eastAsia"/>
                      <w:color w:val="auto"/>
                      <w:szCs w:val="21"/>
                    </w:rPr>
                  </w:pPr>
                </w:p>
              </w:tc>
              <w:tc>
                <w:tcPr>
                  <w:tcW w:w="284" w:type="pct"/>
                  <w:tcBorders>
                    <w:right w:val="single" w:color="auto" w:sz="4" w:space="0"/>
                  </w:tcBorders>
                  <w:noWrap w:val="0"/>
                  <w:vAlign w:val="center"/>
                </w:tcPr>
                <w:p w14:paraId="653CCC9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44</w:t>
                  </w:r>
                </w:p>
              </w:tc>
              <w:tc>
                <w:tcPr>
                  <w:tcW w:w="600" w:type="pct"/>
                  <w:tcBorders>
                    <w:left w:val="single" w:color="auto" w:sz="4" w:space="0"/>
                    <w:right w:val="single" w:color="auto" w:sz="4" w:space="0"/>
                  </w:tcBorders>
                  <w:noWrap w:val="0"/>
                  <w:vAlign w:val="center"/>
                </w:tcPr>
                <w:p w14:paraId="5A302110">
                  <w:pPr>
                    <w:jc w:val="center"/>
                    <w:rPr>
                      <w:rFonts w:hint="default" w:ascii="Times New Roman" w:hAnsi="Times New Roman" w:cs="Times New Roman"/>
                      <w:color w:val="auto"/>
                      <w:szCs w:val="21"/>
                    </w:rPr>
                  </w:pPr>
                  <w:r>
                    <w:rPr>
                      <w:rFonts w:hint="default" w:ascii="Times New Roman" w:hAnsi="Times New Roman" w:cs="Times New Roman"/>
                      <w:color w:val="auto"/>
                      <w:szCs w:val="21"/>
                    </w:rPr>
                    <w:t>王小郢</w:t>
                  </w:r>
                </w:p>
              </w:tc>
              <w:tc>
                <w:tcPr>
                  <w:tcW w:w="1687" w:type="pct"/>
                  <w:tcBorders>
                    <w:left w:val="single" w:color="auto" w:sz="4" w:space="0"/>
                  </w:tcBorders>
                  <w:noWrap w:val="0"/>
                  <w:vAlign w:val="center"/>
                </w:tcPr>
                <w:p w14:paraId="0436CB45">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891693</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556646</w:t>
                  </w:r>
                  <w:r>
                    <w:rPr>
                      <w:rFonts w:hAnsi="宋体"/>
                      <w:color w:val="auto"/>
                      <w:szCs w:val="21"/>
                    </w:rPr>
                    <w:t>）</w:t>
                  </w:r>
                </w:p>
              </w:tc>
              <w:tc>
                <w:tcPr>
                  <w:tcW w:w="482" w:type="pct"/>
                  <w:noWrap w:val="0"/>
                  <w:vAlign w:val="top"/>
                </w:tcPr>
                <w:p w14:paraId="3BAC724D">
                  <w:pPr>
                    <w:jc w:val="center"/>
                    <w:rPr>
                      <w:rFonts w:hint="eastAsia" w:eastAsia="宋体"/>
                      <w:color w:val="auto"/>
                      <w:szCs w:val="21"/>
                      <w:lang w:eastAsia="zh-CN"/>
                    </w:rPr>
                  </w:pPr>
                  <w:r>
                    <w:rPr>
                      <w:rFonts w:hint="eastAsia"/>
                      <w:color w:val="auto"/>
                      <w:szCs w:val="21"/>
                      <w:lang w:val="en-US" w:eastAsia="zh-CN"/>
                    </w:rPr>
                    <w:t>S</w:t>
                  </w:r>
                </w:p>
              </w:tc>
              <w:tc>
                <w:tcPr>
                  <w:tcW w:w="641" w:type="pct"/>
                  <w:noWrap w:val="0"/>
                  <w:vAlign w:val="center"/>
                </w:tcPr>
                <w:p w14:paraId="77D025F4">
                  <w:pPr>
                    <w:adjustRightInd w:val="0"/>
                    <w:snapToGrid w:val="0"/>
                    <w:jc w:val="center"/>
                    <w:rPr>
                      <w:rFonts w:hint="default"/>
                      <w:color w:val="auto"/>
                      <w:szCs w:val="21"/>
                      <w:lang w:val="en-US"/>
                    </w:rPr>
                  </w:pPr>
                  <w:r>
                    <w:rPr>
                      <w:rFonts w:hint="eastAsia"/>
                      <w:color w:val="auto"/>
                      <w:szCs w:val="21"/>
                      <w:lang w:val="en-US" w:eastAsia="zh-CN"/>
                    </w:rPr>
                    <w:t>1267</w:t>
                  </w:r>
                </w:p>
              </w:tc>
              <w:tc>
                <w:tcPr>
                  <w:tcW w:w="910" w:type="pct"/>
                  <w:noWrap w:val="0"/>
                  <w:vAlign w:val="center"/>
                </w:tcPr>
                <w:p w14:paraId="1502661E">
                  <w:pPr>
                    <w:adjustRightInd w:val="0"/>
                    <w:snapToGrid w:val="0"/>
                    <w:jc w:val="center"/>
                    <w:rPr>
                      <w:rFonts w:hint="default" w:eastAsia="宋体"/>
                      <w:color w:val="auto"/>
                      <w:szCs w:val="21"/>
                      <w:lang w:val="en-US" w:eastAsia="zh-CN"/>
                    </w:rPr>
                  </w:pPr>
                  <w:r>
                    <w:rPr>
                      <w:rFonts w:hint="eastAsia"/>
                      <w:color w:val="auto"/>
                      <w:szCs w:val="21"/>
                      <w:lang w:val="en-US" w:eastAsia="zh-CN"/>
                    </w:rPr>
                    <w:t>62人</w:t>
                  </w:r>
                </w:p>
              </w:tc>
            </w:tr>
            <w:tr w14:paraId="10CE55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536CC26E">
                  <w:pPr>
                    <w:jc w:val="center"/>
                    <w:rPr>
                      <w:rFonts w:hint="eastAsia"/>
                      <w:color w:val="auto"/>
                      <w:szCs w:val="21"/>
                    </w:rPr>
                  </w:pPr>
                </w:p>
              </w:tc>
              <w:tc>
                <w:tcPr>
                  <w:tcW w:w="284" w:type="pct"/>
                  <w:tcBorders>
                    <w:right w:val="single" w:color="auto" w:sz="4" w:space="0"/>
                  </w:tcBorders>
                  <w:noWrap w:val="0"/>
                  <w:vAlign w:val="center"/>
                </w:tcPr>
                <w:p w14:paraId="34614F9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w:t>
                  </w:r>
                </w:p>
              </w:tc>
              <w:tc>
                <w:tcPr>
                  <w:tcW w:w="600" w:type="pct"/>
                  <w:tcBorders>
                    <w:left w:val="single" w:color="auto" w:sz="4" w:space="0"/>
                    <w:right w:val="single" w:color="auto" w:sz="4" w:space="0"/>
                  </w:tcBorders>
                  <w:noWrap w:val="0"/>
                  <w:vAlign w:val="center"/>
                </w:tcPr>
                <w:p w14:paraId="6F07B9BF">
                  <w:pPr>
                    <w:jc w:val="center"/>
                    <w:rPr>
                      <w:rFonts w:hint="default" w:ascii="Times New Roman" w:hAnsi="Times New Roman" w:cs="Times New Roman"/>
                      <w:color w:val="auto"/>
                      <w:szCs w:val="21"/>
                    </w:rPr>
                  </w:pPr>
                  <w:r>
                    <w:rPr>
                      <w:rFonts w:hint="default" w:ascii="Times New Roman" w:hAnsi="Times New Roman" w:cs="Times New Roman"/>
                      <w:color w:val="auto"/>
                      <w:szCs w:val="21"/>
                    </w:rPr>
                    <w:t>园区居民</w:t>
                  </w:r>
                </w:p>
              </w:tc>
              <w:tc>
                <w:tcPr>
                  <w:tcW w:w="1687" w:type="pct"/>
                  <w:tcBorders>
                    <w:left w:val="single" w:color="auto" w:sz="4" w:space="0"/>
                  </w:tcBorders>
                  <w:noWrap w:val="0"/>
                  <w:vAlign w:val="center"/>
                </w:tcPr>
                <w:p w14:paraId="22679C77">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882809</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560637</w:t>
                  </w:r>
                  <w:r>
                    <w:rPr>
                      <w:rFonts w:hAnsi="宋体"/>
                      <w:color w:val="auto"/>
                      <w:szCs w:val="21"/>
                    </w:rPr>
                    <w:t>）</w:t>
                  </w:r>
                </w:p>
              </w:tc>
              <w:tc>
                <w:tcPr>
                  <w:tcW w:w="482" w:type="pct"/>
                  <w:noWrap w:val="0"/>
                  <w:vAlign w:val="top"/>
                </w:tcPr>
                <w:p w14:paraId="42C17699">
                  <w:pPr>
                    <w:jc w:val="center"/>
                    <w:rPr>
                      <w:rFonts w:hint="default" w:eastAsia="宋体"/>
                      <w:color w:val="auto"/>
                      <w:szCs w:val="21"/>
                      <w:lang w:val="en-US" w:eastAsia="zh-CN"/>
                    </w:rPr>
                  </w:pPr>
                  <w:r>
                    <w:rPr>
                      <w:rFonts w:hint="eastAsia"/>
                      <w:color w:val="auto"/>
                      <w:szCs w:val="21"/>
                      <w:lang w:val="en-US" w:eastAsia="zh-CN"/>
                    </w:rPr>
                    <w:t>SW</w:t>
                  </w:r>
                </w:p>
              </w:tc>
              <w:tc>
                <w:tcPr>
                  <w:tcW w:w="641" w:type="pct"/>
                  <w:noWrap w:val="0"/>
                  <w:vAlign w:val="center"/>
                </w:tcPr>
                <w:p w14:paraId="63A6C088">
                  <w:pPr>
                    <w:adjustRightInd w:val="0"/>
                    <w:snapToGrid w:val="0"/>
                    <w:jc w:val="center"/>
                    <w:rPr>
                      <w:rFonts w:hint="default"/>
                      <w:color w:val="auto"/>
                      <w:szCs w:val="21"/>
                      <w:lang w:val="en-US"/>
                    </w:rPr>
                  </w:pPr>
                  <w:r>
                    <w:rPr>
                      <w:rFonts w:hint="eastAsia"/>
                      <w:color w:val="auto"/>
                      <w:szCs w:val="21"/>
                      <w:lang w:val="en-US" w:eastAsia="zh-CN"/>
                    </w:rPr>
                    <w:t>1158</w:t>
                  </w:r>
                </w:p>
              </w:tc>
              <w:tc>
                <w:tcPr>
                  <w:tcW w:w="910" w:type="pct"/>
                  <w:noWrap w:val="0"/>
                  <w:vAlign w:val="center"/>
                </w:tcPr>
                <w:p w14:paraId="300F6251">
                  <w:pPr>
                    <w:adjustRightInd w:val="0"/>
                    <w:snapToGrid w:val="0"/>
                    <w:jc w:val="center"/>
                    <w:rPr>
                      <w:rFonts w:hint="default" w:eastAsia="宋体"/>
                      <w:color w:val="auto"/>
                      <w:szCs w:val="21"/>
                      <w:lang w:val="en-US" w:eastAsia="zh-CN"/>
                    </w:rPr>
                  </w:pPr>
                  <w:r>
                    <w:rPr>
                      <w:rFonts w:hint="eastAsia"/>
                      <w:color w:val="auto"/>
                      <w:szCs w:val="21"/>
                      <w:lang w:val="en-US" w:eastAsia="zh-CN"/>
                    </w:rPr>
                    <w:t>50人</w:t>
                  </w:r>
                </w:p>
              </w:tc>
            </w:tr>
            <w:tr w14:paraId="6D45E3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8D9E023">
                  <w:pPr>
                    <w:jc w:val="center"/>
                    <w:rPr>
                      <w:rFonts w:hint="eastAsia"/>
                      <w:color w:val="auto"/>
                      <w:szCs w:val="21"/>
                    </w:rPr>
                  </w:pPr>
                </w:p>
              </w:tc>
              <w:tc>
                <w:tcPr>
                  <w:tcW w:w="284" w:type="pct"/>
                  <w:tcBorders>
                    <w:right w:val="single" w:color="auto" w:sz="4" w:space="0"/>
                  </w:tcBorders>
                  <w:noWrap w:val="0"/>
                  <w:vAlign w:val="center"/>
                </w:tcPr>
                <w:p w14:paraId="0812D7A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46</w:t>
                  </w:r>
                </w:p>
              </w:tc>
              <w:tc>
                <w:tcPr>
                  <w:tcW w:w="600" w:type="pct"/>
                  <w:tcBorders>
                    <w:left w:val="single" w:color="auto" w:sz="4" w:space="0"/>
                    <w:right w:val="single" w:color="auto" w:sz="4" w:space="0"/>
                  </w:tcBorders>
                  <w:noWrap w:val="0"/>
                  <w:vAlign w:val="center"/>
                </w:tcPr>
                <w:p w14:paraId="05C368CE">
                  <w:pPr>
                    <w:jc w:val="center"/>
                    <w:rPr>
                      <w:rFonts w:hint="default" w:ascii="Times New Roman" w:hAnsi="Times New Roman" w:cs="Times New Roman"/>
                      <w:color w:val="auto"/>
                      <w:szCs w:val="21"/>
                    </w:rPr>
                  </w:pPr>
                  <w:r>
                    <w:rPr>
                      <w:rFonts w:hint="default" w:ascii="Times New Roman" w:hAnsi="Times New Roman" w:cs="Times New Roman"/>
                      <w:color w:val="auto"/>
                      <w:szCs w:val="21"/>
                    </w:rPr>
                    <w:t>蔡郢孜</w:t>
                  </w:r>
                </w:p>
              </w:tc>
              <w:tc>
                <w:tcPr>
                  <w:tcW w:w="1687" w:type="pct"/>
                  <w:tcBorders>
                    <w:left w:val="single" w:color="auto" w:sz="4" w:space="0"/>
                  </w:tcBorders>
                  <w:noWrap w:val="0"/>
                  <w:vAlign w:val="center"/>
                </w:tcPr>
                <w:p w14:paraId="4D5686F5">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896628</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556839</w:t>
                  </w:r>
                  <w:r>
                    <w:rPr>
                      <w:rFonts w:hAnsi="宋体"/>
                      <w:color w:val="auto"/>
                      <w:szCs w:val="21"/>
                    </w:rPr>
                    <w:t>）</w:t>
                  </w:r>
                </w:p>
              </w:tc>
              <w:tc>
                <w:tcPr>
                  <w:tcW w:w="482" w:type="pct"/>
                  <w:noWrap w:val="0"/>
                  <w:vAlign w:val="top"/>
                </w:tcPr>
                <w:p w14:paraId="6E9687E2">
                  <w:pPr>
                    <w:jc w:val="center"/>
                    <w:rPr>
                      <w:rFonts w:hint="eastAsia"/>
                      <w:color w:val="auto"/>
                      <w:szCs w:val="21"/>
                    </w:rPr>
                  </w:pPr>
                  <w:r>
                    <w:rPr>
                      <w:rFonts w:hint="eastAsia"/>
                      <w:color w:val="auto"/>
                      <w:szCs w:val="21"/>
                      <w:lang w:val="en-US" w:eastAsia="zh-CN"/>
                    </w:rPr>
                    <w:t>S</w:t>
                  </w:r>
                  <w:r>
                    <w:rPr>
                      <w:rFonts w:hint="eastAsia"/>
                      <w:color w:val="auto"/>
                      <w:szCs w:val="21"/>
                    </w:rPr>
                    <w:t>E</w:t>
                  </w:r>
                </w:p>
              </w:tc>
              <w:tc>
                <w:tcPr>
                  <w:tcW w:w="641" w:type="pct"/>
                  <w:noWrap w:val="0"/>
                  <w:vAlign w:val="center"/>
                </w:tcPr>
                <w:p w14:paraId="7299E01E">
                  <w:pPr>
                    <w:adjustRightInd w:val="0"/>
                    <w:snapToGrid w:val="0"/>
                    <w:jc w:val="center"/>
                    <w:rPr>
                      <w:rFonts w:hint="default" w:eastAsia="宋体"/>
                      <w:color w:val="auto"/>
                      <w:szCs w:val="21"/>
                      <w:lang w:val="en-US" w:eastAsia="zh-CN"/>
                    </w:rPr>
                  </w:pPr>
                  <w:r>
                    <w:rPr>
                      <w:rFonts w:hint="eastAsia"/>
                      <w:color w:val="auto"/>
                      <w:szCs w:val="21"/>
                    </w:rPr>
                    <w:t>1</w:t>
                  </w:r>
                  <w:r>
                    <w:rPr>
                      <w:rFonts w:hint="eastAsia"/>
                      <w:color w:val="auto"/>
                      <w:szCs w:val="21"/>
                      <w:lang w:val="en-US" w:eastAsia="zh-CN"/>
                    </w:rPr>
                    <w:t>233</w:t>
                  </w:r>
                </w:p>
              </w:tc>
              <w:tc>
                <w:tcPr>
                  <w:tcW w:w="910" w:type="pct"/>
                  <w:noWrap w:val="0"/>
                  <w:vAlign w:val="center"/>
                </w:tcPr>
                <w:p w14:paraId="32C05C38">
                  <w:pPr>
                    <w:adjustRightInd w:val="0"/>
                    <w:snapToGrid w:val="0"/>
                    <w:jc w:val="center"/>
                    <w:rPr>
                      <w:rFonts w:hint="default" w:eastAsia="宋体"/>
                      <w:color w:val="auto"/>
                      <w:szCs w:val="21"/>
                      <w:lang w:val="en-US" w:eastAsia="zh-CN"/>
                    </w:rPr>
                  </w:pPr>
                  <w:r>
                    <w:rPr>
                      <w:rFonts w:hint="eastAsia"/>
                      <w:color w:val="auto"/>
                      <w:szCs w:val="21"/>
                      <w:lang w:val="en-US" w:eastAsia="zh-CN"/>
                    </w:rPr>
                    <w:t>32人</w:t>
                  </w:r>
                </w:p>
              </w:tc>
            </w:tr>
            <w:tr w14:paraId="52345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6664F5EE">
                  <w:pPr>
                    <w:jc w:val="center"/>
                    <w:rPr>
                      <w:rFonts w:hint="eastAsia"/>
                      <w:color w:val="auto"/>
                      <w:szCs w:val="21"/>
                    </w:rPr>
                  </w:pPr>
                </w:p>
              </w:tc>
              <w:tc>
                <w:tcPr>
                  <w:tcW w:w="284" w:type="pct"/>
                  <w:tcBorders>
                    <w:right w:val="single" w:color="auto" w:sz="4" w:space="0"/>
                  </w:tcBorders>
                  <w:noWrap w:val="0"/>
                  <w:vAlign w:val="center"/>
                </w:tcPr>
                <w:p w14:paraId="0C07AF5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600" w:type="pct"/>
                  <w:tcBorders>
                    <w:left w:val="single" w:color="auto" w:sz="4" w:space="0"/>
                    <w:right w:val="single" w:color="auto" w:sz="4" w:space="0"/>
                  </w:tcBorders>
                  <w:noWrap w:val="0"/>
                  <w:vAlign w:val="center"/>
                </w:tcPr>
                <w:p w14:paraId="40CB782D">
                  <w:pPr>
                    <w:jc w:val="center"/>
                    <w:rPr>
                      <w:rFonts w:hint="default" w:ascii="Times New Roman" w:hAnsi="Times New Roman" w:cs="Times New Roman"/>
                      <w:color w:val="auto"/>
                      <w:szCs w:val="21"/>
                    </w:rPr>
                  </w:pPr>
                  <w:r>
                    <w:rPr>
                      <w:rFonts w:hint="default" w:ascii="Times New Roman" w:hAnsi="Times New Roman" w:cs="Times New Roman"/>
                      <w:color w:val="auto"/>
                      <w:szCs w:val="21"/>
                    </w:rPr>
                    <w:t>丹外学校</w:t>
                  </w:r>
                </w:p>
              </w:tc>
              <w:tc>
                <w:tcPr>
                  <w:tcW w:w="1687" w:type="pct"/>
                  <w:tcBorders>
                    <w:left w:val="single" w:color="auto" w:sz="4" w:space="0"/>
                  </w:tcBorders>
                  <w:noWrap w:val="0"/>
                  <w:vAlign w:val="center"/>
                </w:tcPr>
                <w:p w14:paraId="58A1E7D1">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869334</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584820</w:t>
                  </w:r>
                  <w:r>
                    <w:rPr>
                      <w:rFonts w:hAnsi="宋体"/>
                      <w:color w:val="auto"/>
                      <w:szCs w:val="21"/>
                    </w:rPr>
                    <w:t>）</w:t>
                  </w:r>
                </w:p>
              </w:tc>
              <w:tc>
                <w:tcPr>
                  <w:tcW w:w="482" w:type="pct"/>
                  <w:noWrap w:val="0"/>
                  <w:vAlign w:val="top"/>
                </w:tcPr>
                <w:p w14:paraId="77CBD4E2">
                  <w:pPr>
                    <w:jc w:val="center"/>
                    <w:rPr>
                      <w:rFonts w:hint="default"/>
                      <w:color w:val="auto"/>
                      <w:szCs w:val="21"/>
                      <w:lang w:val="en-US"/>
                    </w:rPr>
                  </w:pPr>
                  <w:r>
                    <w:rPr>
                      <w:rFonts w:hint="eastAsia"/>
                      <w:color w:val="auto"/>
                      <w:szCs w:val="21"/>
                      <w:lang w:val="en-US" w:eastAsia="zh-CN"/>
                    </w:rPr>
                    <w:t>NW</w:t>
                  </w:r>
                </w:p>
              </w:tc>
              <w:tc>
                <w:tcPr>
                  <w:tcW w:w="641" w:type="pct"/>
                  <w:noWrap w:val="0"/>
                  <w:vAlign w:val="center"/>
                </w:tcPr>
                <w:p w14:paraId="7F9ADD97">
                  <w:pPr>
                    <w:adjustRightInd w:val="0"/>
                    <w:snapToGrid w:val="0"/>
                    <w:jc w:val="center"/>
                    <w:rPr>
                      <w:rFonts w:hint="default"/>
                      <w:color w:val="auto"/>
                      <w:szCs w:val="21"/>
                      <w:lang w:val="en-US"/>
                    </w:rPr>
                  </w:pPr>
                  <w:r>
                    <w:rPr>
                      <w:rFonts w:hint="eastAsia"/>
                      <w:color w:val="auto"/>
                      <w:szCs w:val="21"/>
                      <w:lang w:val="en-US" w:eastAsia="zh-CN"/>
                    </w:rPr>
                    <w:t>2512</w:t>
                  </w:r>
                </w:p>
              </w:tc>
              <w:tc>
                <w:tcPr>
                  <w:tcW w:w="910" w:type="pct"/>
                  <w:noWrap w:val="0"/>
                  <w:vAlign w:val="center"/>
                </w:tcPr>
                <w:p w14:paraId="0883123A">
                  <w:pPr>
                    <w:adjustRightInd w:val="0"/>
                    <w:snapToGrid w:val="0"/>
                    <w:jc w:val="center"/>
                    <w:rPr>
                      <w:rFonts w:hint="eastAsia"/>
                      <w:color w:val="auto"/>
                      <w:szCs w:val="21"/>
                    </w:rPr>
                  </w:pPr>
                  <w:r>
                    <w:rPr>
                      <w:rFonts w:hint="eastAsia"/>
                      <w:color w:val="auto"/>
                      <w:szCs w:val="21"/>
                      <w:lang w:val="en-US" w:eastAsia="zh-CN"/>
                    </w:rPr>
                    <w:t>师生800人</w:t>
                  </w:r>
                </w:p>
              </w:tc>
            </w:tr>
            <w:tr w14:paraId="2F03D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0FD46995">
                  <w:pPr>
                    <w:jc w:val="center"/>
                    <w:rPr>
                      <w:rFonts w:hint="eastAsia"/>
                      <w:color w:val="auto"/>
                      <w:szCs w:val="21"/>
                    </w:rPr>
                  </w:pPr>
                </w:p>
              </w:tc>
              <w:tc>
                <w:tcPr>
                  <w:tcW w:w="284" w:type="pct"/>
                  <w:tcBorders>
                    <w:right w:val="single" w:color="auto" w:sz="4" w:space="0"/>
                  </w:tcBorders>
                  <w:noWrap w:val="0"/>
                  <w:vAlign w:val="center"/>
                </w:tcPr>
                <w:p w14:paraId="50F777E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48</w:t>
                  </w:r>
                </w:p>
              </w:tc>
              <w:tc>
                <w:tcPr>
                  <w:tcW w:w="600" w:type="pct"/>
                  <w:tcBorders>
                    <w:left w:val="single" w:color="auto" w:sz="4" w:space="0"/>
                    <w:right w:val="single" w:color="auto" w:sz="4" w:space="0"/>
                  </w:tcBorders>
                  <w:noWrap w:val="0"/>
                  <w:vAlign w:val="center"/>
                </w:tcPr>
                <w:p w14:paraId="20E522CD">
                  <w:pPr>
                    <w:jc w:val="center"/>
                    <w:rPr>
                      <w:rFonts w:hint="default" w:ascii="Times New Roman" w:hAnsi="Times New Roman" w:cs="Times New Roman"/>
                      <w:color w:val="auto"/>
                      <w:szCs w:val="21"/>
                    </w:rPr>
                  </w:pPr>
                  <w:r>
                    <w:rPr>
                      <w:rFonts w:hint="default" w:ascii="Times New Roman" w:hAnsi="Times New Roman" w:cs="Times New Roman"/>
                      <w:color w:val="auto"/>
                      <w:szCs w:val="21"/>
                    </w:rPr>
                    <w:t>孙郢子</w:t>
                  </w:r>
                </w:p>
              </w:tc>
              <w:tc>
                <w:tcPr>
                  <w:tcW w:w="1687" w:type="pct"/>
                  <w:tcBorders>
                    <w:left w:val="single" w:color="auto" w:sz="4" w:space="0"/>
                  </w:tcBorders>
                  <w:noWrap w:val="0"/>
                  <w:vAlign w:val="center"/>
                </w:tcPr>
                <w:p w14:paraId="31A4A459">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918129</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560851</w:t>
                  </w:r>
                  <w:r>
                    <w:rPr>
                      <w:rFonts w:hAnsi="宋体"/>
                      <w:color w:val="auto"/>
                      <w:szCs w:val="21"/>
                    </w:rPr>
                    <w:t>）</w:t>
                  </w:r>
                </w:p>
              </w:tc>
              <w:tc>
                <w:tcPr>
                  <w:tcW w:w="482" w:type="pct"/>
                  <w:noWrap w:val="0"/>
                  <w:vAlign w:val="center"/>
                </w:tcPr>
                <w:p w14:paraId="75F95DDF">
                  <w:pPr>
                    <w:adjustRightInd w:val="0"/>
                    <w:snapToGrid w:val="0"/>
                    <w:jc w:val="center"/>
                    <w:rPr>
                      <w:rFonts w:hint="eastAsia"/>
                      <w:color w:val="auto"/>
                      <w:szCs w:val="21"/>
                    </w:rPr>
                  </w:pPr>
                  <w:r>
                    <w:rPr>
                      <w:rFonts w:hint="eastAsia"/>
                      <w:color w:val="auto"/>
                      <w:szCs w:val="21"/>
                      <w:lang w:val="en-US" w:eastAsia="zh-CN"/>
                    </w:rPr>
                    <w:t>SE</w:t>
                  </w:r>
                </w:p>
              </w:tc>
              <w:tc>
                <w:tcPr>
                  <w:tcW w:w="641" w:type="pct"/>
                  <w:noWrap w:val="0"/>
                  <w:vAlign w:val="center"/>
                </w:tcPr>
                <w:p w14:paraId="752A49FA">
                  <w:pPr>
                    <w:adjustRightInd w:val="0"/>
                    <w:snapToGrid w:val="0"/>
                    <w:jc w:val="center"/>
                    <w:rPr>
                      <w:rFonts w:hint="default"/>
                      <w:color w:val="auto"/>
                      <w:szCs w:val="21"/>
                      <w:lang w:val="en-US"/>
                    </w:rPr>
                  </w:pPr>
                  <w:r>
                    <w:rPr>
                      <w:rFonts w:hint="eastAsia"/>
                      <w:color w:val="auto"/>
                      <w:szCs w:val="21"/>
                      <w:lang w:val="en-US" w:eastAsia="zh-CN"/>
                    </w:rPr>
                    <w:t>2889</w:t>
                  </w:r>
                </w:p>
              </w:tc>
              <w:tc>
                <w:tcPr>
                  <w:tcW w:w="910" w:type="pct"/>
                  <w:noWrap w:val="0"/>
                  <w:vAlign w:val="center"/>
                </w:tcPr>
                <w:p w14:paraId="6E911A43">
                  <w:pPr>
                    <w:adjustRightInd w:val="0"/>
                    <w:snapToGrid w:val="0"/>
                    <w:jc w:val="center"/>
                    <w:rPr>
                      <w:rFonts w:hint="default" w:eastAsia="宋体"/>
                      <w:color w:val="auto"/>
                      <w:szCs w:val="21"/>
                      <w:lang w:val="en-US" w:eastAsia="zh-CN"/>
                    </w:rPr>
                  </w:pPr>
                  <w:r>
                    <w:rPr>
                      <w:rFonts w:hint="eastAsia"/>
                      <w:color w:val="auto"/>
                      <w:szCs w:val="21"/>
                      <w:lang w:val="en-US" w:eastAsia="zh-CN"/>
                    </w:rPr>
                    <w:t>50人</w:t>
                  </w:r>
                </w:p>
              </w:tc>
            </w:tr>
            <w:tr w14:paraId="68B394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616C40E">
                  <w:pPr>
                    <w:jc w:val="center"/>
                    <w:rPr>
                      <w:rFonts w:hint="eastAsia"/>
                      <w:color w:val="auto"/>
                      <w:szCs w:val="21"/>
                    </w:rPr>
                  </w:pPr>
                </w:p>
              </w:tc>
              <w:tc>
                <w:tcPr>
                  <w:tcW w:w="284" w:type="pct"/>
                  <w:tcBorders>
                    <w:right w:val="single" w:color="auto" w:sz="4" w:space="0"/>
                  </w:tcBorders>
                  <w:noWrap w:val="0"/>
                  <w:vAlign w:val="center"/>
                </w:tcPr>
                <w:p w14:paraId="533F727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49</w:t>
                  </w:r>
                </w:p>
              </w:tc>
              <w:tc>
                <w:tcPr>
                  <w:tcW w:w="600" w:type="pct"/>
                  <w:tcBorders>
                    <w:left w:val="single" w:color="auto" w:sz="4" w:space="0"/>
                    <w:right w:val="single" w:color="auto" w:sz="4" w:space="0"/>
                  </w:tcBorders>
                  <w:noWrap w:val="0"/>
                  <w:vAlign w:val="center"/>
                </w:tcPr>
                <w:p w14:paraId="3FD95751">
                  <w:pPr>
                    <w:jc w:val="center"/>
                    <w:rPr>
                      <w:rFonts w:hint="default" w:ascii="Times New Roman" w:hAnsi="Times New Roman" w:cs="Times New Roman"/>
                      <w:color w:val="auto"/>
                      <w:szCs w:val="21"/>
                    </w:rPr>
                  </w:pPr>
                  <w:r>
                    <w:rPr>
                      <w:rFonts w:hint="default" w:ascii="Times New Roman" w:hAnsi="Times New Roman" w:cs="Times New Roman"/>
                      <w:color w:val="auto"/>
                      <w:szCs w:val="21"/>
                    </w:rPr>
                    <w:t>刘家堆坊</w:t>
                  </w:r>
                </w:p>
              </w:tc>
              <w:tc>
                <w:tcPr>
                  <w:tcW w:w="1687" w:type="pct"/>
                  <w:tcBorders>
                    <w:left w:val="single" w:color="auto" w:sz="4" w:space="0"/>
                  </w:tcBorders>
                  <w:noWrap w:val="0"/>
                  <w:vAlign w:val="center"/>
                </w:tcPr>
                <w:p w14:paraId="34E267A1">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914867</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556538</w:t>
                  </w:r>
                  <w:r>
                    <w:rPr>
                      <w:rFonts w:hAnsi="宋体"/>
                      <w:color w:val="auto"/>
                      <w:szCs w:val="21"/>
                    </w:rPr>
                    <w:t>）</w:t>
                  </w:r>
                </w:p>
              </w:tc>
              <w:tc>
                <w:tcPr>
                  <w:tcW w:w="482" w:type="pct"/>
                  <w:noWrap w:val="0"/>
                  <w:vAlign w:val="center"/>
                </w:tcPr>
                <w:p w14:paraId="2395ADF7">
                  <w:pPr>
                    <w:adjustRightInd w:val="0"/>
                    <w:snapToGrid w:val="0"/>
                    <w:jc w:val="center"/>
                    <w:rPr>
                      <w:rFonts w:hint="eastAsia"/>
                      <w:color w:val="auto"/>
                      <w:szCs w:val="21"/>
                    </w:rPr>
                  </w:pPr>
                  <w:r>
                    <w:rPr>
                      <w:rFonts w:hint="eastAsia"/>
                      <w:color w:val="auto"/>
                      <w:szCs w:val="21"/>
                      <w:lang w:val="en-US" w:eastAsia="zh-CN"/>
                    </w:rPr>
                    <w:t>SE</w:t>
                  </w:r>
                </w:p>
              </w:tc>
              <w:tc>
                <w:tcPr>
                  <w:tcW w:w="641" w:type="pct"/>
                  <w:noWrap w:val="0"/>
                  <w:vAlign w:val="center"/>
                </w:tcPr>
                <w:p w14:paraId="4DF00A9C">
                  <w:pPr>
                    <w:adjustRightInd w:val="0"/>
                    <w:snapToGrid w:val="0"/>
                    <w:jc w:val="center"/>
                    <w:rPr>
                      <w:rFonts w:hint="default"/>
                      <w:color w:val="auto"/>
                      <w:szCs w:val="21"/>
                      <w:lang w:val="en-US"/>
                    </w:rPr>
                  </w:pPr>
                  <w:r>
                    <w:rPr>
                      <w:rFonts w:hint="eastAsia"/>
                      <w:color w:val="auto"/>
                      <w:szCs w:val="21"/>
                      <w:lang w:val="en-US" w:eastAsia="zh-CN"/>
                    </w:rPr>
                    <w:t>2426</w:t>
                  </w:r>
                </w:p>
              </w:tc>
              <w:tc>
                <w:tcPr>
                  <w:tcW w:w="910" w:type="pct"/>
                  <w:noWrap w:val="0"/>
                  <w:vAlign w:val="center"/>
                </w:tcPr>
                <w:p w14:paraId="2C64D8AB">
                  <w:pPr>
                    <w:adjustRightInd w:val="0"/>
                    <w:snapToGrid w:val="0"/>
                    <w:jc w:val="center"/>
                    <w:rPr>
                      <w:rFonts w:hint="default" w:eastAsia="宋体"/>
                      <w:color w:val="auto"/>
                      <w:szCs w:val="21"/>
                      <w:lang w:val="en-US" w:eastAsia="zh-CN"/>
                    </w:rPr>
                  </w:pPr>
                  <w:r>
                    <w:rPr>
                      <w:rFonts w:hint="eastAsia"/>
                      <w:color w:val="auto"/>
                      <w:szCs w:val="21"/>
                      <w:lang w:val="en-US" w:eastAsia="zh-CN"/>
                    </w:rPr>
                    <w:t>65人</w:t>
                  </w:r>
                </w:p>
              </w:tc>
            </w:tr>
            <w:tr w14:paraId="60DC05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74A7395">
                  <w:pPr>
                    <w:jc w:val="center"/>
                    <w:rPr>
                      <w:rFonts w:hint="eastAsia"/>
                      <w:color w:val="auto"/>
                      <w:szCs w:val="21"/>
                    </w:rPr>
                  </w:pPr>
                </w:p>
              </w:tc>
              <w:tc>
                <w:tcPr>
                  <w:tcW w:w="284" w:type="pct"/>
                  <w:tcBorders>
                    <w:right w:val="single" w:color="auto" w:sz="4" w:space="0"/>
                  </w:tcBorders>
                  <w:noWrap w:val="0"/>
                  <w:vAlign w:val="center"/>
                </w:tcPr>
                <w:p w14:paraId="5EE38AD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c>
                <w:tcPr>
                  <w:tcW w:w="600" w:type="pct"/>
                  <w:tcBorders>
                    <w:left w:val="single" w:color="auto" w:sz="4" w:space="0"/>
                    <w:right w:val="single" w:color="auto" w:sz="4" w:space="0"/>
                  </w:tcBorders>
                  <w:noWrap w:val="0"/>
                  <w:vAlign w:val="center"/>
                </w:tcPr>
                <w:p w14:paraId="36E23DCD">
                  <w:pPr>
                    <w:jc w:val="center"/>
                    <w:rPr>
                      <w:rFonts w:hint="default" w:ascii="Times New Roman" w:hAnsi="Times New Roman" w:cs="Times New Roman"/>
                      <w:color w:val="auto"/>
                      <w:szCs w:val="21"/>
                    </w:rPr>
                  </w:pPr>
                  <w:r>
                    <w:rPr>
                      <w:rFonts w:hint="default" w:ascii="Times New Roman" w:hAnsi="Times New Roman" w:cs="Times New Roman"/>
                      <w:color w:val="auto"/>
                      <w:szCs w:val="21"/>
                    </w:rPr>
                    <w:t>孤堆回族乡</w:t>
                  </w:r>
                </w:p>
              </w:tc>
              <w:tc>
                <w:tcPr>
                  <w:tcW w:w="1687" w:type="pct"/>
                  <w:tcBorders>
                    <w:left w:val="single" w:color="auto" w:sz="4" w:space="0"/>
                  </w:tcBorders>
                  <w:noWrap w:val="0"/>
                  <w:vAlign w:val="center"/>
                </w:tcPr>
                <w:p w14:paraId="65E5A7BC">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913472</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552633</w:t>
                  </w:r>
                  <w:r>
                    <w:rPr>
                      <w:rFonts w:hAnsi="宋体"/>
                      <w:color w:val="auto"/>
                      <w:szCs w:val="21"/>
                    </w:rPr>
                    <w:t>）</w:t>
                  </w:r>
                </w:p>
              </w:tc>
              <w:tc>
                <w:tcPr>
                  <w:tcW w:w="482" w:type="pct"/>
                  <w:noWrap w:val="0"/>
                  <w:vAlign w:val="center"/>
                </w:tcPr>
                <w:p w14:paraId="47CFC433">
                  <w:pPr>
                    <w:adjustRightInd w:val="0"/>
                    <w:snapToGrid w:val="0"/>
                    <w:jc w:val="center"/>
                    <w:rPr>
                      <w:rFonts w:hint="eastAsia"/>
                      <w:color w:val="auto"/>
                      <w:szCs w:val="21"/>
                    </w:rPr>
                  </w:pPr>
                  <w:r>
                    <w:rPr>
                      <w:rFonts w:hint="eastAsia"/>
                      <w:color w:val="auto"/>
                      <w:szCs w:val="21"/>
                      <w:lang w:val="en-US" w:eastAsia="zh-CN"/>
                    </w:rPr>
                    <w:t>SE</w:t>
                  </w:r>
                </w:p>
              </w:tc>
              <w:tc>
                <w:tcPr>
                  <w:tcW w:w="641" w:type="pct"/>
                  <w:noWrap w:val="0"/>
                  <w:vAlign w:val="center"/>
                </w:tcPr>
                <w:p w14:paraId="4EA17DD0">
                  <w:pPr>
                    <w:adjustRightInd w:val="0"/>
                    <w:snapToGrid w:val="0"/>
                    <w:jc w:val="center"/>
                    <w:rPr>
                      <w:rFonts w:hint="default"/>
                      <w:color w:val="auto"/>
                      <w:szCs w:val="21"/>
                      <w:lang w:val="en-US"/>
                    </w:rPr>
                  </w:pPr>
                  <w:r>
                    <w:rPr>
                      <w:rFonts w:hint="eastAsia"/>
                      <w:color w:val="auto"/>
                      <w:szCs w:val="21"/>
                      <w:lang w:val="en-US" w:eastAsia="zh-CN"/>
                    </w:rPr>
                    <w:t>2310</w:t>
                  </w:r>
                </w:p>
              </w:tc>
              <w:tc>
                <w:tcPr>
                  <w:tcW w:w="910" w:type="pct"/>
                  <w:noWrap w:val="0"/>
                  <w:vAlign w:val="center"/>
                </w:tcPr>
                <w:p w14:paraId="5DDAF17E">
                  <w:pPr>
                    <w:adjustRightInd w:val="0"/>
                    <w:snapToGrid w:val="0"/>
                    <w:jc w:val="center"/>
                    <w:rPr>
                      <w:rFonts w:hint="default" w:eastAsia="宋体"/>
                      <w:color w:val="auto"/>
                      <w:szCs w:val="21"/>
                      <w:lang w:val="en-US" w:eastAsia="zh-CN"/>
                    </w:rPr>
                  </w:pPr>
                  <w:r>
                    <w:rPr>
                      <w:rFonts w:hint="eastAsia"/>
                      <w:color w:val="auto"/>
                      <w:szCs w:val="21"/>
                      <w:lang w:val="en-US" w:eastAsia="zh-CN"/>
                    </w:rPr>
                    <w:t>650人</w:t>
                  </w:r>
                </w:p>
              </w:tc>
            </w:tr>
            <w:tr w14:paraId="74CF16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6DE0C05D">
                  <w:pPr>
                    <w:jc w:val="center"/>
                    <w:rPr>
                      <w:rFonts w:hint="eastAsia"/>
                      <w:color w:val="auto"/>
                      <w:szCs w:val="21"/>
                    </w:rPr>
                  </w:pPr>
                </w:p>
              </w:tc>
              <w:tc>
                <w:tcPr>
                  <w:tcW w:w="284" w:type="pct"/>
                  <w:tcBorders>
                    <w:right w:val="single" w:color="auto" w:sz="4" w:space="0"/>
                  </w:tcBorders>
                  <w:noWrap w:val="0"/>
                  <w:vAlign w:val="center"/>
                </w:tcPr>
                <w:p w14:paraId="1797F872">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51</w:t>
                  </w:r>
                </w:p>
              </w:tc>
              <w:tc>
                <w:tcPr>
                  <w:tcW w:w="600" w:type="pct"/>
                  <w:tcBorders>
                    <w:left w:val="single" w:color="auto" w:sz="4" w:space="0"/>
                    <w:right w:val="single" w:color="auto" w:sz="4" w:space="0"/>
                  </w:tcBorders>
                  <w:noWrap w:val="0"/>
                  <w:vAlign w:val="center"/>
                </w:tcPr>
                <w:p w14:paraId="3BF43FA1">
                  <w:pPr>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谷堆</w:t>
                  </w:r>
                  <w:r>
                    <w:rPr>
                      <w:rFonts w:hint="eastAsia" w:ascii="Times New Roman" w:hAnsi="Times New Roman" w:cs="Times New Roman"/>
                      <w:color w:val="auto"/>
                      <w:szCs w:val="21"/>
                      <w:lang w:val="en-US" w:eastAsia="zh-CN"/>
                    </w:rPr>
                    <w:t>底下</w:t>
                  </w:r>
                </w:p>
              </w:tc>
              <w:tc>
                <w:tcPr>
                  <w:tcW w:w="1687" w:type="pct"/>
                  <w:tcBorders>
                    <w:left w:val="single" w:color="auto" w:sz="4" w:space="0"/>
                  </w:tcBorders>
                  <w:noWrap w:val="0"/>
                  <w:vAlign w:val="center"/>
                </w:tcPr>
                <w:p w14:paraId="57DF85D3">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909868</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550444</w:t>
                  </w:r>
                  <w:r>
                    <w:rPr>
                      <w:rFonts w:hAnsi="宋体"/>
                      <w:color w:val="auto"/>
                      <w:szCs w:val="21"/>
                    </w:rPr>
                    <w:t>）</w:t>
                  </w:r>
                </w:p>
              </w:tc>
              <w:tc>
                <w:tcPr>
                  <w:tcW w:w="482" w:type="pct"/>
                  <w:noWrap w:val="0"/>
                  <w:vAlign w:val="top"/>
                </w:tcPr>
                <w:p w14:paraId="554EC64F">
                  <w:pPr>
                    <w:jc w:val="center"/>
                    <w:rPr>
                      <w:rFonts w:hint="eastAsia"/>
                      <w:color w:val="auto"/>
                      <w:szCs w:val="21"/>
                    </w:rPr>
                  </w:pPr>
                  <w:r>
                    <w:rPr>
                      <w:rFonts w:hint="eastAsia"/>
                      <w:color w:val="auto"/>
                      <w:szCs w:val="21"/>
                      <w:lang w:val="en-US" w:eastAsia="zh-CN"/>
                    </w:rPr>
                    <w:t>SE</w:t>
                  </w:r>
                </w:p>
              </w:tc>
              <w:tc>
                <w:tcPr>
                  <w:tcW w:w="641" w:type="pct"/>
                  <w:noWrap w:val="0"/>
                  <w:vAlign w:val="center"/>
                </w:tcPr>
                <w:p w14:paraId="6A4E15B3">
                  <w:pPr>
                    <w:adjustRightInd w:val="0"/>
                    <w:snapToGrid w:val="0"/>
                    <w:jc w:val="center"/>
                    <w:rPr>
                      <w:rFonts w:hint="eastAsia"/>
                      <w:color w:val="auto"/>
                      <w:szCs w:val="21"/>
                    </w:rPr>
                  </w:pPr>
                  <w:r>
                    <w:rPr>
                      <w:rFonts w:hint="eastAsia"/>
                      <w:color w:val="auto"/>
                      <w:szCs w:val="21"/>
                      <w:lang w:val="en-US" w:eastAsia="zh-CN"/>
                    </w:rPr>
                    <w:t>2666</w:t>
                  </w:r>
                </w:p>
              </w:tc>
              <w:tc>
                <w:tcPr>
                  <w:tcW w:w="910" w:type="pct"/>
                  <w:noWrap w:val="0"/>
                  <w:vAlign w:val="center"/>
                </w:tcPr>
                <w:p w14:paraId="3AF56CAA">
                  <w:pPr>
                    <w:adjustRightInd w:val="0"/>
                    <w:snapToGrid w:val="0"/>
                    <w:jc w:val="center"/>
                    <w:rPr>
                      <w:rFonts w:hint="default" w:eastAsia="宋体"/>
                      <w:color w:val="auto"/>
                      <w:szCs w:val="21"/>
                      <w:lang w:val="en-US" w:eastAsia="zh-CN"/>
                    </w:rPr>
                  </w:pPr>
                  <w:r>
                    <w:rPr>
                      <w:rFonts w:hint="eastAsia"/>
                      <w:color w:val="auto"/>
                      <w:szCs w:val="21"/>
                      <w:lang w:val="en-US" w:eastAsia="zh-CN"/>
                    </w:rPr>
                    <w:t>100人</w:t>
                  </w:r>
                </w:p>
              </w:tc>
            </w:tr>
            <w:tr w14:paraId="194705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F946C92">
                  <w:pPr>
                    <w:jc w:val="center"/>
                    <w:rPr>
                      <w:rFonts w:hint="eastAsia"/>
                      <w:color w:val="auto"/>
                      <w:szCs w:val="21"/>
                    </w:rPr>
                  </w:pPr>
                </w:p>
              </w:tc>
              <w:tc>
                <w:tcPr>
                  <w:tcW w:w="284" w:type="pct"/>
                  <w:tcBorders>
                    <w:right w:val="single" w:color="auto" w:sz="4" w:space="0"/>
                  </w:tcBorders>
                  <w:noWrap w:val="0"/>
                  <w:vAlign w:val="center"/>
                </w:tcPr>
                <w:p w14:paraId="5322C603">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52</w:t>
                  </w:r>
                </w:p>
              </w:tc>
              <w:tc>
                <w:tcPr>
                  <w:tcW w:w="600" w:type="pct"/>
                  <w:tcBorders>
                    <w:left w:val="single" w:color="auto" w:sz="4" w:space="0"/>
                    <w:right w:val="single" w:color="auto" w:sz="4" w:space="0"/>
                  </w:tcBorders>
                  <w:noWrap w:val="0"/>
                  <w:vAlign w:val="center"/>
                </w:tcPr>
                <w:p w14:paraId="0DF11E35">
                  <w:pPr>
                    <w:jc w:val="center"/>
                    <w:rPr>
                      <w:rFonts w:hint="default" w:ascii="Times New Roman" w:hAnsi="Times New Roman" w:cs="Times New Roman"/>
                      <w:color w:val="auto"/>
                      <w:szCs w:val="21"/>
                    </w:rPr>
                  </w:pPr>
                  <w:r>
                    <w:rPr>
                      <w:rFonts w:hint="default" w:ascii="Times New Roman" w:hAnsi="Times New Roman" w:cs="Times New Roman"/>
                      <w:color w:val="auto"/>
                      <w:szCs w:val="21"/>
                    </w:rPr>
                    <w:t>鲁上郢</w:t>
                  </w:r>
                </w:p>
              </w:tc>
              <w:tc>
                <w:tcPr>
                  <w:tcW w:w="1687" w:type="pct"/>
                  <w:tcBorders>
                    <w:left w:val="single" w:color="auto" w:sz="4" w:space="0"/>
                  </w:tcBorders>
                  <w:noWrap w:val="0"/>
                  <w:vAlign w:val="center"/>
                </w:tcPr>
                <w:p w14:paraId="57446064">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894204</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549007</w:t>
                  </w:r>
                  <w:r>
                    <w:rPr>
                      <w:rFonts w:hAnsi="宋体"/>
                      <w:color w:val="auto"/>
                      <w:szCs w:val="21"/>
                    </w:rPr>
                    <w:t>）</w:t>
                  </w:r>
                </w:p>
              </w:tc>
              <w:tc>
                <w:tcPr>
                  <w:tcW w:w="482" w:type="pct"/>
                  <w:noWrap w:val="0"/>
                  <w:vAlign w:val="top"/>
                </w:tcPr>
                <w:p w14:paraId="04D32768">
                  <w:pPr>
                    <w:jc w:val="center"/>
                    <w:rPr>
                      <w:rFonts w:hint="eastAsia"/>
                      <w:color w:val="auto"/>
                      <w:szCs w:val="21"/>
                    </w:rPr>
                  </w:pPr>
                  <w:r>
                    <w:rPr>
                      <w:rFonts w:hint="eastAsia"/>
                      <w:color w:val="auto"/>
                      <w:lang w:val="en-US" w:eastAsia="zh-CN"/>
                    </w:rPr>
                    <w:t>S</w:t>
                  </w:r>
                </w:p>
              </w:tc>
              <w:tc>
                <w:tcPr>
                  <w:tcW w:w="641" w:type="pct"/>
                  <w:noWrap w:val="0"/>
                  <w:vAlign w:val="center"/>
                </w:tcPr>
                <w:p w14:paraId="0770956A">
                  <w:pPr>
                    <w:adjustRightInd w:val="0"/>
                    <w:snapToGrid w:val="0"/>
                    <w:jc w:val="center"/>
                    <w:rPr>
                      <w:rFonts w:hint="default" w:eastAsia="宋体"/>
                      <w:color w:val="auto"/>
                      <w:szCs w:val="21"/>
                      <w:lang w:val="en-US" w:eastAsia="zh-CN"/>
                    </w:rPr>
                  </w:pPr>
                  <w:r>
                    <w:rPr>
                      <w:rFonts w:hint="eastAsia"/>
                      <w:color w:val="auto"/>
                      <w:szCs w:val="21"/>
                      <w:lang w:val="en-US" w:eastAsia="zh-CN"/>
                    </w:rPr>
                    <w:t>1992</w:t>
                  </w:r>
                </w:p>
              </w:tc>
              <w:tc>
                <w:tcPr>
                  <w:tcW w:w="910" w:type="pct"/>
                  <w:noWrap w:val="0"/>
                  <w:vAlign w:val="center"/>
                </w:tcPr>
                <w:p w14:paraId="2E90DE0C">
                  <w:pPr>
                    <w:adjustRightInd w:val="0"/>
                    <w:snapToGrid w:val="0"/>
                    <w:jc w:val="center"/>
                    <w:rPr>
                      <w:rFonts w:hint="default" w:eastAsia="宋体"/>
                      <w:color w:val="auto"/>
                      <w:szCs w:val="21"/>
                      <w:lang w:val="en-US" w:eastAsia="zh-CN"/>
                    </w:rPr>
                  </w:pPr>
                  <w:r>
                    <w:rPr>
                      <w:rFonts w:hint="eastAsia"/>
                      <w:color w:val="auto"/>
                      <w:szCs w:val="21"/>
                      <w:lang w:val="en-US" w:eastAsia="zh-CN"/>
                    </w:rPr>
                    <w:t>60人</w:t>
                  </w:r>
                </w:p>
              </w:tc>
            </w:tr>
            <w:tr w14:paraId="7C151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B1CA607">
                  <w:pPr>
                    <w:jc w:val="center"/>
                    <w:rPr>
                      <w:rFonts w:hint="eastAsia"/>
                      <w:color w:val="auto"/>
                      <w:szCs w:val="21"/>
                    </w:rPr>
                  </w:pPr>
                </w:p>
              </w:tc>
              <w:tc>
                <w:tcPr>
                  <w:tcW w:w="284" w:type="pct"/>
                  <w:tcBorders>
                    <w:right w:val="single" w:color="auto" w:sz="4" w:space="0"/>
                  </w:tcBorders>
                  <w:noWrap w:val="0"/>
                  <w:vAlign w:val="center"/>
                </w:tcPr>
                <w:p w14:paraId="4EF96798">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53</w:t>
                  </w:r>
                </w:p>
              </w:tc>
              <w:tc>
                <w:tcPr>
                  <w:tcW w:w="600" w:type="pct"/>
                  <w:tcBorders>
                    <w:left w:val="single" w:color="auto" w:sz="4" w:space="0"/>
                    <w:right w:val="single" w:color="auto" w:sz="4" w:space="0"/>
                  </w:tcBorders>
                  <w:noWrap w:val="0"/>
                  <w:vAlign w:val="center"/>
                </w:tcPr>
                <w:p w14:paraId="14B49367">
                  <w:pPr>
                    <w:jc w:val="center"/>
                    <w:rPr>
                      <w:rFonts w:hint="default" w:ascii="Times New Roman" w:hAnsi="Times New Roman" w:cs="Times New Roman"/>
                      <w:color w:val="auto"/>
                      <w:szCs w:val="21"/>
                    </w:rPr>
                  </w:pPr>
                  <w:r>
                    <w:rPr>
                      <w:rFonts w:hint="default" w:ascii="Times New Roman" w:hAnsi="Times New Roman" w:cs="Times New Roman"/>
                      <w:color w:val="auto"/>
                      <w:szCs w:val="21"/>
                    </w:rPr>
                    <w:t>杨郢孜</w:t>
                  </w:r>
                </w:p>
              </w:tc>
              <w:tc>
                <w:tcPr>
                  <w:tcW w:w="1687" w:type="pct"/>
                  <w:tcBorders>
                    <w:left w:val="single" w:color="auto" w:sz="4" w:space="0"/>
                  </w:tcBorders>
                  <w:noWrap w:val="0"/>
                  <w:vAlign w:val="center"/>
                </w:tcPr>
                <w:p w14:paraId="454F4520">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886865</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552526</w:t>
                  </w:r>
                  <w:r>
                    <w:rPr>
                      <w:rFonts w:hAnsi="宋体"/>
                      <w:color w:val="auto"/>
                      <w:szCs w:val="21"/>
                    </w:rPr>
                    <w:t>）</w:t>
                  </w:r>
                </w:p>
              </w:tc>
              <w:tc>
                <w:tcPr>
                  <w:tcW w:w="482" w:type="pct"/>
                  <w:noWrap w:val="0"/>
                  <w:vAlign w:val="top"/>
                </w:tcPr>
                <w:p w14:paraId="69D56A51">
                  <w:pPr>
                    <w:jc w:val="center"/>
                    <w:rPr>
                      <w:rFonts w:hint="default" w:eastAsia="宋体"/>
                      <w:color w:val="auto"/>
                      <w:szCs w:val="21"/>
                      <w:lang w:val="en-US" w:eastAsia="zh-CN"/>
                    </w:rPr>
                  </w:pPr>
                  <w:r>
                    <w:rPr>
                      <w:rFonts w:hint="eastAsia"/>
                      <w:color w:val="auto"/>
                      <w:szCs w:val="21"/>
                      <w:lang w:val="en-US" w:eastAsia="zh-CN"/>
                    </w:rPr>
                    <w:t>SW</w:t>
                  </w:r>
                </w:p>
              </w:tc>
              <w:tc>
                <w:tcPr>
                  <w:tcW w:w="641" w:type="pct"/>
                  <w:noWrap w:val="0"/>
                  <w:vAlign w:val="center"/>
                </w:tcPr>
                <w:p w14:paraId="17C55610">
                  <w:pPr>
                    <w:adjustRightInd w:val="0"/>
                    <w:snapToGrid w:val="0"/>
                    <w:jc w:val="center"/>
                    <w:rPr>
                      <w:rFonts w:hint="default"/>
                      <w:color w:val="auto"/>
                      <w:szCs w:val="21"/>
                      <w:lang w:val="en-US"/>
                    </w:rPr>
                  </w:pPr>
                  <w:r>
                    <w:rPr>
                      <w:rFonts w:hint="eastAsia"/>
                      <w:color w:val="auto"/>
                      <w:szCs w:val="21"/>
                      <w:lang w:val="en-US" w:eastAsia="zh-CN"/>
                    </w:rPr>
                    <w:t>1698</w:t>
                  </w:r>
                </w:p>
              </w:tc>
              <w:tc>
                <w:tcPr>
                  <w:tcW w:w="910" w:type="pct"/>
                  <w:noWrap w:val="0"/>
                  <w:vAlign w:val="center"/>
                </w:tcPr>
                <w:p w14:paraId="6CD5A81F">
                  <w:pPr>
                    <w:adjustRightInd w:val="0"/>
                    <w:snapToGrid w:val="0"/>
                    <w:jc w:val="center"/>
                    <w:rPr>
                      <w:rFonts w:hint="eastAsia"/>
                      <w:color w:val="auto"/>
                      <w:szCs w:val="21"/>
                    </w:rPr>
                  </w:pPr>
                  <w:r>
                    <w:rPr>
                      <w:rFonts w:hint="eastAsia"/>
                      <w:color w:val="auto"/>
                      <w:szCs w:val="21"/>
                      <w:lang w:val="en-US" w:eastAsia="zh-CN"/>
                    </w:rPr>
                    <w:t>30人</w:t>
                  </w:r>
                </w:p>
              </w:tc>
            </w:tr>
            <w:tr w14:paraId="5C5940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72BBDD2">
                  <w:pPr>
                    <w:jc w:val="center"/>
                    <w:rPr>
                      <w:rFonts w:hint="eastAsia"/>
                      <w:color w:val="auto"/>
                      <w:szCs w:val="21"/>
                    </w:rPr>
                  </w:pPr>
                </w:p>
              </w:tc>
              <w:tc>
                <w:tcPr>
                  <w:tcW w:w="284" w:type="pct"/>
                  <w:tcBorders>
                    <w:right w:val="single" w:color="auto" w:sz="4" w:space="0"/>
                  </w:tcBorders>
                  <w:noWrap w:val="0"/>
                  <w:vAlign w:val="center"/>
                </w:tcPr>
                <w:p w14:paraId="556BE22A">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54</w:t>
                  </w:r>
                </w:p>
              </w:tc>
              <w:tc>
                <w:tcPr>
                  <w:tcW w:w="600" w:type="pct"/>
                  <w:tcBorders>
                    <w:left w:val="single" w:color="auto" w:sz="4" w:space="0"/>
                    <w:right w:val="single" w:color="auto" w:sz="4" w:space="0"/>
                  </w:tcBorders>
                  <w:noWrap w:val="0"/>
                  <w:vAlign w:val="center"/>
                </w:tcPr>
                <w:p w14:paraId="09A7B1F2">
                  <w:pPr>
                    <w:jc w:val="center"/>
                    <w:rPr>
                      <w:rFonts w:hint="default" w:ascii="Times New Roman" w:hAnsi="Times New Roman" w:cs="Times New Roman"/>
                      <w:color w:val="auto"/>
                      <w:szCs w:val="21"/>
                    </w:rPr>
                  </w:pPr>
                  <w:r>
                    <w:rPr>
                      <w:rFonts w:hint="default" w:ascii="Times New Roman" w:hAnsi="Times New Roman" w:cs="Times New Roman"/>
                      <w:color w:val="auto"/>
                      <w:szCs w:val="21"/>
                    </w:rPr>
                    <w:t>淮南市第十六中学</w:t>
                  </w:r>
                </w:p>
              </w:tc>
              <w:tc>
                <w:tcPr>
                  <w:tcW w:w="1687" w:type="pct"/>
                  <w:tcBorders>
                    <w:left w:val="single" w:color="auto" w:sz="4" w:space="0"/>
                  </w:tcBorders>
                  <w:noWrap w:val="0"/>
                  <w:vAlign w:val="center"/>
                </w:tcPr>
                <w:p w14:paraId="4385FE8F">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885341</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579219</w:t>
                  </w:r>
                  <w:r>
                    <w:rPr>
                      <w:rFonts w:hAnsi="宋体"/>
                      <w:color w:val="auto"/>
                      <w:szCs w:val="21"/>
                    </w:rPr>
                    <w:t>）</w:t>
                  </w:r>
                </w:p>
              </w:tc>
              <w:tc>
                <w:tcPr>
                  <w:tcW w:w="482" w:type="pct"/>
                  <w:noWrap w:val="0"/>
                  <w:vAlign w:val="center"/>
                </w:tcPr>
                <w:p w14:paraId="794F9FB5">
                  <w:pPr>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13149832">
                  <w:pPr>
                    <w:adjustRightInd w:val="0"/>
                    <w:snapToGrid w:val="0"/>
                    <w:jc w:val="center"/>
                    <w:rPr>
                      <w:rFonts w:hint="default" w:eastAsia="宋体"/>
                      <w:color w:val="auto"/>
                      <w:szCs w:val="21"/>
                      <w:lang w:val="en-US" w:eastAsia="zh-CN"/>
                    </w:rPr>
                  </w:pPr>
                  <w:r>
                    <w:rPr>
                      <w:rFonts w:hint="eastAsia"/>
                      <w:color w:val="auto"/>
                      <w:szCs w:val="21"/>
                      <w:lang w:val="en-US" w:eastAsia="zh-CN"/>
                    </w:rPr>
                    <w:t>1024</w:t>
                  </w:r>
                </w:p>
              </w:tc>
              <w:tc>
                <w:tcPr>
                  <w:tcW w:w="910" w:type="pct"/>
                  <w:noWrap w:val="0"/>
                  <w:vAlign w:val="center"/>
                </w:tcPr>
                <w:p w14:paraId="6705C946">
                  <w:pPr>
                    <w:adjustRightInd w:val="0"/>
                    <w:snapToGrid w:val="0"/>
                    <w:jc w:val="center"/>
                    <w:rPr>
                      <w:rFonts w:hint="default" w:eastAsia="宋体"/>
                      <w:color w:val="auto"/>
                      <w:szCs w:val="21"/>
                      <w:lang w:val="en-US" w:eastAsia="zh-CN"/>
                    </w:rPr>
                  </w:pPr>
                  <w:r>
                    <w:rPr>
                      <w:rFonts w:hint="eastAsia"/>
                      <w:color w:val="auto"/>
                      <w:szCs w:val="21"/>
                      <w:lang w:val="en-US" w:eastAsia="zh-CN"/>
                    </w:rPr>
                    <w:t>师生476人</w:t>
                  </w:r>
                </w:p>
              </w:tc>
            </w:tr>
            <w:tr w14:paraId="2CDCBA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B6B544D">
                  <w:pPr>
                    <w:jc w:val="center"/>
                    <w:rPr>
                      <w:rFonts w:hint="eastAsia"/>
                      <w:color w:val="auto"/>
                      <w:szCs w:val="21"/>
                    </w:rPr>
                  </w:pPr>
                </w:p>
              </w:tc>
              <w:tc>
                <w:tcPr>
                  <w:tcW w:w="284" w:type="pct"/>
                  <w:tcBorders>
                    <w:right w:val="single" w:color="auto" w:sz="4" w:space="0"/>
                  </w:tcBorders>
                  <w:noWrap w:val="0"/>
                  <w:vAlign w:val="center"/>
                </w:tcPr>
                <w:p w14:paraId="74FA403E">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55</w:t>
                  </w:r>
                </w:p>
              </w:tc>
              <w:tc>
                <w:tcPr>
                  <w:tcW w:w="600" w:type="pct"/>
                  <w:tcBorders>
                    <w:left w:val="single" w:color="auto" w:sz="4" w:space="0"/>
                    <w:right w:val="single" w:color="auto" w:sz="4" w:space="0"/>
                  </w:tcBorders>
                  <w:noWrap w:val="0"/>
                  <w:vAlign w:val="center"/>
                </w:tcPr>
                <w:p w14:paraId="007E5612">
                  <w:pPr>
                    <w:jc w:val="center"/>
                    <w:rPr>
                      <w:rFonts w:hint="default" w:ascii="Times New Roman" w:hAnsi="Times New Roman" w:cs="Times New Roman"/>
                      <w:color w:val="auto"/>
                      <w:szCs w:val="21"/>
                    </w:rPr>
                  </w:pPr>
                  <w:r>
                    <w:rPr>
                      <w:rFonts w:hint="default" w:ascii="Times New Roman" w:hAnsi="Times New Roman" w:cs="Times New Roman"/>
                      <w:color w:val="auto"/>
                      <w:szCs w:val="21"/>
                    </w:rPr>
                    <w:t>淮南骏艺艺术学校</w:t>
                  </w:r>
                </w:p>
              </w:tc>
              <w:tc>
                <w:tcPr>
                  <w:tcW w:w="1687" w:type="pct"/>
                  <w:tcBorders>
                    <w:left w:val="single" w:color="auto" w:sz="4" w:space="0"/>
                  </w:tcBorders>
                  <w:noWrap w:val="0"/>
                  <w:vAlign w:val="center"/>
                </w:tcPr>
                <w:p w14:paraId="67C114AD">
                  <w:pPr>
                    <w:jc w:val="center"/>
                    <w:rPr>
                      <w:rFonts w:hAnsi="宋体"/>
                      <w:color w:val="auto"/>
                      <w:szCs w:val="21"/>
                    </w:rPr>
                  </w:pPr>
                  <w:r>
                    <w:rPr>
                      <w:rFonts w:hAnsi="宋体"/>
                      <w:color w:val="auto"/>
                      <w:szCs w:val="21"/>
                    </w:rPr>
                    <w:t>（</w:t>
                  </w:r>
                  <w:r>
                    <w:rPr>
                      <w:color w:val="auto"/>
                      <w:szCs w:val="21"/>
                    </w:rPr>
                    <w:t>11</w:t>
                  </w:r>
                  <w:r>
                    <w:rPr>
                      <w:rFonts w:hint="eastAsia"/>
                      <w:color w:val="auto"/>
                      <w:szCs w:val="21"/>
                      <w:lang w:val="en-US" w:eastAsia="zh-CN"/>
                    </w:rPr>
                    <w:t>6</w:t>
                  </w:r>
                  <w:r>
                    <w:rPr>
                      <w:color w:val="auto"/>
                      <w:szCs w:val="21"/>
                    </w:rPr>
                    <w:t>.</w:t>
                  </w:r>
                  <w:r>
                    <w:rPr>
                      <w:rFonts w:hint="eastAsia"/>
                      <w:color w:val="auto"/>
                      <w:szCs w:val="21"/>
                      <w:lang w:val="en-US" w:eastAsia="zh-CN"/>
                    </w:rPr>
                    <w:t>874505</w:t>
                  </w:r>
                  <w:r>
                    <w:rPr>
                      <w:rFonts w:hAnsi="宋体"/>
                      <w:color w:val="auto"/>
                      <w:szCs w:val="21"/>
                    </w:rPr>
                    <w:t>，</w:t>
                  </w:r>
                  <w:r>
                    <w:rPr>
                      <w:color w:val="auto"/>
                      <w:szCs w:val="21"/>
                    </w:rPr>
                    <w:t>3</w:t>
                  </w:r>
                  <w:r>
                    <w:rPr>
                      <w:rFonts w:hint="eastAsia"/>
                      <w:color w:val="auto"/>
                      <w:szCs w:val="21"/>
                      <w:lang w:val="en-US" w:eastAsia="zh-CN"/>
                    </w:rPr>
                    <w:t>2</w:t>
                  </w:r>
                  <w:r>
                    <w:rPr>
                      <w:color w:val="auto"/>
                      <w:szCs w:val="21"/>
                    </w:rPr>
                    <w:t>.</w:t>
                  </w:r>
                  <w:r>
                    <w:rPr>
                      <w:rFonts w:hint="eastAsia"/>
                      <w:color w:val="auto"/>
                      <w:szCs w:val="21"/>
                      <w:lang w:val="en-US" w:eastAsia="zh-CN"/>
                    </w:rPr>
                    <w:t>578125</w:t>
                  </w:r>
                  <w:r>
                    <w:rPr>
                      <w:rFonts w:hAnsi="宋体"/>
                      <w:color w:val="auto"/>
                      <w:szCs w:val="21"/>
                    </w:rPr>
                    <w:t>）</w:t>
                  </w:r>
                </w:p>
              </w:tc>
              <w:tc>
                <w:tcPr>
                  <w:tcW w:w="482" w:type="pct"/>
                  <w:noWrap w:val="0"/>
                  <w:vAlign w:val="center"/>
                </w:tcPr>
                <w:p w14:paraId="02CD75C4">
                  <w:pPr>
                    <w:jc w:val="center"/>
                    <w:rPr>
                      <w:rFonts w:hint="default" w:eastAsia="宋体"/>
                      <w:color w:val="auto"/>
                      <w:szCs w:val="21"/>
                      <w:lang w:val="en-US" w:eastAsia="zh-CN"/>
                    </w:rPr>
                  </w:pPr>
                  <w:r>
                    <w:rPr>
                      <w:rFonts w:hint="eastAsia"/>
                      <w:color w:val="auto"/>
                      <w:szCs w:val="21"/>
                      <w:lang w:val="en-US" w:eastAsia="zh-CN"/>
                    </w:rPr>
                    <w:t>NW</w:t>
                  </w:r>
                </w:p>
              </w:tc>
              <w:tc>
                <w:tcPr>
                  <w:tcW w:w="641" w:type="pct"/>
                  <w:noWrap w:val="0"/>
                  <w:vAlign w:val="center"/>
                </w:tcPr>
                <w:p w14:paraId="0B854EE7">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1613</w:t>
                  </w:r>
                </w:p>
              </w:tc>
              <w:tc>
                <w:tcPr>
                  <w:tcW w:w="910" w:type="pct"/>
                  <w:noWrap w:val="0"/>
                  <w:vAlign w:val="center"/>
                </w:tcPr>
                <w:p w14:paraId="47AEA391">
                  <w:pPr>
                    <w:adjustRightInd w:val="0"/>
                    <w:snapToGrid w:val="0"/>
                    <w:jc w:val="center"/>
                    <w:rPr>
                      <w:rFonts w:hint="eastAsia"/>
                      <w:color w:val="auto"/>
                      <w:szCs w:val="21"/>
                    </w:rPr>
                  </w:pPr>
                  <w:r>
                    <w:rPr>
                      <w:rFonts w:hint="eastAsia"/>
                      <w:color w:val="auto"/>
                      <w:szCs w:val="21"/>
                      <w:lang w:val="en-US" w:eastAsia="zh-CN"/>
                    </w:rPr>
                    <w:t>师生499人</w:t>
                  </w:r>
                </w:p>
              </w:tc>
            </w:tr>
            <w:tr w14:paraId="30BE5B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B40D147">
                  <w:pPr>
                    <w:jc w:val="center"/>
                    <w:rPr>
                      <w:rFonts w:hint="eastAsia"/>
                      <w:color w:val="auto"/>
                      <w:szCs w:val="21"/>
                    </w:rPr>
                  </w:pPr>
                </w:p>
              </w:tc>
              <w:tc>
                <w:tcPr>
                  <w:tcW w:w="284" w:type="pct"/>
                  <w:tcBorders>
                    <w:right w:val="single" w:color="auto" w:sz="4" w:space="0"/>
                  </w:tcBorders>
                  <w:noWrap w:val="0"/>
                  <w:vAlign w:val="center"/>
                </w:tcPr>
                <w:p w14:paraId="61D74D27">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56</w:t>
                  </w:r>
                </w:p>
              </w:tc>
              <w:tc>
                <w:tcPr>
                  <w:tcW w:w="600" w:type="pct"/>
                  <w:tcBorders>
                    <w:left w:val="single" w:color="auto" w:sz="4" w:space="0"/>
                    <w:right w:val="single" w:color="auto" w:sz="4" w:space="0"/>
                  </w:tcBorders>
                  <w:noWrap w:val="0"/>
                  <w:vAlign w:val="center"/>
                </w:tcPr>
                <w:p w14:paraId="45D64A49">
                  <w:pPr>
                    <w:jc w:val="center"/>
                    <w:rPr>
                      <w:rFonts w:hint="default" w:ascii="Times New Roman" w:hAnsi="Times New Roman" w:cs="Times New Roman"/>
                      <w:color w:val="auto"/>
                      <w:szCs w:val="21"/>
                    </w:rPr>
                  </w:pPr>
                  <w:r>
                    <w:rPr>
                      <w:rFonts w:hint="default" w:ascii="Times New Roman" w:hAnsi="Times New Roman" w:cs="Times New Roman"/>
                      <w:color w:val="auto"/>
                      <w:szCs w:val="21"/>
                    </w:rPr>
                    <w:t>柏井洼</w:t>
                  </w:r>
                </w:p>
              </w:tc>
              <w:tc>
                <w:tcPr>
                  <w:tcW w:w="1687" w:type="pct"/>
                  <w:tcBorders>
                    <w:left w:val="single" w:color="auto" w:sz="4" w:space="0"/>
                  </w:tcBorders>
                  <w:noWrap w:val="0"/>
                  <w:vAlign w:val="center"/>
                </w:tcPr>
                <w:p w14:paraId="3B6B9948">
                  <w:pPr>
                    <w:jc w:val="center"/>
                    <w:rPr>
                      <w:rFonts w:hint="eastAsia" w:hAnsi="宋体" w:eastAsia="宋体"/>
                      <w:color w:val="auto"/>
                      <w:szCs w:val="21"/>
                      <w:lang w:eastAsia="zh-CN"/>
                    </w:rPr>
                  </w:pPr>
                  <w:r>
                    <w:rPr>
                      <w:rFonts w:hint="eastAsia" w:hAnsi="宋体"/>
                      <w:color w:val="auto"/>
                      <w:szCs w:val="21"/>
                      <w:lang w:eastAsia="zh-CN"/>
                    </w:rPr>
                    <w:t>（</w:t>
                  </w:r>
                  <w:r>
                    <w:rPr>
                      <w:rFonts w:hint="eastAsia" w:hAnsi="宋体"/>
                      <w:color w:val="auto"/>
                      <w:szCs w:val="21"/>
                      <w:lang w:val="en-US" w:eastAsia="zh-CN"/>
                    </w:rPr>
                    <w:t>116.888965,32.568709</w:t>
                  </w:r>
                  <w:r>
                    <w:rPr>
                      <w:rFonts w:hint="eastAsia" w:hAnsi="宋体"/>
                      <w:color w:val="auto"/>
                      <w:szCs w:val="21"/>
                      <w:lang w:eastAsia="zh-CN"/>
                    </w:rPr>
                    <w:t>）</w:t>
                  </w:r>
                </w:p>
              </w:tc>
              <w:tc>
                <w:tcPr>
                  <w:tcW w:w="482" w:type="pct"/>
                  <w:noWrap w:val="0"/>
                  <w:vAlign w:val="center"/>
                </w:tcPr>
                <w:p w14:paraId="0AE423E9">
                  <w:pPr>
                    <w:jc w:val="center"/>
                    <w:rPr>
                      <w:rFonts w:hint="default"/>
                      <w:color w:val="auto"/>
                      <w:szCs w:val="21"/>
                      <w:lang w:val="en-US" w:eastAsia="zh-CN"/>
                    </w:rPr>
                  </w:pPr>
                  <w:r>
                    <w:rPr>
                      <w:rFonts w:hint="eastAsia"/>
                      <w:color w:val="auto"/>
                      <w:szCs w:val="21"/>
                      <w:lang w:val="en-US" w:eastAsia="zh-CN"/>
                    </w:rPr>
                    <w:t>W</w:t>
                  </w:r>
                </w:p>
              </w:tc>
              <w:tc>
                <w:tcPr>
                  <w:tcW w:w="641" w:type="pct"/>
                  <w:noWrap w:val="0"/>
                  <w:vAlign w:val="center"/>
                </w:tcPr>
                <w:p w14:paraId="2D5DA9D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25</w:t>
                  </w:r>
                </w:p>
              </w:tc>
              <w:tc>
                <w:tcPr>
                  <w:tcW w:w="910" w:type="pct"/>
                  <w:noWrap w:val="0"/>
                  <w:vAlign w:val="center"/>
                </w:tcPr>
                <w:p w14:paraId="22AE87F5">
                  <w:pPr>
                    <w:adjustRightInd w:val="0"/>
                    <w:snapToGrid w:val="0"/>
                    <w:jc w:val="center"/>
                    <w:rPr>
                      <w:rFonts w:hint="default"/>
                      <w:color w:val="auto"/>
                      <w:szCs w:val="21"/>
                      <w:lang w:val="en-US" w:eastAsia="zh-CN"/>
                    </w:rPr>
                  </w:pPr>
                  <w:r>
                    <w:rPr>
                      <w:rFonts w:hint="eastAsia"/>
                      <w:color w:val="auto"/>
                      <w:szCs w:val="21"/>
                      <w:lang w:val="en-US" w:eastAsia="zh-CN"/>
                    </w:rPr>
                    <w:t>30人</w:t>
                  </w:r>
                </w:p>
              </w:tc>
            </w:tr>
            <w:tr w14:paraId="7F47DC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35AD155C">
                  <w:pPr>
                    <w:jc w:val="center"/>
                    <w:rPr>
                      <w:rFonts w:hint="eastAsia"/>
                      <w:color w:val="auto"/>
                      <w:szCs w:val="21"/>
                    </w:rPr>
                  </w:pPr>
                </w:p>
              </w:tc>
              <w:tc>
                <w:tcPr>
                  <w:tcW w:w="284" w:type="pct"/>
                  <w:tcBorders>
                    <w:right w:val="single" w:color="auto" w:sz="4" w:space="0"/>
                  </w:tcBorders>
                  <w:noWrap w:val="0"/>
                  <w:vAlign w:val="center"/>
                </w:tcPr>
                <w:p w14:paraId="3BFD053D">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57</w:t>
                  </w:r>
                </w:p>
              </w:tc>
              <w:tc>
                <w:tcPr>
                  <w:tcW w:w="600" w:type="pct"/>
                  <w:tcBorders>
                    <w:left w:val="single" w:color="auto" w:sz="4" w:space="0"/>
                    <w:right w:val="single" w:color="auto" w:sz="4" w:space="0"/>
                  </w:tcBorders>
                  <w:noWrap w:val="0"/>
                  <w:vAlign w:val="center"/>
                </w:tcPr>
                <w:p w14:paraId="3789FE0F">
                  <w:pPr>
                    <w:jc w:val="center"/>
                    <w:rPr>
                      <w:rFonts w:hint="default" w:ascii="Times New Roman" w:hAnsi="Times New Roman" w:cs="Times New Roman"/>
                      <w:color w:val="auto"/>
                      <w:szCs w:val="21"/>
                    </w:rPr>
                  </w:pPr>
                  <w:r>
                    <w:rPr>
                      <w:rFonts w:hint="default" w:ascii="Times New Roman" w:hAnsi="Times New Roman" w:cs="Times New Roman"/>
                      <w:color w:val="auto"/>
                      <w:szCs w:val="21"/>
                    </w:rPr>
                    <w:t>戚郢孜</w:t>
                  </w:r>
                </w:p>
              </w:tc>
              <w:tc>
                <w:tcPr>
                  <w:tcW w:w="1687" w:type="pct"/>
                  <w:tcBorders>
                    <w:left w:val="single" w:color="auto" w:sz="4" w:space="0"/>
                  </w:tcBorders>
                  <w:noWrap w:val="0"/>
                  <w:vAlign w:val="center"/>
                </w:tcPr>
                <w:p w14:paraId="57AE1CE2">
                  <w:pPr>
                    <w:jc w:val="center"/>
                    <w:rPr>
                      <w:rFonts w:hAnsi="宋体"/>
                      <w:color w:val="auto"/>
                      <w:szCs w:val="21"/>
                    </w:rPr>
                  </w:pPr>
                  <w:r>
                    <w:rPr>
                      <w:rFonts w:hint="eastAsia" w:hAnsi="宋体"/>
                      <w:color w:val="auto"/>
                      <w:szCs w:val="21"/>
                      <w:lang w:eastAsia="zh-CN"/>
                    </w:rPr>
                    <w:t>（</w:t>
                  </w:r>
                  <w:r>
                    <w:rPr>
                      <w:rFonts w:hint="eastAsia" w:hAnsi="宋体"/>
                      <w:color w:val="auto"/>
                      <w:szCs w:val="21"/>
                      <w:lang w:val="en-US" w:eastAsia="zh-CN"/>
                    </w:rPr>
                    <w:t>116.885183,32.563995</w:t>
                  </w:r>
                  <w:r>
                    <w:rPr>
                      <w:rFonts w:hint="eastAsia" w:hAnsi="宋体"/>
                      <w:color w:val="auto"/>
                      <w:szCs w:val="21"/>
                      <w:lang w:eastAsia="zh-CN"/>
                    </w:rPr>
                    <w:t>）</w:t>
                  </w:r>
                </w:p>
              </w:tc>
              <w:tc>
                <w:tcPr>
                  <w:tcW w:w="482" w:type="pct"/>
                  <w:noWrap w:val="0"/>
                  <w:vAlign w:val="center"/>
                </w:tcPr>
                <w:p w14:paraId="5F787F7D">
                  <w:pPr>
                    <w:jc w:val="center"/>
                    <w:rPr>
                      <w:rFonts w:hint="default"/>
                      <w:color w:val="auto"/>
                      <w:szCs w:val="21"/>
                      <w:lang w:val="en-US" w:eastAsia="zh-CN"/>
                    </w:rPr>
                  </w:pPr>
                  <w:r>
                    <w:rPr>
                      <w:rFonts w:hint="eastAsia"/>
                      <w:color w:val="auto"/>
                      <w:szCs w:val="21"/>
                      <w:lang w:val="en-US" w:eastAsia="zh-CN"/>
                    </w:rPr>
                    <w:t>S</w:t>
                  </w:r>
                </w:p>
              </w:tc>
              <w:tc>
                <w:tcPr>
                  <w:tcW w:w="641" w:type="pct"/>
                  <w:noWrap w:val="0"/>
                  <w:vAlign w:val="center"/>
                </w:tcPr>
                <w:p w14:paraId="5852790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552</w:t>
                  </w:r>
                </w:p>
              </w:tc>
              <w:tc>
                <w:tcPr>
                  <w:tcW w:w="910" w:type="pct"/>
                  <w:noWrap w:val="0"/>
                  <w:vAlign w:val="center"/>
                </w:tcPr>
                <w:p w14:paraId="46CAB1CD">
                  <w:pPr>
                    <w:adjustRightInd w:val="0"/>
                    <w:snapToGrid w:val="0"/>
                    <w:jc w:val="center"/>
                    <w:rPr>
                      <w:rFonts w:hint="eastAsia"/>
                      <w:color w:val="auto"/>
                      <w:szCs w:val="21"/>
                      <w:lang w:val="en-US" w:eastAsia="zh-CN"/>
                    </w:rPr>
                  </w:pPr>
                  <w:r>
                    <w:rPr>
                      <w:rFonts w:hint="eastAsia"/>
                      <w:color w:val="auto"/>
                      <w:szCs w:val="21"/>
                      <w:lang w:val="en-US" w:eastAsia="zh-CN"/>
                    </w:rPr>
                    <w:t>100人</w:t>
                  </w:r>
                </w:p>
              </w:tc>
            </w:tr>
            <w:tr w14:paraId="67D70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786F5D2B">
                  <w:pPr>
                    <w:jc w:val="center"/>
                    <w:rPr>
                      <w:rFonts w:hint="eastAsia"/>
                      <w:color w:val="auto"/>
                      <w:szCs w:val="21"/>
                    </w:rPr>
                  </w:pPr>
                </w:p>
              </w:tc>
              <w:tc>
                <w:tcPr>
                  <w:tcW w:w="284" w:type="pct"/>
                  <w:tcBorders>
                    <w:right w:val="single" w:color="auto" w:sz="4" w:space="0"/>
                  </w:tcBorders>
                  <w:noWrap w:val="0"/>
                  <w:vAlign w:val="center"/>
                </w:tcPr>
                <w:p w14:paraId="7800DFFD">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58</w:t>
                  </w:r>
                </w:p>
              </w:tc>
              <w:tc>
                <w:tcPr>
                  <w:tcW w:w="600" w:type="pct"/>
                  <w:tcBorders>
                    <w:left w:val="single" w:color="auto" w:sz="4" w:space="0"/>
                    <w:right w:val="single" w:color="auto" w:sz="4" w:space="0"/>
                  </w:tcBorders>
                  <w:noWrap w:val="0"/>
                  <w:vAlign w:val="center"/>
                </w:tcPr>
                <w:p w14:paraId="27C24143">
                  <w:pPr>
                    <w:jc w:val="center"/>
                    <w:rPr>
                      <w:rFonts w:hint="default" w:ascii="Times New Roman" w:hAnsi="Times New Roman" w:cs="Times New Roman"/>
                      <w:color w:val="auto"/>
                      <w:szCs w:val="21"/>
                    </w:rPr>
                  </w:pPr>
                  <w:r>
                    <w:rPr>
                      <w:rFonts w:hint="default" w:ascii="Times New Roman" w:hAnsi="Times New Roman" w:cs="Times New Roman"/>
                      <w:color w:val="auto"/>
                      <w:szCs w:val="21"/>
                    </w:rPr>
                    <w:t>九丫椿</w:t>
                  </w:r>
                </w:p>
              </w:tc>
              <w:tc>
                <w:tcPr>
                  <w:tcW w:w="1687" w:type="pct"/>
                  <w:tcBorders>
                    <w:left w:val="single" w:color="auto" w:sz="4" w:space="0"/>
                  </w:tcBorders>
                  <w:noWrap w:val="0"/>
                  <w:vAlign w:val="center"/>
                </w:tcPr>
                <w:p w14:paraId="74AE2805">
                  <w:pPr>
                    <w:jc w:val="center"/>
                    <w:rPr>
                      <w:rFonts w:hAnsi="宋体"/>
                      <w:color w:val="auto"/>
                      <w:szCs w:val="21"/>
                    </w:rPr>
                  </w:pPr>
                  <w:r>
                    <w:rPr>
                      <w:rFonts w:hint="eastAsia" w:hAnsi="宋体"/>
                      <w:color w:val="auto"/>
                      <w:szCs w:val="21"/>
                      <w:lang w:eastAsia="zh-CN"/>
                    </w:rPr>
                    <w:t>（</w:t>
                  </w:r>
                  <w:r>
                    <w:rPr>
                      <w:rFonts w:hint="eastAsia" w:hAnsi="宋体"/>
                      <w:color w:val="auto"/>
                      <w:szCs w:val="21"/>
                      <w:lang w:val="en-US" w:eastAsia="zh-CN"/>
                    </w:rPr>
                    <w:t>116.886578,32.562874</w:t>
                  </w:r>
                  <w:r>
                    <w:rPr>
                      <w:rFonts w:hint="eastAsia" w:hAnsi="宋体"/>
                      <w:color w:val="auto"/>
                      <w:szCs w:val="21"/>
                      <w:lang w:eastAsia="zh-CN"/>
                    </w:rPr>
                    <w:t>）</w:t>
                  </w:r>
                </w:p>
              </w:tc>
              <w:tc>
                <w:tcPr>
                  <w:tcW w:w="482" w:type="pct"/>
                  <w:noWrap w:val="0"/>
                  <w:vAlign w:val="center"/>
                </w:tcPr>
                <w:p w14:paraId="4314AC25">
                  <w:pPr>
                    <w:jc w:val="center"/>
                    <w:rPr>
                      <w:rFonts w:hint="default"/>
                      <w:color w:val="auto"/>
                      <w:szCs w:val="21"/>
                      <w:lang w:val="en-US" w:eastAsia="zh-CN"/>
                    </w:rPr>
                  </w:pPr>
                  <w:r>
                    <w:rPr>
                      <w:rFonts w:hint="eastAsia"/>
                      <w:color w:val="auto"/>
                      <w:szCs w:val="21"/>
                      <w:lang w:val="en-US" w:eastAsia="zh-CN"/>
                    </w:rPr>
                    <w:t>S</w:t>
                  </w:r>
                </w:p>
              </w:tc>
              <w:tc>
                <w:tcPr>
                  <w:tcW w:w="641" w:type="pct"/>
                  <w:noWrap w:val="0"/>
                  <w:vAlign w:val="center"/>
                </w:tcPr>
                <w:p w14:paraId="602C4751">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632</w:t>
                  </w:r>
                </w:p>
              </w:tc>
              <w:tc>
                <w:tcPr>
                  <w:tcW w:w="910" w:type="pct"/>
                  <w:noWrap w:val="0"/>
                  <w:vAlign w:val="center"/>
                </w:tcPr>
                <w:p w14:paraId="415DE673">
                  <w:pPr>
                    <w:adjustRightInd w:val="0"/>
                    <w:snapToGrid w:val="0"/>
                    <w:jc w:val="center"/>
                    <w:rPr>
                      <w:rFonts w:hint="eastAsia"/>
                      <w:color w:val="auto"/>
                      <w:szCs w:val="21"/>
                      <w:lang w:val="en-US" w:eastAsia="zh-CN"/>
                    </w:rPr>
                  </w:pPr>
                  <w:r>
                    <w:rPr>
                      <w:rFonts w:hint="eastAsia"/>
                      <w:color w:val="auto"/>
                      <w:szCs w:val="21"/>
                      <w:lang w:val="en-US" w:eastAsia="zh-CN"/>
                    </w:rPr>
                    <w:t>80人</w:t>
                  </w:r>
                </w:p>
              </w:tc>
            </w:tr>
            <w:tr w14:paraId="25B0BD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restart"/>
                  <w:noWrap w:val="0"/>
                  <w:vAlign w:val="center"/>
                </w:tcPr>
                <w:p w14:paraId="7BF027B8">
                  <w:pPr>
                    <w:adjustRightInd w:val="0"/>
                    <w:snapToGrid w:val="0"/>
                    <w:jc w:val="center"/>
                    <w:rPr>
                      <w:color w:val="auto"/>
                      <w:szCs w:val="21"/>
                    </w:rPr>
                  </w:pPr>
                  <w:r>
                    <w:rPr>
                      <w:color w:val="auto"/>
                      <w:szCs w:val="21"/>
                    </w:rPr>
                    <w:t>地表水</w:t>
                  </w:r>
                </w:p>
              </w:tc>
              <w:tc>
                <w:tcPr>
                  <w:tcW w:w="2572" w:type="pct"/>
                  <w:gridSpan w:val="3"/>
                  <w:noWrap w:val="0"/>
                  <w:vAlign w:val="center"/>
                </w:tcPr>
                <w:p w14:paraId="29F5CF16">
                  <w:pPr>
                    <w:adjustRightInd w:val="0"/>
                    <w:snapToGrid w:val="0"/>
                    <w:jc w:val="center"/>
                    <w:rPr>
                      <w:rFonts w:hint="default" w:eastAsia="宋体"/>
                      <w:color w:val="auto"/>
                      <w:szCs w:val="21"/>
                      <w:lang w:val="en-US" w:eastAsia="zh-CN"/>
                    </w:rPr>
                  </w:pPr>
                  <w:r>
                    <w:rPr>
                      <w:rFonts w:hint="eastAsia"/>
                      <w:color w:val="auto"/>
                      <w:szCs w:val="21"/>
                      <w:lang w:val="en-US" w:eastAsia="zh-CN"/>
                    </w:rPr>
                    <w:t>瓦埠湖</w:t>
                  </w:r>
                </w:p>
              </w:tc>
              <w:tc>
                <w:tcPr>
                  <w:tcW w:w="482" w:type="pct"/>
                  <w:noWrap w:val="0"/>
                  <w:vAlign w:val="center"/>
                </w:tcPr>
                <w:p w14:paraId="13098D41">
                  <w:pPr>
                    <w:adjustRightInd w:val="0"/>
                    <w:snapToGrid w:val="0"/>
                    <w:jc w:val="center"/>
                    <w:rPr>
                      <w:rFonts w:hint="default" w:eastAsia="宋体"/>
                      <w:color w:val="auto"/>
                      <w:szCs w:val="21"/>
                      <w:lang w:val="en-US" w:eastAsia="zh-CN"/>
                    </w:rPr>
                  </w:pPr>
                  <w:r>
                    <w:rPr>
                      <w:rFonts w:hint="eastAsia"/>
                      <w:color w:val="auto"/>
                      <w:szCs w:val="21"/>
                      <w:lang w:val="en-US" w:eastAsia="zh-CN"/>
                    </w:rPr>
                    <w:t>SW</w:t>
                  </w:r>
                </w:p>
              </w:tc>
              <w:tc>
                <w:tcPr>
                  <w:tcW w:w="641" w:type="pct"/>
                  <w:noWrap w:val="0"/>
                  <w:vAlign w:val="center"/>
                </w:tcPr>
                <w:p w14:paraId="44C9E12D">
                  <w:pPr>
                    <w:adjustRightInd w:val="0"/>
                    <w:snapToGrid w:val="0"/>
                    <w:jc w:val="center"/>
                    <w:rPr>
                      <w:rFonts w:hint="default"/>
                      <w:color w:val="auto"/>
                      <w:szCs w:val="21"/>
                      <w:lang w:val="en-US"/>
                    </w:rPr>
                  </w:pPr>
                  <w:r>
                    <w:rPr>
                      <w:rFonts w:hint="eastAsia"/>
                      <w:color w:val="auto"/>
                      <w:szCs w:val="21"/>
                      <w:lang w:val="en-US" w:eastAsia="zh-CN"/>
                    </w:rPr>
                    <w:t>3370</w:t>
                  </w:r>
                </w:p>
              </w:tc>
              <w:tc>
                <w:tcPr>
                  <w:tcW w:w="910" w:type="pct"/>
                  <w:noWrap w:val="0"/>
                  <w:vAlign w:val="center"/>
                </w:tcPr>
                <w:p w14:paraId="215661C0">
                  <w:pPr>
                    <w:adjustRightInd w:val="0"/>
                    <w:snapToGrid w:val="0"/>
                    <w:jc w:val="center"/>
                    <w:rPr>
                      <w:rFonts w:hint="default" w:eastAsia="宋体"/>
                      <w:color w:val="auto"/>
                      <w:szCs w:val="21"/>
                      <w:lang w:val="en-US" w:eastAsia="zh-CN"/>
                    </w:rPr>
                  </w:pPr>
                  <w:r>
                    <w:rPr>
                      <w:rFonts w:hint="eastAsia"/>
                      <w:color w:val="auto"/>
                      <w:szCs w:val="21"/>
                      <w:lang w:val="en-US" w:eastAsia="zh-CN"/>
                    </w:rPr>
                    <w:t>大型</w:t>
                  </w:r>
                </w:p>
              </w:tc>
            </w:tr>
            <w:tr w14:paraId="44F814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4224D65">
                  <w:pPr>
                    <w:adjustRightInd w:val="0"/>
                    <w:snapToGrid w:val="0"/>
                    <w:jc w:val="center"/>
                    <w:rPr>
                      <w:color w:val="auto"/>
                      <w:szCs w:val="21"/>
                    </w:rPr>
                  </w:pPr>
                </w:p>
              </w:tc>
              <w:tc>
                <w:tcPr>
                  <w:tcW w:w="2572" w:type="pct"/>
                  <w:gridSpan w:val="3"/>
                  <w:noWrap w:val="0"/>
                  <w:vAlign w:val="center"/>
                </w:tcPr>
                <w:p w14:paraId="74CAEF3E">
                  <w:pPr>
                    <w:adjustRightInd w:val="0"/>
                    <w:snapToGrid w:val="0"/>
                    <w:jc w:val="center"/>
                    <w:rPr>
                      <w:rFonts w:hint="eastAsia" w:eastAsia="宋体"/>
                      <w:color w:val="auto"/>
                      <w:szCs w:val="21"/>
                      <w:lang w:eastAsia="zh-CN"/>
                    </w:rPr>
                  </w:pPr>
                  <w:r>
                    <w:rPr>
                      <w:rFonts w:hint="eastAsia"/>
                      <w:color w:val="auto"/>
                      <w:szCs w:val="21"/>
                      <w:lang w:val="en-US" w:eastAsia="zh-CN"/>
                    </w:rPr>
                    <w:t>淮河</w:t>
                  </w:r>
                </w:p>
              </w:tc>
              <w:tc>
                <w:tcPr>
                  <w:tcW w:w="482" w:type="pct"/>
                  <w:noWrap w:val="0"/>
                  <w:vAlign w:val="center"/>
                </w:tcPr>
                <w:p w14:paraId="2BD2AC54">
                  <w:pPr>
                    <w:adjustRightInd w:val="0"/>
                    <w:snapToGrid w:val="0"/>
                    <w:jc w:val="center"/>
                    <w:rPr>
                      <w:rFonts w:hint="eastAsia"/>
                      <w:color w:val="auto"/>
                      <w:szCs w:val="21"/>
                    </w:rPr>
                  </w:pPr>
                  <w:r>
                    <w:rPr>
                      <w:rFonts w:hint="eastAsia"/>
                      <w:color w:val="auto"/>
                      <w:szCs w:val="21"/>
                    </w:rPr>
                    <w:t>E</w:t>
                  </w:r>
                </w:p>
              </w:tc>
              <w:tc>
                <w:tcPr>
                  <w:tcW w:w="641" w:type="pct"/>
                  <w:noWrap w:val="0"/>
                  <w:vAlign w:val="center"/>
                </w:tcPr>
                <w:p w14:paraId="49EECFDE">
                  <w:pPr>
                    <w:adjustRightInd w:val="0"/>
                    <w:snapToGrid w:val="0"/>
                    <w:jc w:val="center"/>
                    <w:rPr>
                      <w:rFonts w:hint="eastAsia"/>
                      <w:color w:val="auto"/>
                      <w:szCs w:val="21"/>
                    </w:rPr>
                  </w:pPr>
                  <w:r>
                    <w:rPr>
                      <w:rFonts w:hint="eastAsia"/>
                      <w:color w:val="auto"/>
                      <w:szCs w:val="21"/>
                      <w:lang w:val="en-US" w:eastAsia="zh-CN"/>
                    </w:rPr>
                    <w:t>7219</w:t>
                  </w:r>
                </w:p>
              </w:tc>
              <w:tc>
                <w:tcPr>
                  <w:tcW w:w="910" w:type="pct"/>
                  <w:noWrap w:val="0"/>
                  <w:vAlign w:val="center"/>
                </w:tcPr>
                <w:p w14:paraId="6337A7E6">
                  <w:pPr>
                    <w:adjustRightInd w:val="0"/>
                    <w:snapToGrid w:val="0"/>
                    <w:jc w:val="center"/>
                    <w:rPr>
                      <w:rFonts w:hint="eastAsia"/>
                      <w:color w:val="auto"/>
                      <w:szCs w:val="21"/>
                    </w:rPr>
                  </w:pPr>
                  <w:r>
                    <w:rPr>
                      <w:rFonts w:hint="eastAsia"/>
                      <w:color w:val="auto"/>
                      <w:szCs w:val="21"/>
                      <w:lang w:val="en-US" w:eastAsia="zh-CN"/>
                    </w:rPr>
                    <w:t>大</w:t>
                  </w:r>
                  <w:r>
                    <w:rPr>
                      <w:rFonts w:hint="eastAsia"/>
                      <w:color w:val="auto"/>
                      <w:szCs w:val="21"/>
                    </w:rPr>
                    <w:t>型</w:t>
                  </w:r>
                </w:p>
              </w:tc>
            </w:tr>
            <w:tr w14:paraId="263D50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25E94DCF">
                  <w:pPr>
                    <w:adjustRightInd w:val="0"/>
                    <w:snapToGrid w:val="0"/>
                    <w:jc w:val="center"/>
                    <w:rPr>
                      <w:color w:val="auto"/>
                      <w:szCs w:val="21"/>
                    </w:rPr>
                  </w:pPr>
                </w:p>
              </w:tc>
              <w:tc>
                <w:tcPr>
                  <w:tcW w:w="2572" w:type="pct"/>
                  <w:gridSpan w:val="3"/>
                  <w:noWrap w:val="0"/>
                  <w:vAlign w:val="center"/>
                </w:tcPr>
                <w:p w14:paraId="012B4963">
                  <w:pPr>
                    <w:adjustRightInd w:val="0"/>
                    <w:snapToGrid w:val="0"/>
                    <w:jc w:val="center"/>
                    <w:rPr>
                      <w:rFonts w:hint="default"/>
                      <w:color w:val="auto"/>
                      <w:szCs w:val="21"/>
                      <w:lang w:val="en-US" w:eastAsia="zh-CN"/>
                    </w:rPr>
                  </w:pPr>
                  <w:r>
                    <w:rPr>
                      <w:rFonts w:hint="eastAsia"/>
                      <w:color w:val="auto"/>
                      <w:szCs w:val="21"/>
                      <w:lang w:val="en-US" w:eastAsia="zh-CN"/>
                    </w:rPr>
                    <w:t>东淝河</w:t>
                  </w:r>
                </w:p>
              </w:tc>
              <w:tc>
                <w:tcPr>
                  <w:tcW w:w="482" w:type="pct"/>
                  <w:noWrap w:val="0"/>
                  <w:vAlign w:val="center"/>
                </w:tcPr>
                <w:p w14:paraId="73308198">
                  <w:pPr>
                    <w:adjustRightInd w:val="0"/>
                    <w:snapToGrid w:val="0"/>
                    <w:jc w:val="center"/>
                    <w:rPr>
                      <w:rFonts w:hint="eastAsia"/>
                      <w:color w:val="auto"/>
                      <w:szCs w:val="21"/>
                    </w:rPr>
                  </w:pPr>
                  <w:r>
                    <w:rPr>
                      <w:rFonts w:hint="eastAsia"/>
                      <w:color w:val="auto"/>
                      <w:szCs w:val="21"/>
                      <w:lang w:val="en-US" w:eastAsia="zh-CN"/>
                    </w:rPr>
                    <w:t>SW</w:t>
                  </w:r>
                </w:p>
              </w:tc>
              <w:tc>
                <w:tcPr>
                  <w:tcW w:w="641" w:type="pct"/>
                  <w:noWrap w:val="0"/>
                  <w:vAlign w:val="center"/>
                </w:tcPr>
                <w:p w14:paraId="57CDF218">
                  <w:pPr>
                    <w:adjustRightInd w:val="0"/>
                    <w:snapToGrid w:val="0"/>
                    <w:jc w:val="center"/>
                    <w:rPr>
                      <w:rFonts w:hint="default" w:eastAsia="宋体"/>
                      <w:color w:val="auto"/>
                      <w:szCs w:val="21"/>
                      <w:lang w:val="en-US" w:eastAsia="zh-CN"/>
                    </w:rPr>
                  </w:pPr>
                  <w:r>
                    <w:rPr>
                      <w:rFonts w:hint="eastAsia"/>
                      <w:color w:val="auto"/>
                      <w:szCs w:val="21"/>
                      <w:lang w:val="en-US" w:eastAsia="zh-CN"/>
                    </w:rPr>
                    <w:t>4368</w:t>
                  </w:r>
                </w:p>
              </w:tc>
              <w:tc>
                <w:tcPr>
                  <w:tcW w:w="910" w:type="pct"/>
                  <w:noWrap w:val="0"/>
                  <w:vAlign w:val="center"/>
                </w:tcPr>
                <w:p w14:paraId="7D70624F">
                  <w:pPr>
                    <w:adjustRightInd w:val="0"/>
                    <w:snapToGrid w:val="0"/>
                    <w:jc w:val="center"/>
                    <w:rPr>
                      <w:rFonts w:hint="default"/>
                      <w:color w:val="auto"/>
                      <w:szCs w:val="21"/>
                      <w:lang w:val="en-US" w:eastAsia="zh-CN"/>
                    </w:rPr>
                  </w:pPr>
                  <w:r>
                    <w:rPr>
                      <w:rFonts w:hint="eastAsia"/>
                      <w:color w:val="auto"/>
                      <w:szCs w:val="21"/>
                      <w:lang w:val="en-US" w:eastAsia="zh-CN"/>
                    </w:rPr>
                    <w:t>小型</w:t>
                  </w:r>
                </w:p>
              </w:tc>
            </w:tr>
            <w:tr w14:paraId="4951E0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1A4139F3">
                  <w:pPr>
                    <w:adjustRightInd w:val="0"/>
                    <w:snapToGrid w:val="0"/>
                    <w:jc w:val="center"/>
                    <w:rPr>
                      <w:color w:val="auto"/>
                      <w:szCs w:val="21"/>
                    </w:rPr>
                  </w:pPr>
                </w:p>
              </w:tc>
              <w:tc>
                <w:tcPr>
                  <w:tcW w:w="2572" w:type="pct"/>
                  <w:gridSpan w:val="3"/>
                  <w:noWrap w:val="0"/>
                  <w:vAlign w:val="center"/>
                </w:tcPr>
                <w:p w14:paraId="4AB350BF">
                  <w:pPr>
                    <w:adjustRightInd w:val="0"/>
                    <w:snapToGrid w:val="0"/>
                    <w:jc w:val="center"/>
                    <w:rPr>
                      <w:rFonts w:hint="default"/>
                      <w:color w:val="auto"/>
                      <w:szCs w:val="21"/>
                      <w:lang w:val="en-US" w:eastAsia="zh-CN"/>
                    </w:rPr>
                  </w:pPr>
                  <w:r>
                    <w:rPr>
                      <w:rFonts w:hint="eastAsia"/>
                      <w:color w:val="auto"/>
                      <w:szCs w:val="21"/>
                      <w:lang w:val="en-US" w:eastAsia="zh-CN"/>
                    </w:rPr>
                    <w:t>许家水库</w:t>
                  </w:r>
                </w:p>
              </w:tc>
              <w:tc>
                <w:tcPr>
                  <w:tcW w:w="482" w:type="pct"/>
                  <w:noWrap w:val="0"/>
                  <w:vAlign w:val="center"/>
                </w:tcPr>
                <w:p w14:paraId="2A1B67A7">
                  <w:pPr>
                    <w:adjustRightInd w:val="0"/>
                    <w:snapToGrid w:val="0"/>
                    <w:jc w:val="center"/>
                    <w:rPr>
                      <w:rFonts w:hint="default"/>
                      <w:color w:val="auto"/>
                      <w:szCs w:val="21"/>
                      <w:lang w:val="en-US" w:eastAsia="zh-CN"/>
                    </w:rPr>
                  </w:pPr>
                  <w:r>
                    <w:rPr>
                      <w:rFonts w:hint="eastAsia"/>
                      <w:color w:val="auto"/>
                      <w:szCs w:val="21"/>
                      <w:lang w:val="en-US" w:eastAsia="zh-CN"/>
                    </w:rPr>
                    <w:t>E</w:t>
                  </w:r>
                </w:p>
              </w:tc>
              <w:tc>
                <w:tcPr>
                  <w:tcW w:w="641" w:type="pct"/>
                  <w:noWrap w:val="0"/>
                  <w:vAlign w:val="center"/>
                </w:tcPr>
                <w:p w14:paraId="57ACE437">
                  <w:pPr>
                    <w:adjustRightInd w:val="0"/>
                    <w:snapToGrid w:val="0"/>
                    <w:jc w:val="center"/>
                    <w:rPr>
                      <w:rFonts w:hint="default"/>
                      <w:color w:val="auto"/>
                      <w:szCs w:val="21"/>
                      <w:lang w:val="en-US" w:eastAsia="zh-CN"/>
                    </w:rPr>
                  </w:pPr>
                  <w:r>
                    <w:rPr>
                      <w:rFonts w:hint="eastAsia"/>
                      <w:color w:val="auto"/>
                      <w:szCs w:val="21"/>
                      <w:lang w:val="en-US" w:eastAsia="zh-CN"/>
                    </w:rPr>
                    <w:t>3378</w:t>
                  </w:r>
                </w:p>
              </w:tc>
              <w:tc>
                <w:tcPr>
                  <w:tcW w:w="910" w:type="pct"/>
                  <w:noWrap w:val="0"/>
                  <w:vAlign w:val="center"/>
                </w:tcPr>
                <w:p w14:paraId="2EC0373D">
                  <w:pPr>
                    <w:adjustRightInd w:val="0"/>
                    <w:snapToGrid w:val="0"/>
                    <w:jc w:val="center"/>
                    <w:rPr>
                      <w:rFonts w:hint="default"/>
                      <w:color w:val="auto"/>
                      <w:szCs w:val="21"/>
                      <w:lang w:val="en-US" w:eastAsia="zh-CN"/>
                    </w:rPr>
                  </w:pPr>
                  <w:r>
                    <w:rPr>
                      <w:rFonts w:hint="eastAsia"/>
                      <w:color w:val="auto"/>
                      <w:szCs w:val="21"/>
                      <w:lang w:val="en-US" w:eastAsia="zh-CN"/>
                    </w:rPr>
                    <w:t>/</w:t>
                  </w:r>
                </w:p>
              </w:tc>
            </w:tr>
            <w:tr w14:paraId="06EC9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vMerge w:val="continue"/>
                  <w:noWrap w:val="0"/>
                  <w:vAlign w:val="center"/>
                </w:tcPr>
                <w:p w14:paraId="4ED0E2E1">
                  <w:pPr>
                    <w:adjustRightInd w:val="0"/>
                    <w:snapToGrid w:val="0"/>
                    <w:jc w:val="center"/>
                    <w:rPr>
                      <w:color w:val="auto"/>
                      <w:szCs w:val="21"/>
                    </w:rPr>
                  </w:pPr>
                </w:p>
              </w:tc>
              <w:tc>
                <w:tcPr>
                  <w:tcW w:w="2572" w:type="pct"/>
                  <w:gridSpan w:val="3"/>
                  <w:noWrap w:val="0"/>
                  <w:vAlign w:val="center"/>
                </w:tcPr>
                <w:p w14:paraId="490869F6">
                  <w:pPr>
                    <w:adjustRightInd w:val="0"/>
                    <w:snapToGrid w:val="0"/>
                    <w:jc w:val="center"/>
                    <w:rPr>
                      <w:rFonts w:hint="default"/>
                      <w:color w:val="auto"/>
                      <w:szCs w:val="21"/>
                      <w:lang w:val="en-US" w:eastAsia="zh-CN"/>
                    </w:rPr>
                  </w:pPr>
                  <w:r>
                    <w:rPr>
                      <w:rFonts w:hint="eastAsia"/>
                      <w:color w:val="auto"/>
                      <w:szCs w:val="21"/>
                      <w:lang w:val="en-US" w:eastAsia="zh-CN"/>
                    </w:rPr>
                    <w:t>新河泄洪沟</w:t>
                  </w:r>
                </w:p>
              </w:tc>
              <w:tc>
                <w:tcPr>
                  <w:tcW w:w="482" w:type="pct"/>
                  <w:noWrap w:val="0"/>
                  <w:vAlign w:val="center"/>
                </w:tcPr>
                <w:p w14:paraId="08F996CD">
                  <w:pPr>
                    <w:adjustRightInd w:val="0"/>
                    <w:snapToGrid w:val="0"/>
                    <w:jc w:val="center"/>
                    <w:rPr>
                      <w:rFonts w:hint="default"/>
                      <w:color w:val="auto"/>
                      <w:szCs w:val="21"/>
                      <w:lang w:val="en-US" w:eastAsia="zh-CN"/>
                    </w:rPr>
                  </w:pPr>
                  <w:r>
                    <w:rPr>
                      <w:rFonts w:hint="eastAsia"/>
                      <w:color w:val="auto"/>
                      <w:szCs w:val="21"/>
                      <w:lang w:val="en-US" w:eastAsia="zh-CN"/>
                    </w:rPr>
                    <w:t>W</w:t>
                  </w:r>
                </w:p>
              </w:tc>
              <w:tc>
                <w:tcPr>
                  <w:tcW w:w="641" w:type="pct"/>
                  <w:noWrap w:val="0"/>
                  <w:vAlign w:val="center"/>
                </w:tcPr>
                <w:p w14:paraId="5350B859">
                  <w:pPr>
                    <w:adjustRightInd w:val="0"/>
                    <w:snapToGrid w:val="0"/>
                    <w:jc w:val="center"/>
                    <w:rPr>
                      <w:rFonts w:hint="default"/>
                      <w:color w:val="auto"/>
                      <w:szCs w:val="21"/>
                      <w:lang w:val="en-US" w:eastAsia="zh-CN"/>
                    </w:rPr>
                  </w:pPr>
                  <w:r>
                    <w:rPr>
                      <w:rFonts w:hint="eastAsia"/>
                      <w:color w:val="auto"/>
                      <w:szCs w:val="21"/>
                      <w:lang w:val="en-US" w:eastAsia="zh-CN"/>
                    </w:rPr>
                    <w:t>380</w:t>
                  </w:r>
                </w:p>
              </w:tc>
              <w:tc>
                <w:tcPr>
                  <w:tcW w:w="910" w:type="pct"/>
                  <w:noWrap w:val="0"/>
                  <w:vAlign w:val="center"/>
                </w:tcPr>
                <w:p w14:paraId="5EE308E9">
                  <w:pPr>
                    <w:adjustRightInd w:val="0"/>
                    <w:snapToGrid w:val="0"/>
                    <w:jc w:val="center"/>
                    <w:rPr>
                      <w:rFonts w:hint="default"/>
                      <w:color w:val="auto"/>
                      <w:szCs w:val="21"/>
                      <w:lang w:val="en-US" w:eastAsia="zh-CN"/>
                    </w:rPr>
                  </w:pPr>
                  <w:r>
                    <w:rPr>
                      <w:rFonts w:hint="eastAsia"/>
                      <w:color w:val="auto"/>
                      <w:szCs w:val="21"/>
                      <w:lang w:val="en-US" w:eastAsia="zh-CN"/>
                    </w:rPr>
                    <w:t>/</w:t>
                  </w:r>
                </w:p>
              </w:tc>
            </w:tr>
            <w:tr w14:paraId="51CE20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393" w:type="pct"/>
                  <w:noWrap w:val="0"/>
                  <w:vAlign w:val="center"/>
                </w:tcPr>
                <w:p w14:paraId="35D6BCA4">
                  <w:pPr>
                    <w:adjustRightInd w:val="0"/>
                    <w:snapToGrid w:val="0"/>
                    <w:jc w:val="center"/>
                    <w:rPr>
                      <w:color w:val="auto"/>
                      <w:szCs w:val="21"/>
                    </w:rPr>
                  </w:pPr>
                  <w:r>
                    <w:rPr>
                      <w:rFonts w:hint="eastAsia"/>
                      <w:color w:val="auto"/>
                      <w:szCs w:val="21"/>
                    </w:rPr>
                    <w:t>地下水</w:t>
                  </w:r>
                </w:p>
              </w:tc>
              <w:tc>
                <w:tcPr>
                  <w:tcW w:w="2572" w:type="pct"/>
                  <w:gridSpan w:val="3"/>
                  <w:noWrap w:val="0"/>
                  <w:vAlign w:val="center"/>
                </w:tcPr>
                <w:p w14:paraId="405EF92F">
                  <w:pPr>
                    <w:adjustRightInd w:val="0"/>
                    <w:snapToGrid w:val="0"/>
                    <w:jc w:val="center"/>
                    <w:rPr>
                      <w:color w:val="auto"/>
                      <w:szCs w:val="21"/>
                    </w:rPr>
                  </w:pPr>
                  <w:r>
                    <w:rPr>
                      <w:rFonts w:hint="eastAsia"/>
                      <w:color w:val="auto"/>
                      <w:szCs w:val="21"/>
                    </w:rPr>
                    <w:t>项目周边6km</w:t>
                  </w:r>
                  <w:r>
                    <w:rPr>
                      <w:rFonts w:hint="eastAsia"/>
                      <w:color w:val="auto"/>
                      <w:szCs w:val="21"/>
                      <w:vertAlign w:val="superscript"/>
                    </w:rPr>
                    <w:t>2</w:t>
                  </w:r>
                </w:p>
              </w:tc>
              <w:tc>
                <w:tcPr>
                  <w:tcW w:w="482" w:type="pct"/>
                  <w:noWrap w:val="0"/>
                  <w:vAlign w:val="center"/>
                </w:tcPr>
                <w:p w14:paraId="2ED6DEDA">
                  <w:pPr>
                    <w:adjustRightInd w:val="0"/>
                    <w:snapToGrid w:val="0"/>
                    <w:jc w:val="center"/>
                    <w:rPr>
                      <w:color w:val="auto"/>
                      <w:szCs w:val="21"/>
                    </w:rPr>
                  </w:pPr>
                  <w:r>
                    <w:rPr>
                      <w:rFonts w:hint="eastAsia"/>
                      <w:color w:val="auto"/>
                      <w:szCs w:val="21"/>
                    </w:rPr>
                    <w:t>/</w:t>
                  </w:r>
                </w:p>
              </w:tc>
              <w:tc>
                <w:tcPr>
                  <w:tcW w:w="641" w:type="pct"/>
                  <w:noWrap w:val="0"/>
                  <w:vAlign w:val="center"/>
                </w:tcPr>
                <w:p w14:paraId="1549E923">
                  <w:pPr>
                    <w:adjustRightInd w:val="0"/>
                    <w:snapToGrid w:val="0"/>
                    <w:jc w:val="center"/>
                    <w:rPr>
                      <w:color w:val="auto"/>
                      <w:szCs w:val="21"/>
                    </w:rPr>
                  </w:pPr>
                  <w:r>
                    <w:rPr>
                      <w:rFonts w:hint="eastAsia"/>
                      <w:color w:val="auto"/>
                      <w:szCs w:val="21"/>
                    </w:rPr>
                    <w:t>/</w:t>
                  </w:r>
                </w:p>
              </w:tc>
              <w:tc>
                <w:tcPr>
                  <w:tcW w:w="910" w:type="pct"/>
                  <w:noWrap w:val="0"/>
                  <w:vAlign w:val="center"/>
                </w:tcPr>
                <w:p w14:paraId="2315CB45">
                  <w:pPr>
                    <w:adjustRightInd w:val="0"/>
                    <w:snapToGrid w:val="0"/>
                    <w:jc w:val="center"/>
                    <w:rPr>
                      <w:color w:val="auto"/>
                      <w:szCs w:val="21"/>
                    </w:rPr>
                  </w:pPr>
                  <w:r>
                    <w:rPr>
                      <w:rFonts w:hint="eastAsia"/>
                      <w:color w:val="auto"/>
                      <w:szCs w:val="21"/>
                    </w:rPr>
                    <w:t>/</w:t>
                  </w:r>
                </w:p>
              </w:tc>
            </w:tr>
          </w:tbl>
          <w:p w14:paraId="1244AF72">
            <w:pPr>
              <w:pStyle w:val="139"/>
              <w:ind w:firstLine="420"/>
              <w:jc w:val="left"/>
              <w:rPr>
                <w:rFonts w:hint="eastAsia"/>
                <w:color w:val="auto"/>
                <w:sz w:val="21"/>
                <w:szCs w:val="21"/>
              </w:rPr>
            </w:pPr>
            <w:r>
              <w:rPr>
                <w:color w:val="auto"/>
                <w:sz w:val="21"/>
                <w:szCs w:val="21"/>
              </w:rPr>
              <w:t>（</w:t>
            </w:r>
            <w:r>
              <w:rPr>
                <w:rFonts w:hint="eastAsia"/>
                <w:color w:val="auto"/>
                <w:sz w:val="21"/>
                <w:szCs w:val="21"/>
              </w:rPr>
              <w:t>3</w:t>
            </w:r>
            <w:r>
              <w:rPr>
                <w:color w:val="auto"/>
                <w:sz w:val="21"/>
                <w:szCs w:val="21"/>
              </w:rPr>
              <w:t>）环境程度分级</w:t>
            </w:r>
          </w:p>
          <w:p w14:paraId="08D0B852">
            <w:pPr>
              <w:spacing w:line="360" w:lineRule="auto"/>
              <w:ind w:firstLine="420" w:firstLineChars="200"/>
              <w:rPr>
                <w:rFonts w:hint="eastAsia"/>
                <w:color w:val="auto"/>
                <w:szCs w:val="21"/>
              </w:rPr>
            </w:pPr>
            <w:r>
              <w:rPr>
                <w:rFonts w:hint="eastAsia"/>
                <w:color w:val="auto"/>
                <w:szCs w:val="21"/>
              </w:rPr>
              <w:t>分析危险物质在事故情形下的环境影响途径，分大气、地表水、地下水等，按照附录D对建设项目各要素环境敏感程度（E）等级进行判断。</w:t>
            </w:r>
          </w:p>
          <w:p w14:paraId="4EB2B634">
            <w:pPr>
              <w:spacing w:line="360" w:lineRule="auto"/>
              <w:ind w:firstLine="420" w:firstLineChars="200"/>
              <w:rPr>
                <w:rFonts w:hint="eastAsia"/>
                <w:color w:val="auto"/>
                <w:szCs w:val="21"/>
              </w:rPr>
            </w:pPr>
            <w:r>
              <w:rPr>
                <w:rFonts w:hint="eastAsia"/>
                <w:color w:val="auto"/>
                <w:szCs w:val="21"/>
              </w:rPr>
              <w:t>1）大气环境敏感程度</w:t>
            </w:r>
          </w:p>
          <w:p w14:paraId="44D52715">
            <w:pPr>
              <w:spacing w:line="360" w:lineRule="auto"/>
              <w:ind w:firstLine="420" w:firstLineChars="200"/>
              <w:rPr>
                <w:rFonts w:hint="eastAsia"/>
                <w:color w:val="auto"/>
                <w:szCs w:val="21"/>
              </w:rPr>
            </w:pPr>
            <w:r>
              <w:rPr>
                <w:rFonts w:hint="eastAsia"/>
                <w:color w:val="auto"/>
                <w:szCs w:val="21"/>
              </w:rPr>
              <w:t>依据环境敏感目标环境敏感性及人口密度化粪环境风险受体的敏感性，共分为三种类型，E1为 环境高度敏感区，E2为环境中度敏感区，E3为环境低度敏感区，分区原则见下表：</w:t>
            </w:r>
          </w:p>
          <w:p w14:paraId="2016AC20">
            <w:pPr>
              <w:widowControl/>
              <w:spacing w:line="360" w:lineRule="auto"/>
              <w:ind w:firstLine="422" w:firstLineChars="200"/>
              <w:jc w:val="center"/>
              <w:rPr>
                <w:rFonts w:hAnsi="宋体"/>
                <w:b/>
                <w:color w:val="auto"/>
                <w:kern w:val="0"/>
                <w:szCs w:val="21"/>
              </w:rPr>
            </w:pPr>
            <w:r>
              <w:rPr>
                <w:rFonts w:hint="eastAsia" w:hAnsi="宋体"/>
                <w:b/>
                <w:color w:val="auto"/>
                <w:kern w:val="0"/>
                <w:szCs w:val="21"/>
              </w:rPr>
              <w:t>表7-3 大气环境敏感程度分级</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481"/>
            </w:tblGrid>
            <w:tr w14:paraId="623F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32" w:type="pct"/>
                  <w:noWrap w:val="0"/>
                  <w:vAlign w:val="center"/>
                </w:tcPr>
                <w:p w14:paraId="67E0818D">
                  <w:pPr>
                    <w:snapToGrid w:val="0"/>
                    <w:jc w:val="center"/>
                    <w:rPr>
                      <w:b/>
                      <w:color w:val="auto"/>
                      <w:szCs w:val="21"/>
                    </w:rPr>
                  </w:pPr>
                  <w:r>
                    <w:rPr>
                      <w:rFonts w:hint="eastAsia"/>
                      <w:b/>
                      <w:color w:val="auto"/>
                      <w:szCs w:val="21"/>
                    </w:rPr>
                    <w:t>分级</w:t>
                  </w:r>
                </w:p>
              </w:tc>
              <w:tc>
                <w:tcPr>
                  <w:tcW w:w="3668" w:type="pct"/>
                  <w:noWrap w:val="0"/>
                  <w:vAlign w:val="center"/>
                </w:tcPr>
                <w:p w14:paraId="489491DF">
                  <w:pPr>
                    <w:snapToGrid w:val="0"/>
                    <w:jc w:val="center"/>
                    <w:rPr>
                      <w:b/>
                      <w:color w:val="auto"/>
                      <w:szCs w:val="21"/>
                    </w:rPr>
                  </w:pPr>
                  <w:r>
                    <w:rPr>
                      <w:rFonts w:hint="eastAsia"/>
                      <w:b/>
                      <w:color w:val="auto"/>
                      <w:szCs w:val="21"/>
                    </w:rPr>
                    <w:t>大气环境敏感性</w:t>
                  </w:r>
                </w:p>
              </w:tc>
            </w:tr>
            <w:tr w14:paraId="22F3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32" w:type="pct"/>
                  <w:noWrap w:val="0"/>
                  <w:vAlign w:val="center"/>
                </w:tcPr>
                <w:p w14:paraId="2EBEB728">
                  <w:pPr>
                    <w:snapToGrid w:val="0"/>
                    <w:jc w:val="center"/>
                    <w:rPr>
                      <w:color w:val="auto"/>
                      <w:szCs w:val="21"/>
                    </w:rPr>
                  </w:pPr>
                  <w:r>
                    <w:rPr>
                      <w:rFonts w:hint="eastAsia"/>
                      <w:color w:val="auto"/>
                      <w:szCs w:val="21"/>
                    </w:rPr>
                    <w:t>环境高度敏感区（E1）</w:t>
                  </w:r>
                </w:p>
              </w:tc>
              <w:tc>
                <w:tcPr>
                  <w:tcW w:w="3668" w:type="pct"/>
                  <w:noWrap w:val="0"/>
                  <w:vAlign w:val="center"/>
                </w:tcPr>
                <w:p w14:paraId="460D955D">
                  <w:pPr>
                    <w:snapToGrid w:val="0"/>
                    <w:jc w:val="center"/>
                    <w:rPr>
                      <w:color w:val="auto"/>
                      <w:szCs w:val="21"/>
                    </w:rPr>
                  </w:pPr>
                  <w:r>
                    <w:rPr>
                      <w:rFonts w:hint="eastAsia"/>
                      <w:color w:val="auto"/>
                      <w:szCs w:val="21"/>
                    </w:rPr>
                    <w:t>周边5km范围内居住区、医疗卫生、文化教育、可研、行政办公等机构人口总数大于5万人；或其他需要特殊保护区域；或周边500m范围人口总数大于1000人，油气、化学品输送管线管段周边200m范围内，每千米管段人口数大于200人</w:t>
                  </w:r>
                </w:p>
              </w:tc>
            </w:tr>
            <w:tr w14:paraId="5C16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32" w:type="pct"/>
                  <w:noWrap w:val="0"/>
                  <w:vAlign w:val="center"/>
                </w:tcPr>
                <w:p w14:paraId="35D21BFD">
                  <w:pPr>
                    <w:snapToGrid w:val="0"/>
                    <w:jc w:val="center"/>
                    <w:rPr>
                      <w:color w:val="auto"/>
                      <w:szCs w:val="21"/>
                    </w:rPr>
                  </w:pPr>
                  <w:r>
                    <w:rPr>
                      <w:rFonts w:hint="eastAsia"/>
                      <w:color w:val="auto"/>
                      <w:szCs w:val="21"/>
                    </w:rPr>
                    <w:t>环境中度敏感区（E2）</w:t>
                  </w:r>
                </w:p>
              </w:tc>
              <w:tc>
                <w:tcPr>
                  <w:tcW w:w="3668" w:type="pct"/>
                  <w:noWrap w:val="0"/>
                  <w:vAlign w:val="center"/>
                </w:tcPr>
                <w:p w14:paraId="57F60A87">
                  <w:pPr>
                    <w:snapToGrid w:val="0"/>
                    <w:jc w:val="center"/>
                    <w:rPr>
                      <w:color w:val="auto"/>
                      <w:szCs w:val="21"/>
                    </w:rPr>
                  </w:pPr>
                  <w:r>
                    <w:rPr>
                      <w:rFonts w:hint="eastAsia"/>
                      <w:color w:val="auto"/>
                      <w:szCs w:val="21"/>
                    </w:rPr>
                    <w:t>周边5km范围内居住区、医疗卫生、文化教育、可研、行政办公等机构人口总数大于1万人；或周边500m范围人口总数大于500人，油气、化学品输送管线管段周边200m范围内，每千米管段人口数大于100人，小于200人</w:t>
                  </w:r>
                </w:p>
              </w:tc>
            </w:tr>
            <w:tr w14:paraId="745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32" w:type="pct"/>
                  <w:noWrap w:val="0"/>
                  <w:vAlign w:val="center"/>
                </w:tcPr>
                <w:p w14:paraId="1C997B6F">
                  <w:pPr>
                    <w:snapToGrid w:val="0"/>
                    <w:jc w:val="center"/>
                    <w:rPr>
                      <w:color w:val="auto"/>
                      <w:szCs w:val="21"/>
                    </w:rPr>
                  </w:pPr>
                  <w:r>
                    <w:rPr>
                      <w:rFonts w:hint="eastAsia"/>
                      <w:color w:val="auto"/>
                      <w:szCs w:val="21"/>
                    </w:rPr>
                    <w:t>环境低度敏感区（E3）</w:t>
                  </w:r>
                </w:p>
              </w:tc>
              <w:tc>
                <w:tcPr>
                  <w:tcW w:w="3668" w:type="pct"/>
                  <w:noWrap w:val="0"/>
                  <w:vAlign w:val="center"/>
                </w:tcPr>
                <w:p w14:paraId="4A3EFD39">
                  <w:pPr>
                    <w:snapToGrid w:val="0"/>
                    <w:jc w:val="center"/>
                    <w:rPr>
                      <w:color w:val="auto"/>
                      <w:szCs w:val="21"/>
                    </w:rPr>
                  </w:pPr>
                  <w:r>
                    <w:rPr>
                      <w:rFonts w:hint="eastAsia"/>
                      <w:color w:val="auto"/>
                      <w:szCs w:val="21"/>
                    </w:rPr>
                    <w:t>周边5km范围内居住区、医疗卫生、文化教育、可研、行政办公等机构人口总数小于1万人；或周边500m范围人口总数小于500人，油气、化学品输送管线管段周边200m范围内，每千米管段人口数小于100人</w:t>
                  </w:r>
                </w:p>
              </w:tc>
            </w:tr>
          </w:tbl>
          <w:p w14:paraId="2C8BCF1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根据本项目五公里占地范围内行政区划，包含</w:t>
            </w:r>
            <w:r>
              <w:rPr>
                <w:rFonts w:hint="default" w:ascii="Times New Roman" w:hAnsi="Times New Roman" w:eastAsia="宋体" w:cs="Times New Roman"/>
                <w:color w:val="auto"/>
                <w:szCs w:val="21"/>
                <w:lang w:val="en-US" w:eastAsia="zh-CN"/>
              </w:rPr>
              <w:t>谢家集区李郢孜镇、孤堆回族乡及唐山镇</w:t>
            </w:r>
            <w:r>
              <w:rPr>
                <w:rFonts w:hint="default" w:ascii="Times New Roman" w:hAnsi="Times New Roman" w:eastAsia="宋体" w:cs="Times New Roman"/>
                <w:color w:val="auto"/>
                <w:szCs w:val="21"/>
                <w:shd w:val="clear" w:color="auto" w:fill="FFFFFF"/>
              </w:rPr>
              <w:t>，</w:t>
            </w:r>
            <w:r>
              <w:rPr>
                <w:rFonts w:hint="default" w:ascii="Times New Roman" w:hAnsi="Times New Roman" w:eastAsia="宋体" w:cs="Times New Roman"/>
                <w:color w:val="auto"/>
                <w:szCs w:val="21"/>
              </w:rPr>
              <w:t>本项目周边5公里人口总数为</w:t>
            </w:r>
            <w:r>
              <w:rPr>
                <w:rFonts w:hint="default"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lang w:val="en-US" w:eastAsia="zh-CN"/>
              </w:rPr>
              <w:t>7106</w:t>
            </w:r>
            <w:r>
              <w:rPr>
                <w:rFonts w:hint="default" w:ascii="Times New Roman" w:hAnsi="Times New Roman" w:eastAsia="宋体" w:cs="Times New Roman"/>
                <w:color w:val="auto"/>
                <w:szCs w:val="21"/>
              </w:rPr>
              <w:t>人，同时本项目厂界现状周边五百米范围内经统计</w:t>
            </w:r>
            <w:r>
              <w:rPr>
                <w:rFonts w:hint="default" w:ascii="Times New Roman" w:hAnsi="Times New Roman" w:eastAsia="宋体" w:cs="Times New Roman"/>
                <w:color w:val="auto"/>
                <w:szCs w:val="21"/>
                <w:lang w:val="en-US" w:eastAsia="zh-CN"/>
              </w:rPr>
              <w:t>大于1000人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大气环境程度为“中度敏感区E</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w:t>
            </w:r>
          </w:p>
          <w:p w14:paraId="1C144847">
            <w:pPr>
              <w:spacing w:line="360" w:lineRule="auto"/>
              <w:ind w:firstLine="420" w:firstLineChars="200"/>
              <w:rPr>
                <w:rFonts w:hint="eastAsia"/>
                <w:color w:val="auto"/>
                <w:szCs w:val="21"/>
              </w:rPr>
            </w:pPr>
            <w:r>
              <w:rPr>
                <w:rFonts w:hint="eastAsia"/>
                <w:color w:val="auto"/>
                <w:szCs w:val="21"/>
              </w:rPr>
              <w:t>2）地表水环境敏感程度</w:t>
            </w:r>
          </w:p>
          <w:p w14:paraId="54CE09FD">
            <w:pPr>
              <w:spacing w:line="360" w:lineRule="auto"/>
              <w:ind w:firstLine="420" w:firstLineChars="200"/>
              <w:rPr>
                <w:rFonts w:hint="eastAsia"/>
                <w:color w:val="auto"/>
                <w:szCs w:val="21"/>
              </w:rPr>
            </w:pPr>
            <w:r>
              <w:rPr>
                <w:rFonts w:hint="eastAsia"/>
                <w:color w:val="auto"/>
                <w:szCs w:val="21"/>
              </w:rPr>
              <w:t>依据事故情况下危险物质泄漏到水体的排放点受纳地表水体功能敏感性，与下游环境敏感目标情况，共分为三种类型，E1为环境高度敏感区，E2为环境中度敏感区，E3为环境低度敏感区。</w:t>
            </w:r>
          </w:p>
          <w:p w14:paraId="0B818782">
            <w:pPr>
              <w:spacing w:line="360" w:lineRule="auto"/>
              <w:ind w:firstLine="420" w:firstLineChars="200"/>
              <w:jc w:val="left"/>
              <w:rPr>
                <w:color w:val="auto"/>
              </w:rPr>
            </w:pPr>
            <w:r>
              <w:rPr>
                <w:rFonts w:hint="eastAsia"/>
                <w:color w:val="auto"/>
                <w:lang w:val="en-US" w:eastAsia="zh-CN"/>
              </w:rPr>
              <w:t>淮河</w:t>
            </w:r>
            <w:r>
              <w:rPr>
                <w:rFonts w:hint="eastAsia"/>
                <w:color w:val="auto"/>
              </w:rPr>
              <w:t>为III</w:t>
            </w:r>
            <w:r>
              <w:rPr>
                <w:color w:val="auto"/>
              </w:rPr>
              <w:t>类</w:t>
            </w:r>
            <w:r>
              <w:rPr>
                <w:rFonts w:hint="eastAsia"/>
                <w:color w:val="auto"/>
              </w:rPr>
              <w:t>水环境功能区，最大流速时24h流经范围不会跨省。</w:t>
            </w:r>
            <w:r>
              <w:rPr>
                <w:color w:val="auto"/>
              </w:rPr>
              <w:t>根据（HJ169-2018）附录D表D.3，判定区域地表水</w:t>
            </w:r>
            <w:r>
              <w:rPr>
                <w:rFonts w:hint="eastAsia"/>
                <w:color w:val="auto"/>
                <w:lang w:val="en-US" w:eastAsia="zh-CN"/>
              </w:rPr>
              <w:t>淮河</w:t>
            </w:r>
            <w:r>
              <w:rPr>
                <w:color w:val="auto"/>
              </w:rPr>
              <w:t>功能敏感性为F2。</w:t>
            </w:r>
          </w:p>
          <w:p w14:paraId="6531347E">
            <w:pPr>
              <w:spacing w:line="360" w:lineRule="auto"/>
              <w:ind w:firstLine="420" w:firstLineChars="200"/>
              <w:rPr>
                <w:color w:val="auto"/>
              </w:rPr>
            </w:pPr>
            <w:r>
              <w:rPr>
                <w:color w:val="auto"/>
              </w:rPr>
              <w:t>项目区域</w:t>
            </w:r>
            <w:r>
              <w:rPr>
                <w:rFonts w:hint="eastAsia"/>
                <w:color w:val="auto"/>
                <w:lang w:val="en-US" w:eastAsia="zh-CN"/>
              </w:rPr>
              <w:t>下</w:t>
            </w:r>
            <w:r>
              <w:rPr>
                <w:color w:val="auto"/>
              </w:rPr>
              <w:t>游最近取水口为</w:t>
            </w:r>
            <w:r>
              <w:rPr>
                <w:rFonts w:hint="eastAsia"/>
                <w:color w:val="auto"/>
                <w:lang w:val="en-US" w:eastAsia="zh-CN"/>
              </w:rPr>
              <w:t>孙庙乡</w:t>
            </w:r>
            <w:r>
              <w:rPr>
                <w:rFonts w:hint="eastAsia"/>
                <w:color w:val="auto"/>
              </w:rPr>
              <w:t>水厂</w:t>
            </w:r>
            <w:r>
              <w:rPr>
                <w:color w:val="auto"/>
              </w:rPr>
              <w:t>水源取水口，距</w:t>
            </w:r>
            <w:r>
              <w:rPr>
                <w:rFonts w:hint="eastAsia"/>
                <w:bCs/>
                <w:color w:val="auto"/>
              </w:rPr>
              <w:t>淮南高新智造园区</w:t>
            </w:r>
            <w:r>
              <w:rPr>
                <w:rFonts w:hint="eastAsia"/>
                <w:color w:val="auto"/>
                <w:lang w:val="en-US" w:eastAsia="zh-CN"/>
              </w:rPr>
              <w:t>最近距离</w:t>
            </w:r>
            <w:r>
              <w:rPr>
                <w:color w:val="auto"/>
              </w:rPr>
              <w:t>约</w:t>
            </w:r>
            <w:r>
              <w:rPr>
                <w:rFonts w:hint="eastAsia"/>
                <w:color w:val="auto"/>
                <w:lang w:val="en-US" w:eastAsia="zh-CN"/>
              </w:rPr>
              <w:t>16.92</w:t>
            </w:r>
            <w:r>
              <w:rPr>
                <w:color w:val="auto"/>
              </w:rPr>
              <w:t>km</w:t>
            </w:r>
            <w:r>
              <w:rPr>
                <w:rFonts w:hint="eastAsia"/>
                <w:color w:val="auto"/>
                <w:lang w:eastAsia="zh-CN"/>
              </w:rPr>
              <w:t>，</w:t>
            </w:r>
            <w:r>
              <w:rPr>
                <w:rFonts w:hint="eastAsia"/>
                <w:color w:val="auto"/>
                <w:lang w:val="en-US" w:eastAsia="zh-CN"/>
              </w:rPr>
              <w:t>距离本项目最近距离18.8km，</w:t>
            </w:r>
            <w:r>
              <w:rPr>
                <w:color w:val="auto"/>
              </w:rPr>
              <w:t>根据（HJ169-2018）附录D表D.4，判定区域地表水</w:t>
            </w:r>
            <w:r>
              <w:rPr>
                <w:rFonts w:hint="eastAsia"/>
                <w:color w:val="auto"/>
                <w:lang w:val="en-US" w:eastAsia="zh-CN"/>
              </w:rPr>
              <w:t>淮河</w:t>
            </w:r>
            <w:r>
              <w:rPr>
                <w:color w:val="auto"/>
              </w:rPr>
              <w:t>环境敏感目标分级为S</w:t>
            </w:r>
            <w:r>
              <w:rPr>
                <w:rFonts w:hint="eastAsia"/>
                <w:color w:val="auto"/>
                <w:lang w:val="en-US" w:eastAsia="zh-CN"/>
              </w:rPr>
              <w:t>3</w:t>
            </w:r>
            <w:r>
              <w:rPr>
                <w:color w:val="auto"/>
              </w:rPr>
              <w:t>。</w:t>
            </w:r>
          </w:p>
          <w:p w14:paraId="1AE64793">
            <w:pPr>
              <w:spacing w:line="360" w:lineRule="auto"/>
              <w:ind w:firstLine="420" w:firstLineChars="200"/>
              <w:rPr>
                <w:rFonts w:hint="eastAsia"/>
                <w:color w:val="auto"/>
                <w:szCs w:val="21"/>
              </w:rPr>
            </w:pPr>
            <w:r>
              <w:rPr>
                <w:rFonts w:hint="eastAsia"/>
                <w:color w:val="auto"/>
              </w:rPr>
              <w:t>综上，对照（</w:t>
            </w:r>
            <w:r>
              <w:rPr>
                <w:color w:val="auto"/>
              </w:rPr>
              <w:t>HJ169-2018</w:t>
            </w:r>
            <w:r>
              <w:rPr>
                <w:rFonts w:hint="eastAsia"/>
                <w:color w:val="auto"/>
              </w:rPr>
              <w:t>）附录</w:t>
            </w:r>
            <w:r>
              <w:rPr>
                <w:color w:val="auto"/>
              </w:rPr>
              <w:t>D</w:t>
            </w:r>
            <w:r>
              <w:rPr>
                <w:rFonts w:hint="eastAsia"/>
                <w:color w:val="auto"/>
              </w:rPr>
              <w:t>表</w:t>
            </w:r>
            <w:r>
              <w:rPr>
                <w:color w:val="auto"/>
              </w:rPr>
              <w:t>D.1</w:t>
            </w:r>
            <w:r>
              <w:rPr>
                <w:rFonts w:hint="eastAsia"/>
                <w:color w:val="auto"/>
              </w:rPr>
              <w:t>，判断本项目地表水环境敏感程度为</w:t>
            </w:r>
            <w:r>
              <w:rPr>
                <w:color w:val="auto"/>
              </w:rPr>
              <w:t>E</w:t>
            </w:r>
            <w:r>
              <w:rPr>
                <w:rFonts w:hint="eastAsia"/>
                <w:color w:val="auto"/>
                <w:lang w:val="en-US" w:eastAsia="zh-CN"/>
              </w:rPr>
              <w:t>2</w:t>
            </w:r>
            <w:r>
              <w:rPr>
                <w:rFonts w:hint="eastAsia"/>
                <w:color w:val="auto"/>
              </w:rPr>
              <w:t>。</w:t>
            </w:r>
          </w:p>
          <w:p w14:paraId="2015B7FF">
            <w:pPr>
              <w:spacing w:line="360" w:lineRule="auto"/>
              <w:ind w:firstLine="420" w:firstLineChars="200"/>
              <w:rPr>
                <w:rFonts w:hint="eastAsia"/>
                <w:color w:val="auto"/>
                <w:szCs w:val="21"/>
              </w:rPr>
            </w:pPr>
            <w:r>
              <w:rPr>
                <w:rFonts w:hint="eastAsia"/>
                <w:color w:val="auto"/>
                <w:szCs w:val="21"/>
              </w:rPr>
              <w:t>3）地下水环境敏感程度</w:t>
            </w:r>
          </w:p>
          <w:p w14:paraId="346CC66C">
            <w:pPr>
              <w:autoSpaceDE w:val="0"/>
              <w:autoSpaceDN w:val="0"/>
              <w:adjustRightInd w:val="0"/>
              <w:snapToGrid w:val="0"/>
              <w:spacing w:line="360" w:lineRule="auto"/>
              <w:ind w:firstLine="420" w:firstLineChars="200"/>
              <w:rPr>
                <w:color w:val="auto"/>
              </w:rPr>
            </w:pPr>
            <w:r>
              <w:rPr>
                <w:color w:val="auto"/>
              </w:rPr>
              <w:t>本项目所在地不属于地下水功能敏感地区，地下水功能敏感性为不敏感G3</w:t>
            </w:r>
            <w:r>
              <w:rPr>
                <w:rFonts w:hint="eastAsia"/>
                <w:color w:val="auto"/>
              </w:rPr>
              <w:t>，评价区域内包气带防污性能为D3，根据《建设项目环境风险评价技术导则》（HJ169-2018）附录D，地下水环境敏感程度为E3。</w:t>
            </w:r>
          </w:p>
          <w:p w14:paraId="18232C06">
            <w:pPr>
              <w:adjustRightInd w:val="0"/>
              <w:snapToGrid w:val="0"/>
              <w:spacing w:line="360" w:lineRule="auto"/>
              <w:ind w:firstLine="420" w:firstLineChars="200"/>
              <w:rPr>
                <w:rFonts w:hint="eastAsia" w:hAnsi="宋体"/>
                <w:color w:val="auto"/>
                <w:kern w:val="0"/>
                <w:sz w:val="24"/>
              </w:rPr>
            </w:pPr>
            <w:r>
              <w:rPr>
                <w:rFonts w:hAnsi="宋体"/>
                <w:color w:val="auto"/>
                <w:kern w:val="0"/>
                <w:szCs w:val="21"/>
              </w:rPr>
              <w:t>综上分析，项目大气环境敏感程度为E</w:t>
            </w:r>
            <w:r>
              <w:rPr>
                <w:rFonts w:hint="eastAsia" w:hAnsi="宋体"/>
                <w:color w:val="auto"/>
                <w:kern w:val="0"/>
                <w:szCs w:val="21"/>
              </w:rPr>
              <w:t>2</w:t>
            </w:r>
            <w:r>
              <w:rPr>
                <w:rFonts w:hAnsi="宋体"/>
                <w:color w:val="auto"/>
                <w:kern w:val="0"/>
                <w:szCs w:val="21"/>
              </w:rPr>
              <w:t>、地表水环境敏感程度为E</w:t>
            </w:r>
            <w:r>
              <w:rPr>
                <w:rFonts w:hint="eastAsia" w:hAnsi="宋体"/>
                <w:color w:val="auto"/>
                <w:kern w:val="0"/>
                <w:szCs w:val="21"/>
              </w:rPr>
              <w:t>1</w:t>
            </w:r>
            <w:r>
              <w:rPr>
                <w:rFonts w:hAnsi="宋体"/>
                <w:color w:val="auto"/>
                <w:kern w:val="0"/>
                <w:szCs w:val="21"/>
              </w:rPr>
              <w:t>，地下水环境敏感程度为E</w:t>
            </w:r>
            <w:r>
              <w:rPr>
                <w:rFonts w:hint="eastAsia" w:hAnsi="宋体"/>
                <w:color w:val="auto"/>
                <w:kern w:val="0"/>
                <w:szCs w:val="21"/>
              </w:rPr>
              <w:t>3</w:t>
            </w:r>
            <w:r>
              <w:rPr>
                <w:rFonts w:hint="eastAsia" w:hAnsi="宋体"/>
                <w:color w:val="auto"/>
                <w:kern w:val="0"/>
                <w:sz w:val="24"/>
              </w:rPr>
              <w:t>。</w:t>
            </w:r>
          </w:p>
          <w:p w14:paraId="5B3DAB01">
            <w:pPr>
              <w:pStyle w:val="141"/>
              <w:snapToGrid/>
              <w:spacing w:line="360" w:lineRule="auto"/>
              <w:ind w:firstLine="0"/>
              <w:outlineLvl w:val="3"/>
              <w:rPr>
                <w:b/>
                <w:color w:val="auto"/>
                <w:sz w:val="21"/>
                <w:szCs w:val="21"/>
              </w:rPr>
            </w:pPr>
            <w:r>
              <w:rPr>
                <w:rFonts w:hint="eastAsia"/>
                <w:b/>
                <w:color w:val="auto"/>
                <w:sz w:val="21"/>
                <w:szCs w:val="21"/>
              </w:rPr>
              <w:t>5、环境风险潜势初判</w:t>
            </w:r>
          </w:p>
          <w:p w14:paraId="3AA19D8C">
            <w:pPr>
              <w:pStyle w:val="141"/>
              <w:snapToGrid/>
              <w:spacing w:line="360" w:lineRule="auto"/>
              <w:ind w:firstLine="0"/>
              <w:outlineLvl w:val="3"/>
              <w:rPr>
                <w:b/>
                <w:color w:val="auto"/>
                <w:sz w:val="21"/>
                <w:szCs w:val="21"/>
              </w:rPr>
            </w:pPr>
            <w:r>
              <w:rPr>
                <w:rFonts w:hint="eastAsia"/>
                <w:b/>
                <w:color w:val="auto"/>
                <w:sz w:val="21"/>
                <w:szCs w:val="21"/>
              </w:rPr>
              <w:t>5</w:t>
            </w:r>
            <w:r>
              <w:rPr>
                <w:b/>
                <w:color w:val="auto"/>
                <w:sz w:val="21"/>
                <w:szCs w:val="21"/>
              </w:rPr>
              <w:t>.1环境风险潜势划分</w:t>
            </w:r>
          </w:p>
          <w:p w14:paraId="78D241CC">
            <w:pPr>
              <w:autoSpaceDE w:val="0"/>
              <w:autoSpaceDN w:val="0"/>
              <w:spacing w:line="360" w:lineRule="auto"/>
              <w:ind w:firstLine="420" w:firstLineChars="200"/>
              <w:jc w:val="left"/>
              <w:rPr>
                <w:rFonts w:hint="eastAsia"/>
                <w:color w:val="auto"/>
                <w:szCs w:val="21"/>
              </w:rPr>
            </w:pPr>
            <w:r>
              <w:rPr>
                <w:color w:val="auto"/>
                <w:szCs w:val="21"/>
              </w:rPr>
              <w:t>根据导则附录C确定建设项目危险物质数量与临界量比值（Q），以及行业及生产工艺评分（M），据此判定危险物质及工艺系统危险性等级（P），分别以P1、P2、P3、P4表示。</w:t>
            </w:r>
          </w:p>
          <w:p w14:paraId="1A6D5074">
            <w:pPr>
              <w:autoSpaceDE w:val="0"/>
              <w:autoSpaceDN w:val="0"/>
              <w:spacing w:line="360" w:lineRule="auto"/>
              <w:ind w:firstLine="422" w:firstLineChars="200"/>
              <w:jc w:val="left"/>
              <w:rPr>
                <w:b/>
                <w:color w:val="auto"/>
                <w:szCs w:val="21"/>
              </w:rPr>
            </w:pPr>
            <w:r>
              <w:rPr>
                <w:b/>
                <w:color w:val="auto"/>
                <w:szCs w:val="21"/>
              </w:rPr>
              <w:t>（</w:t>
            </w:r>
            <w:r>
              <w:rPr>
                <w:rFonts w:hint="eastAsia"/>
                <w:b/>
                <w:color w:val="auto"/>
                <w:szCs w:val="21"/>
              </w:rPr>
              <w:t>1</w:t>
            </w:r>
            <w:r>
              <w:rPr>
                <w:b/>
                <w:color w:val="auto"/>
                <w:szCs w:val="21"/>
              </w:rPr>
              <w:t>）所属行业及生产工艺特点</w:t>
            </w:r>
          </w:p>
          <w:p w14:paraId="5431A37C">
            <w:pPr>
              <w:autoSpaceDE w:val="0"/>
              <w:autoSpaceDN w:val="0"/>
              <w:spacing w:line="360" w:lineRule="auto"/>
              <w:ind w:firstLine="420" w:firstLineChars="200"/>
              <w:jc w:val="left"/>
              <w:rPr>
                <w:color w:val="auto"/>
                <w:szCs w:val="21"/>
              </w:rPr>
            </w:pPr>
            <w:r>
              <w:rPr>
                <w:color w:val="auto"/>
                <w:szCs w:val="21"/>
              </w:rPr>
              <w:t>按照</w:t>
            </w:r>
            <w:r>
              <w:rPr>
                <w:color w:val="auto"/>
                <w:kern w:val="0"/>
                <w:szCs w:val="21"/>
              </w:rPr>
              <w:t>《建设项目环境风险评价技术导则》</w:t>
            </w:r>
            <w:r>
              <w:rPr>
                <w:color w:val="auto"/>
                <w:szCs w:val="21"/>
              </w:rPr>
              <w:t>（HJ/T169-2018）</w:t>
            </w:r>
            <w:r>
              <w:rPr>
                <w:color w:val="auto"/>
                <w:kern w:val="0"/>
                <w:szCs w:val="21"/>
              </w:rPr>
              <w:t>（以下简称</w:t>
            </w:r>
            <w:r>
              <w:rPr>
                <w:rFonts w:hint="eastAsia"/>
                <w:color w:val="auto"/>
                <w:kern w:val="0"/>
                <w:szCs w:val="21"/>
              </w:rPr>
              <w:t>“</w:t>
            </w:r>
            <w:r>
              <w:rPr>
                <w:color w:val="auto"/>
                <w:kern w:val="0"/>
                <w:szCs w:val="21"/>
              </w:rPr>
              <w:t>导则</w:t>
            </w:r>
            <w:r>
              <w:rPr>
                <w:rFonts w:hint="eastAsia"/>
                <w:color w:val="auto"/>
                <w:kern w:val="0"/>
                <w:szCs w:val="21"/>
              </w:rPr>
              <w:t>”</w:t>
            </w:r>
            <w:r>
              <w:rPr>
                <w:color w:val="auto"/>
                <w:kern w:val="0"/>
                <w:szCs w:val="21"/>
              </w:rPr>
              <w:t>）</w:t>
            </w:r>
            <w:r>
              <w:rPr>
                <w:color w:val="auto"/>
                <w:szCs w:val="21"/>
              </w:rPr>
              <w:t>表C1评估生产工艺情况，分析项目所属行业及生产工艺特点。具有多套工艺单元的项目，对每套生产工艺分别评分并求和。将M划分为（1）M＞20；（2）10＜M≤20；（3）5＜M≤10；（4）M=5，分别以M1、M2、M3和M4表示。</w:t>
            </w:r>
          </w:p>
          <w:p w14:paraId="51FAB57A">
            <w:pPr>
              <w:widowControl/>
              <w:spacing w:line="360" w:lineRule="auto"/>
              <w:ind w:firstLine="422" w:firstLineChars="200"/>
              <w:jc w:val="center"/>
              <w:rPr>
                <w:b/>
                <w:color w:val="auto"/>
                <w:kern w:val="0"/>
                <w:szCs w:val="21"/>
              </w:rPr>
            </w:pPr>
            <w:r>
              <w:rPr>
                <w:b/>
                <w:color w:val="auto"/>
                <w:kern w:val="0"/>
                <w:szCs w:val="21"/>
              </w:rPr>
              <w:t>表</w:t>
            </w:r>
            <w:r>
              <w:rPr>
                <w:rFonts w:hint="eastAsia"/>
                <w:b/>
                <w:color w:val="auto"/>
                <w:kern w:val="0"/>
                <w:szCs w:val="21"/>
              </w:rPr>
              <w:t>7-5</w:t>
            </w:r>
            <w:r>
              <w:rPr>
                <w:b/>
                <w:color w:val="auto"/>
                <w:kern w:val="0"/>
                <w:szCs w:val="21"/>
              </w:rPr>
              <w:t xml:space="preserve">  行业及生产工艺(M)</w:t>
            </w:r>
          </w:p>
          <w:tbl>
            <w:tblPr>
              <w:tblStyle w:val="35"/>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6161"/>
              <w:gridCol w:w="1121"/>
            </w:tblGrid>
            <w:tr w14:paraId="6470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3" w:type="pct"/>
                  <w:noWrap w:val="0"/>
                  <w:vAlign w:val="center"/>
                </w:tcPr>
                <w:p w14:paraId="680F1EC4">
                  <w:pPr>
                    <w:snapToGrid w:val="0"/>
                    <w:jc w:val="center"/>
                    <w:rPr>
                      <w:b/>
                      <w:color w:val="auto"/>
                      <w:szCs w:val="21"/>
                    </w:rPr>
                  </w:pPr>
                  <w:r>
                    <w:rPr>
                      <w:b/>
                      <w:color w:val="auto"/>
                      <w:szCs w:val="21"/>
                    </w:rPr>
                    <w:t>行业</w:t>
                  </w:r>
                </w:p>
              </w:tc>
              <w:tc>
                <w:tcPr>
                  <w:tcW w:w="3534" w:type="pct"/>
                  <w:noWrap w:val="0"/>
                  <w:vAlign w:val="center"/>
                </w:tcPr>
                <w:p w14:paraId="77F08243">
                  <w:pPr>
                    <w:snapToGrid w:val="0"/>
                    <w:jc w:val="center"/>
                    <w:rPr>
                      <w:b/>
                      <w:color w:val="auto"/>
                      <w:szCs w:val="21"/>
                    </w:rPr>
                  </w:pPr>
                  <w:r>
                    <w:rPr>
                      <w:b/>
                      <w:color w:val="auto"/>
                      <w:szCs w:val="21"/>
                    </w:rPr>
                    <w:t>评估依据</w:t>
                  </w:r>
                </w:p>
              </w:tc>
              <w:tc>
                <w:tcPr>
                  <w:tcW w:w="643" w:type="pct"/>
                  <w:noWrap w:val="0"/>
                  <w:vAlign w:val="center"/>
                </w:tcPr>
                <w:p w14:paraId="19BFFB7E">
                  <w:pPr>
                    <w:snapToGrid w:val="0"/>
                    <w:jc w:val="center"/>
                    <w:rPr>
                      <w:b/>
                      <w:color w:val="auto"/>
                      <w:szCs w:val="21"/>
                    </w:rPr>
                  </w:pPr>
                  <w:r>
                    <w:rPr>
                      <w:b/>
                      <w:color w:val="auto"/>
                      <w:szCs w:val="21"/>
                    </w:rPr>
                    <w:t>分值</w:t>
                  </w:r>
                </w:p>
              </w:tc>
            </w:tr>
            <w:tr w14:paraId="2551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restart"/>
                  <w:noWrap w:val="0"/>
                  <w:vAlign w:val="center"/>
                </w:tcPr>
                <w:p w14:paraId="39B7F694">
                  <w:pPr>
                    <w:snapToGrid w:val="0"/>
                    <w:jc w:val="center"/>
                    <w:rPr>
                      <w:color w:val="auto"/>
                      <w:szCs w:val="21"/>
                    </w:rPr>
                  </w:pPr>
                  <w:r>
                    <w:rPr>
                      <w:color w:val="auto"/>
                      <w:szCs w:val="21"/>
                    </w:rPr>
                    <w:t>石化、化工、医药、轻工、化纤、有色冶炼等</w:t>
                  </w:r>
                </w:p>
              </w:tc>
              <w:tc>
                <w:tcPr>
                  <w:tcW w:w="3534" w:type="pct"/>
                  <w:noWrap w:val="0"/>
                  <w:vAlign w:val="center"/>
                </w:tcPr>
                <w:p w14:paraId="3A94D338">
                  <w:pPr>
                    <w:snapToGrid w:val="0"/>
                    <w:jc w:val="center"/>
                    <w:rPr>
                      <w:color w:val="auto"/>
                      <w:szCs w:val="21"/>
                    </w:rPr>
                  </w:pPr>
                  <w:r>
                    <w:rPr>
                      <w:color w:val="auto"/>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43" w:type="pct"/>
                  <w:noWrap w:val="0"/>
                  <w:vAlign w:val="center"/>
                </w:tcPr>
                <w:p w14:paraId="7E14E1C8">
                  <w:pPr>
                    <w:snapToGrid w:val="0"/>
                    <w:jc w:val="center"/>
                    <w:rPr>
                      <w:color w:val="auto"/>
                      <w:szCs w:val="21"/>
                    </w:rPr>
                  </w:pPr>
                  <w:r>
                    <w:rPr>
                      <w:color w:val="auto"/>
                      <w:szCs w:val="21"/>
                    </w:rPr>
                    <w:t>10/套</w:t>
                  </w:r>
                </w:p>
              </w:tc>
            </w:tr>
            <w:tr w14:paraId="77EE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14:paraId="060DF606">
                  <w:pPr>
                    <w:snapToGrid w:val="0"/>
                    <w:jc w:val="center"/>
                    <w:rPr>
                      <w:color w:val="auto"/>
                      <w:szCs w:val="21"/>
                    </w:rPr>
                  </w:pPr>
                </w:p>
              </w:tc>
              <w:tc>
                <w:tcPr>
                  <w:tcW w:w="3534" w:type="pct"/>
                  <w:noWrap w:val="0"/>
                  <w:vAlign w:val="center"/>
                </w:tcPr>
                <w:p w14:paraId="4EEB6AB1">
                  <w:pPr>
                    <w:snapToGrid w:val="0"/>
                    <w:jc w:val="center"/>
                    <w:rPr>
                      <w:color w:val="auto"/>
                      <w:szCs w:val="21"/>
                    </w:rPr>
                  </w:pPr>
                  <w:r>
                    <w:rPr>
                      <w:color w:val="auto"/>
                      <w:szCs w:val="21"/>
                    </w:rPr>
                    <w:t>无机酸制酸工艺、焦化工艺</w:t>
                  </w:r>
                </w:p>
              </w:tc>
              <w:tc>
                <w:tcPr>
                  <w:tcW w:w="643" w:type="pct"/>
                  <w:noWrap w:val="0"/>
                  <w:vAlign w:val="center"/>
                </w:tcPr>
                <w:p w14:paraId="79B4D2C5">
                  <w:pPr>
                    <w:snapToGrid w:val="0"/>
                    <w:jc w:val="center"/>
                    <w:rPr>
                      <w:color w:val="auto"/>
                      <w:szCs w:val="21"/>
                    </w:rPr>
                  </w:pPr>
                  <w:r>
                    <w:rPr>
                      <w:color w:val="auto"/>
                      <w:szCs w:val="21"/>
                    </w:rPr>
                    <w:t>5/套</w:t>
                  </w:r>
                </w:p>
              </w:tc>
            </w:tr>
            <w:tr w14:paraId="519C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23" w:type="pct"/>
                  <w:vMerge w:val="continue"/>
                  <w:noWrap w:val="0"/>
                  <w:vAlign w:val="center"/>
                </w:tcPr>
                <w:p w14:paraId="7B153EBF">
                  <w:pPr>
                    <w:snapToGrid w:val="0"/>
                    <w:jc w:val="center"/>
                    <w:rPr>
                      <w:color w:val="auto"/>
                      <w:szCs w:val="21"/>
                    </w:rPr>
                  </w:pPr>
                </w:p>
              </w:tc>
              <w:tc>
                <w:tcPr>
                  <w:tcW w:w="3534" w:type="pct"/>
                  <w:noWrap w:val="0"/>
                  <w:vAlign w:val="center"/>
                </w:tcPr>
                <w:p w14:paraId="7996E982">
                  <w:pPr>
                    <w:snapToGrid w:val="0"/>
                    <w:jc w:val="center"/>
                    <w:rPr>
                      <w:color w:val="auto"/>
                      <w:szCs w:val="21"/>
                    </w:rPr>
                  </w:pPr>
                  <w:r>
                    <w:rPr>
                      <w:color w:val="auto"/>
                      <w:szCs w:val="21"/>
                    </w:rPr>
                    <w:t>其他高温或高压，且涉及危险物质的工艺过程</w:t>
                  </w:r>
                  <w:r>
                    <w:rPr>
                      <w:color w:val="auto"/>
                      <w:szCs w:val="21"/>
                      <w:vertAlign w:val="superscript"/>
                    </w:rPr>
                    <w:t>a</w:t>
                  </w:r>
                  <w:r>
                    <w:rPr>
                      <w:color w:val="auto"/>
                      <w:szCs w:val="21"/>
                    </w:rPr>
                    <w:t>、危险物质贮存罐区</w:t>
                  </w:r>
                </w:p>
              </w:tc>
              <w:tc>
                <w:tcPr>
                  <w:tcW w:w="643" w:type="pct"/>
                  <w:noWrap w:val="0"/>
                  <w:vAlign w:val="center"/>
                </w:tcPr>
                <w:p w14:paraId="6CF9DA1B">
                  <w:pPr>
                    <w:snapToGrid w:val="0"/>
                    <w:ind w:left="-105" w:leftChars="-50" w:right="-105" w:rightChars="-50"/>
                    <w:jc w:val="center"/>
                    <w:rPr>
                      <w:color w:val="auto"/>
                      <w:szCs w:val="21"/>
                    </w:rPr>
                  </w:pPr>
                  <w:r>
                    <w:rPr>
                      <w:color w:val="auto"/>
                      <w:szCs w:val="21"/>
                    </w:rPr>
                    <w:t>5/套（罐区）</w:t>
                  </w:r>
                </w:p>
              </w:tc>
            </w:tr>
            <w:tr w14:paraId="11E1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noWrap w:val="0"/>
                  <w:vAlign w:val="center"/>
                </w:tcPr>
                <w:p w14:paraId="4D3C12A1">
                  <w:pPr>
                    <w:snapToGrid w:val="0"/>
                    <w:jc w:val="center"/>
                    <w:rPr>
                      <w:color w:val="auto"/>
                      <w:szCs w:val="21"/>
                    </w:rPr>
                  </w:pPr>
                  <w:r>
                    <w:rPr>
                      <w:color w:val="auto"/>
                      <w:szCs w:val="21"/>
                    </w:rPr>
                    <w:t>管道、港口/码头等</w:t>
                  </w:r>
                </w:p>
              </w:tc>
              <w:tc>
                <w:tcPr>
                  <w:tcW w:w="3534" w:type="pct"/>
                  <w:noWrap w:val="0"/>
                  <w:vAlign w:val="center"/>
                </w:tcPr>
                <w:p w14:paraId="7D8809BD">
                  <w:pPr>
                    <w:snapToGrid w:val="0"/>
                    <w:jc w:val="center"/>
                    <w:rPr>
                      <w:color w:val="auto"/>
                      <w:szCs w:val="21"/>
                    </w:rPr>
                  </w:pPr>
                  <w:r>
                    <w:rPr>
                      <w:color w:val="auto"/>
                      <w:szCs w:val="21"/>
                    </w:rPr>
                    <w:t>涉及危险物质管道运输项目、港口/码头等</w:t>
                  </w:r>
                </w:p>
              </w:tc>
              <w:tc>
                <w:tcPr>
                  <w:tcW w:w="643" w:type="pct"/>
                  <w:noWrap w:val="0"/>
                  <w:vAlign w:val="center"/>
                </w:tcPr>
                <w:p w14:paraId="50A597B0">
                  <w:pPr>
                    <w:snapToGrid w:val="0"/>
                    <w:jc w:val="center"/>
                    <w:rPr>
                      <w:color w:val="auto"/>
                      <w:szCs w:val="21"/>
                    </w:rPr>
                  </w:pPr>
                  <w:r>
                    <w:rPr>
                      <w:color w:val="auto"/>
                      <w:szCs w:val="21"/>
                    </w:rPr>
                    <w:t>10</w:t>
                  </w:r>
                </w:p>
              </w:tc>
            </w:tr>
            <w:tr w14:paraId="1670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tcBorders>
                    <w:bottom w:val="single" w:color="auto" w:sz="4" w:space="0"/>
                  </w:tcBorders>
                  <w:noWrap w:val="0"/>
                  <w:vAlign w:val="center"/>
                </w:tcPr>
                <w:p w14:paraId="5DC63CDA">
                  <w:pPr>
                    <w:snapToGrid w:val="0"/>
                    <w:jc w:val="center"/>
                    <w:rPr>
                      <w:color w:val="auto"/>
                      <w:szCs w:val="21"/>
                    </w:rPr>
                  </w:pPr>
                  <w:r>
                    <w:rPr>
                      <w:color w:val="auto"/>
                      <w:szCs w:val="21"/>
                    </w:rPr>
                    <w:t>石油天然气</w:t>
                  </w:r>
                </w:p>
              </w:tc>
              <w:tc>
                <w:tcPr>
                  <w:tcW w:w="3534" w:type="pct"/>
                  <w:tcBorders>
                    <w:bottom w:val="single" w:color="auto" w:sz="4" w:space="0"/>
                  </w:tcBorders>
                  <w:noWrap w:val="0"/>
                  <w:vAlign w:val="center"/>
                </w:tcPr>
                <w:p w14:paraId="3020442E">
                  <w:pPr>
                    <w:snapToGrid w:val="0"/>
                    <w:jc w:val="center"/>
                    <w:rPr>
                      <w:color w:val="auto"/>
                      <w:szCs w:val="21"/>
                    </w:rPr>
                  </w:pPr>
                  <w:r>
                    <w:rPr>
                      <w:color w:val="auto"/>
                      <w:szCs w:val="21"/>
                    </w:rPr>
                    <w:t>石油、天然气、页岩气开采（含净化），气库(不含加气站的气库)，油库(不含加气站的油库)、油气管线</w:t>
                  </w:r>
                  <w:r>
                    <w:rPr>
                      <w:color w:val="auto"/>
                      <w:szCs w:val="21"/>
                      <w:vertAlign w:val="superscript"/>
                    </w:rPr>
                    <w:t>b</w:t>
                  </w:r>
                  <w:r>
                    <w:rPr>
                      <w:color w:val="auto"/>
                      <w:szCs w:val="21"/>
                    </w:rPr>
                    <w:t>（不含城镇燃气管线）</w:t>
                  </w:r>
                </w:p>
              </w:tc>
              <w:tc>
                <w:tcPr>
                  <w:tcW w:w="643" w:type="pct"/>
                  <w:tcBorders>
                    <w:bottom w:val="single" w:color="auto" w:sz="4" w:space="0"/>
                  </w:tcBorders>
                  <w:noWrap w:val="0"/>
                  <w:vAlign w:val="center"/>
                </w:tcPr>
                <w:p w14:paraId="799865BE">
                  <w:pPr>
                    <w:snapToGrid w:val="0"/>
                    <w:jc w:val="center"/>
                    <w:rPr>
                      <w:color w:val="auto"/>
                      <w:szCs w:val="21"/>
                    </w:rPr>
                  </w:pPr>
                  <w:r>
                    <w:rPr>
                      <w:color w:val="auto"/>
                      <w:szCs w:val="21"/>
                    </w:rPr>
                    <w:t>10</w:t>
                  </w:r>
                </w:p>
              </w:tc>
            </w:tr>
            <w:tr w14:paraId="18AD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noWrap w:val="0"/>
                  <w:vAlign w:val="center"/>
                </w:tcPr>
                <w:p w14:paraId="48F29448">
                  <w:pPr>
                    <w:snapToGrid w:val="0"/>
                    <w:jc w:val="center"/>
                    <w:rPr>
                      <w:color w:val="auto"/>
                      <w:szCs w:val="21"/>
                    </w:rPr>
                  </w:pPr>
                  <w:r>
                    <w:rPr>
                      <w:color w:val="auto"/>
                      <w:szCs w:val="21"/>
                    </w:rPr>
                    <w:t>其他</w:t>
                  </w:r>
                </w:p>
              </w:tc>
              <w:tc>
                <w:tcPr>
                  <w:tcW w:w="3534" w:type="pct"/>
                  <w:noWrap w:val="0"/>
                  <w:vAlign w:val="center"/>
                </w:tcPr>
                <w:p w14:paraId="752E8CB8">
                  <w:pPr>
                    <w:snapToGrid w:val="0"/>
                    <w:jc w:val="center"/>
                    <w:rPr>
                      <w:color w:val="auto"/>
                      <w:szCs w:val="21"/>
                    </w:rPr>
                  </w:pPr>
                  <w:r>
                    <w:rPr>
                      <w:color w:val="auto"/>
                      <w:szCs w:val="21"/>
                    </w:rPr>
                    <w:t>涉及危险物质使用、贮存的项目</w:t>
                  </w:r>
                </w:p>
              </w:tc>
              <w:tc>
                <w:tcPr>
                  <w:tcW w:w="643" w:type="pct"/>
                  <w:noWrap w:val="0"/>
                  <w:vAlign w:val="center"/>
                </w:tcPr>
                <w:p w14:paraId="55A060C1">
                  <w:pPr>
                    <w:snapToGrid w:val="0"/>
                    <w:jc w:val="center"/>
                    <w:rPr>
                      <w:color w:val="auto"/>
                      <w:szCs w:val="21"/>
                    </w:rPr>
                  </w:pPr>
                  <w:r>
                    <w:rPr>
                      <w:color w:val="auto"/>
                      <w:szCs w:val="21"/>
                    </w:rPr>
                    <w:t>5</w:t>
                  </w:r>
                </w:p>
              </w:tc>
            </w:tr>
            <w:tr w14:paraId="26D5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458C5F28">
                  <w:pPr>
                    <w:snapToGrid w:val="0"/>
                    <w:jc w:val="left"/>
                    <w:rPr>
                      <w:color w:val="auto"/>
                      <w:szCs w:val="21"/>
                    </w:rPr>
                  </w:pPr>
                  <w:r>
                    <w:rPr>
                      <w:color w:val="auto"/>
                      <w:szCs w:val="21"/>
                    </w:rPr>
                    <w:t>a高温指工艺温度≥300 C，高压指压力容器的设计压力(P)≥100MPa；</w:t>
                  </w:r>
                </w:p>
                <w:p w14:paraId="3B13988B">
                  <w:pPr>
                    <w:snapToGrid w:val="0"/>
                    <w:jc w:val="left"/>
                    <w:rPr>
                      <w:color w:val="auto"/>
                      <w:szCs w:val="21"/>
                    </w:rPr>
                  </w:pPr>
                  <w:r>
                    <w:rPr>
                      <w:color w:val="auto"/>
                      <w:szCs w:val="21"/>
                    </w:rPr>
                    <w:t>b长输管道运输项目应按站场、管线分段进行评价。</w:t>
                  </w:r>
                </w:p>
              </w:tc>
            </w:tr>
          </w:tbl>
          <w:p w14:paraId="655BDF53">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w:t>
            </w:r>
            <w:r>
              <w:rPr>
                <w:rFonts w:hint="eastAsia" w:hAnsi="宋体"/>
                <w:b/>
                <w:color w:val="auto"/>
                <w:kern w:val="0"/>
                <w:szCs w:val="21"/>
                <w:lang w:val="en-US" w:eastAsia="zh-CN"/>
              </w:rPr>
              <w:t>6</w:t>
            </w:r>
            <w:r>
              <w:rPr>
                <w:rFonts w:hAnsi="宋体"/>
                <w:b/>
                <w:color w:val="auto"/>
                <w:kern w:val="0"/>
                <w:szCs w:val="21"/>
              </w:rPr>
              <w:t xml:space="preserve">  </w:t>
            </w:r>
            <w:r>
              <w:rPr>
                <w:rFonts w:hint="eastAsia" w:hAnsi="宋体"/>
                <w:b/>
                <w:color w:val="auto"/>
                <w:kern w:val="0"/>
                <w:szCs w:val="21"/>
                <w:lang w:val="en-US" w:eastAsia="zh-CN"/>
              </w:rPr>
              <w:t>本项目M值确定</w:t>
            </w:r>
            <w:r>
              <w:rPr>
                <w:rFonts w:hAnsi="宋体"/>
                <w:b/>
                <w:color w:val="auto"/>
                <w:kern w:val="0"/>
                <w:szCs w:val="21"/>
              </w:rP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2254"/>
              <w:gridCol w:w="2411"/>
              <w:gridCol w:w="2890"/>
            </w:tblGrid>
            <w:tr w14:paraId="5F69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noWrap w:val="0"/>
                  <w:vAlign w:val="center"/>
                </w:tcPr>
                <w:p w14:paraId="671F556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序号</w:t>
                  </w:r>
                </w:p>
              </w:tc>
              <w:tc>
                <w:tcPr>
                  <w:tcW w:w="1275" w:type="pct"/>
                  <w:noWrap w:val="0"/>
                  <w:vAlign w:val="center"/>
                </w:tcPr>
                <w:p w14:paraId="0837A4C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1364" w:type="pct"/>
                  <w:noWrap w:val="0"/>
                  <w:vAlign w:val="center"/>
                </w:tcPr>
                <w:p w14:paraId="39610E1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数量</w:t>
                  </w:r>
                </w:p>
              </w:tc>
              <w:tc>
                <w:tcPr>
                  <w:tcW w:w="1635" w:type="pct"/>
                  <w:noWrap w:val="0"/>
                  <w:vAlign w:val="center"/>
                </w:tcPr>
                <w:p w14:paraId="55B5848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M值</w:t>
                  </w:r>
                </w:p>
              </w:tc>
            </w:tr>
            <w:tr w14:paraId="00E6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noWrap w:val="0"/>
                  <w:vAlign w:val="center"/>
                </w:tcPr>
                <w:p w14:paraId="583FC1C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1275" w:type="pct"/>
                  <w:noWrap w:val="0"/>
                  <w:vAlign w:val="center"/>
                </w:tcPr>
                <w:p w14:paraId="0626A8A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高温</w:t>
                  </w:r>
                  <w:r>
                    <w:rPr>
                      <w:rFonts w:hint="eastAsia" w:ascii="Times New Roman" w:hAnsi="Times New Roman" w:cs="Times New Roman"/>
                      <w:color w:val="auto"/>
                      <w:sz w:val="21"/>
                      <w:szCs w:val="21"/>
                      <w:lang w:val="en-US" w:eastAsia="zh-CN"/>
                    </w:rPr>
                    <w:t>，储罐</w:t>
                  </w:r>
                </w:p>
              </w:tc>
              <w:tc>
                <w:tcPr>
                  <w:tcW w:w="1364" w:type="pct"/>
                  <w:noWrap w:val="0"/>
                  <w:vAlign w:val="center"/>
                </w:tcPr>
                <w:p w14:paraId="34B1171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2套</w:t>
                  </w:r>
                </w:p>
              </w:tc>
              <w:tc>
                <w:tcPr>
                  <w:tcW w:w="1635" w:type="pct"/>
                  <w:noWrap w:val="0"/>
                  <w:vAlign w:val="center"/>
                </w:tcPr>
                <w:p w14:paraId="3E65DF2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29EA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noWrap w:val="0"/>
                  <w:vAlign w:val="center"/>
                </w:tcPr>
                <w:p w14:paraId="6D4A816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275" w:type="pct"/>
                  <w:noWrap w:val="0"/>
                  <w:vAlign w:val="center"/>
                </w:tcPr>
                <w:p w14:paraId="7A1C8AC0">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危废库、石油气仓储</w:t>
                  </w:r>
                </w:p>
              </w:tc>
              <w:tc>
                <w:tcPr>
                  <w:tcW w:w="1364" w:type="pct"/>
                  <w:noWrap w:val="0"/>
                  <w:vAlign w:val="center"/>
                </w:tcPr>
                <w:p w14:paraId="5FE323A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635" w:type="pct"/>
                  <w:noWrap w:val="0"/>
                  <w:vAlign w:val="center"/>
                </w:tcPr>
                <w:p w14:paraId="6E58BB32">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14:paraId="018E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4" w:type="pct"/>
                  <w:gridSpan w:val="3"/>
                  <w:noWrap w:val="0"/>
                  <w:vAlign w:val="center"/>
                </w:tcPr>
                <w:p w14:paraId="2F10266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635" w:type="pct"/>
                  <w:noWrap w:val="0"/>
                  <w:vAlign w:val="center"/>
                </w:tcPr>
                <w:p w14:paraId="7F25AD1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14:paraId="3A39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7F6A3EAB">
                  <w:pPr>
                    <w:autoSpaceDE w:val="0"/>
                    <w:autoSpaceDN w:val="0"/>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w:t>
                  </w:r>
                  <w:r>
                    <w:rPr>
                      <w:rFonts w:hint="default" w:ascii="Times New Roman" w:hAnsi="Times New Roman" w:cs="Times New Roman"/>
                      <w:color w:val="auto"/>
                      <w:sz w:val="21"/>
                      <w:szCs w:val="21"/>
                      <w:lang w:val="en-US" w:eastAsia="zh-CN"/>
                    </w:rPr>
                    <w:t>轻工行业，</w:t>
                  </w:r>
                  <w:r>
                    <w:rPr>
                      <w:rFonts w:hint="default" w:ascii="Times New Roman" w:hAnsi="Times New Roman" w:cs="Times New Roman"/>
                      <w:color w:val="auto"/>
                      <w:sz w:val="21"/>
                      <w:szCs w:val="21"/>
                    </w:rPr>
                    <w:t>项目生产涉及</w:t>
                  </w:r>
                  <w:r>
                    <w:rPr>
                      <w:rFonts w:hint="default" w:ascii="Times New Roman" w:hAnsi="Times New Roman" w:cs="Times New Roman"/>
                      <w:color w:val="auto"/>
                      <w:sz w:val="21"/>
                      <w:szCs w:val="21"/>
                      <w:lang w:val="en-US" w:eastAsia="zh-CN"/>
                    </w:rPr>
                    <w:t>熔窑熔化属于高温生产工艺，同时项目厂区存在2个液化气储罐，</w:t>
                  </w:r>
                  <w:r>
                    <w:rPr>
                      <w:rFonts w:hint="default" w:ascii="Times New Roman" w:hAnsi="Times New Roman" w:cs="Times New Roman"/>
                      <w:color w:val="auto"/>
                      <w:sz w:val="21"/>
                      <w:szCs w:val="21"/>
                    </w:rPr>
                    <w:t>根据上表分析，M=</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，以M</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表示。</w:t>
                  </w:r>
                </w:p>
              </w:tc>
            </w:tr>
          </w:tbl>
          <w:p w14:paraId="4A774452">
            <w:pPr>
              <w:autoSpaceDE w:val="0"/>
              <w:autoSpaceDN w:val="0"/>
              <w:spacing w:line="360" w:lineRule="auto"/>
              <w:ind w:firstLine="422" w:firstLineChars="200"/>
              <w:jc w:val="left"/>
              <w:rPr>
                <w:b/>
                <w:color w:val="auto"/>
                <w:szCs w:val="21"/>
              </w:rPr>
            </w:pPr>
            <w:r>
              <w:rPr>
                <w:b/>
                <w:color w:val="auto"/>
                <w:szCs w:val="21"/>
              </w:rPr>
              <w:t>（</w:t>
            </w:r>
            <w:r>
              <w:rPr>
                <w:rFonts w:hint="eastAsia"/>
                <w:b/>
                <w:color w:val="auto"/>
                <w:szCs w:val="21"/>
              </w:rPr>
              <w:t>2</w:t>
            </w:r>
            <w:r>
              <w:rPr>
                <w:b/>
                <w:color w:val="auto"/>
                <w:szCs w:val="21"/>
              </w:rPr>
              <w:t>）危险物质数量与临界量比值（Q）</w:t>
            </w:r>
          </w:p>
          <w:p w14:paraId="30DF5944">
            <w:pPr>
              <w:autoSpaceDE w:val="0"/>
              <w:autoSpaceDN w:val="0"/>
              <w:spacing w:line="360" w:lineRule="auto"/>
              <w:ind w:firstLine="420" w:firstLineChars="200"/>
              <w:jc w:val="left"/>
              <w:rPr>
                <w:color w:val="auto"/>
                <w:szCs w:val="21"/>
              </w:rPr>
            </w:pPr>
            <w:r>
              <w:rPr>
                <w:color w:val="auto"/>
                <w:szCs w:val="21"/>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55DF576F">
            <w:pPr>
              <w:autoSpaceDE w:val="0"/>
              <w:autoSpaceDN w:val="0"/>
              <w:spacing w:line="360" w:lineRule="auto"/>
              <w:ind w:firstLine="420" w:firstLineChars="200"/>
              <w:jc w:val="left"/>
              <w:rPr>
                <w:color w:val="auto"/>
                <w:szCs w:val="21"/>
              </w:rPr>
            </w:pPr>
            <w:r>
              <w:rPr>
                <w:color w:val="auto"/>
                <w:szCs w:val="21"/>
              </w:rPr>
              <w:t>当只涉及一种危险物质时，计算该物质的总量与其临界量比值，即为Q；</w:t>
            </w:r>
          </w:p>
          <w:p w14:paraId="55001C56">
            <w:pPr>
              <w:autoSpaceDE w:val="0"/>
              <w:autoSpaceDN w:val="0"/>
              <w:spacing w:line="360" w:lineRule="auto"/>
              <w:ind w:firstLine="420" w:firstLineChars="200"/>
              <w:jc w:val="left"/>
              <w:rPr>
                <w:color w:val="auto"/>
                <w:kern w:val="0"/>
                <w:szCs w:val="21"/>
              </w:rPr>
            </w:pPr>
            <w:r>
              <w:rPr>
                <w:color w:val="auto"/>
                <w:kern w:val="0"/>
                <w:szCs w:val="21"/>
              </w:rPr>
              <w:pict>
                <v:shape id="对象 13818" o:spid="_x0000_s2053" o:spt="75" type="#_x0000_t75" style="position:absolute;left:0pt;margin-left:150.25pt;margin-top:26.2pt;height:39.7pt;width:141.25pt;mso-wrap-distance-bottom:0pt;mso-wrap-distance-top:0pt;z-index:251703296;mso-width-relative:page;mso-height-relative:page;" o:ole="t" filled="f" o:preferrelative="t" stroked="f" coordsize="21600,21600">
                  <v:path/>
                  <v:fill on="f" focussize="0,0"/>
                  <v:stroke on="f"/>
                  <v:imagedata r:id="rId20" o:title=""/>
                  <o:lock v:ext="edit" aspectratio="f"/>
                  <w10:wrap type="topAndBottom"/>
                </v:shape>
                <o:OLEObject Type="Embed" ProgID="" ShapeID="对象 13818" DrawAspect="Content" ObjectID="_1468075725" r:id="rId19">
                  <o:LockedField>false</o:LockedField>
                </o:OLEObject>
              </w:pict>
            </w:r>
            <w:r>
              <w:rPr>
                <w:color w:val="auto"/>
                <w:szCs w:val="21"/>
              </w:rPr>
              <w:t>当存在多种危险物质时，则按式下式计算物质总量与其临界量比值(Q)：</w:t>
            </w:r>
          </w:p>
          <w:p w14:paraId="140CEF26">
            <w:pPr>
              <w:spacing w:before="120" w:beforeLines="50" w:line="360" w:lineRule="auto"/>
              <w:ind w:firstLine="482"/>
              <w:rPr>
                <w:color w:val="auto"/>
                <w:szCs w:val="21"/>
              </w:rPr>
            </w:pPr>
            <w:r>
              <w:rPr>
                <w:color w:val="auto"/>
                <w:szCs w:val="21"/>
              </w:rPr>
              <w:t>式中：q</w:t>
            </w:r>
            <w:r>
              <w:rPr>
                <w:color w:val="auto"/>
                <w:szCs w:val="21"/>
                <w:vertAlign w:val="subscript"/>
              </w:rPr>
              <w:t>1</w:t>
            </w:r>
            <w:r>
              <w:rPr>
                <w:color w:val="auto"/>
                <w:szCs w:val="21"/>
              </w:rPr>
              <w:t>，q</w:t>
            </w:r>
            <w:r>
              <w:rPr>
                <w:color w:val="auto"/>
                <w:szCs w:val="21"/>
                <w:vertAlign w:val="subscript"/>
              </w:rPr>
              <w:t>2</w:t>
            </w:r>
            <w:r>
              <w:rPr>
                <w:color w:val="auto"/>
                <w:szCs w:val="21"/>
              </w:rPr>
              <w:t>…，q</w:t>
            </w:r>
            <w:r>
              <w:rPr>
                <w:color w:val="auto"/>
                <w:szCs w:val="21"/>
                <w:vertAlign w:val="subscript"/>
              </w:rPr>
              <w:t>n</w:t>
            </w:r>
            <w:r>
              <w:rPr>
                <w:color w:val="auto"/>
                <w:szCs w:val="21"/>
              </w:rPr>
              <w:t>为每种危险物质的最大存在总量，t。</w:t>
            </w:r>
          </w:p>
          <w:p w14:paraId="2E5A6DC6">
            <w:pPr>
              <w:spacing w:line="360" w:lineRule="auto"/>
              <w:ind w:firstLine="1050" w:firstLineChars="500"/>
              <w:rPr>
                <w:color w:val="auto"/>
                <w:szCs w:val="21"/>
              </w:rPr>
            </w:pPr>
            <w:r>
              <w:rPr>
                <w:color w:val="auto"/>
                <w:szCs w:val="21"/>
              </w:rPr>
              <w:t>Q</w:t>
            </w:r>
            <w:r>
              <w:rPr>
                <w:color w:val="auto"/>
                <w:szCs w:val="21"/>
                <w:vertAlign w:val="subscript"/>
              </w:rPr>
              <w:t>1</w:t>
            </w:r>
            <w:r>
              <w:rPr>
                <w:color w:val="auto"/>
                <w:szCs w:val="21"/>
              </w:rPr>
              <w:t>，Q</w:t>
            </w:r>
            <w:r>
              <w:rPr>
                <w:color w:val="auto"/>
                <w:szCs w:val="21"/>
                <w:vertAlign w:val="subscript"/>
              </w:rPr>
              <w:t>2</w:t>
            </w:r>
            <w:r>
              <w:rPr>
                <w:color w:val="auto"/>
                <w:szCs w:val="21"/>
              </w:rPr>
              <w:t>…Q</w:t>
            </w:r>
            <w:r>
              <w:rPr>
                <w:color w:val="auto"/>
                <w:szCs w:val="21"/>
                <w:vertAlign w:val="subscript"/>
              </w:rPr>
              <w:t>n</w:t>
            </w:r>
            <w:r>
              <w:rPr>
                <w:color w:val="auto"/>
                <w:szCs w:val="21"/>
              </w:rPr>
              <w:t>为每种危险物质的临界量，t。</w:t>
            </w:r>
          </w:p>
          <w:p w14:paraId="418ED382">
            <w:pPr>
              <w:spacing w:line="360" w:lineRule="auto"/>
              <w:ind w:firstLine="482"/>
              <w:rPr>
                <w:color w:val="auto"/>
                <w:szCs w:val="21"/>
              </w:rPr>
            </w:pPr>
            <w:r>
              <w:rPr>
                <w:color w:val="auto"/>
                <w:szCs w:val="21"/>
              </w:rPr>
              <w:t>当Q＜1时，该项目环境风险潜势为</w:t>
            </w:r>
            <w:r>
              <w:rPr>
                <w:color w:val="auto"/>
                <w:szCs w:val="21"/>
              </w:rPr>
              <w:fldChar w:fldCharType="begin"/>
            </w:r>
            <w:r>
              <w:rPr>
                <w:color w:val="auto"/>
                <w:szCs w:val="21"/>
              </w:rPr>
              <w:instrText xml:space="preserve"> = 1 \* ROMAN </w:instrText>
            </w:r>
            <w:r>
              <w:rPr>
                <w:color w:val="auto"/>
                <w:szCs w:val="21"/>
              </w:rPr>
              <w:fldChar w:fldCharType="separate"/>
            </w:r>
            <w:r>
              <w:rPr>
                <w:color w:val="auto"/>
                <w:szCs w:val="21"/>
              </w:rPr>
              <w:t>I</w:t>
            </w:r>
            <w:r>
              <w:rPr>
                <w:color w:val="auto"/>
                <w:szCs w:val="21"/>
              </w:rPr>
              <w:fldChar w:fldCharType="end"/>
            </w:r>
            <w:r>
              <w:rPr>
                <w:color w:val="auto"/>
                <w:szCs w:val="21"/>
              </w:rPr>
              <w:t>。</w:t>
            </w:r>
          </w:p>
          <w:p w14:paraId="250DD2DE">
            <w:pPr>
              <w:autoSpaceDE w:val="0"/>
              <w:autoSpaceDN w:val="0"/>
              <w:adjustRightInd w:val="0"/>
              <w:spacing w:line="360" w:lineRule="auto"/>
              <w:ind w:firstLine="420" w:firstLineChars="200"/>
              <w:jc w:val="left"/>
              <w:rPr>
                <w:rFonts w:hint="eastAsia"/>
                <w:color w:val="auto"/>
                <w:szCs w:val="21"/>
              </w:rPr>
            </w:pPr>
            <w:r>
              <w:rPr>
                <w:color w:val="auto"/>
                <w:szCs w:val="21"/>
              </w:rPr>
              <w:t>当Q≥1时，将Q值划分为（1）1≤Q＜10；（2）10≤Q＜100；（3）Q≥100。</w:t>
            </w:r>
          </w:p>
          <w:p w14:paraId="735EF2DA">
            <w:pPr>
              <w:autoSpaceDE w:val="0"/>
              <w:autoSpaceDN w:val="0"/>
              <w:adjustRightInd w:val="0"/>
              <w:spacing w:line="360" w:lineRule="auto"/>
              <w:jc w:val="center"/>
              <w:rPr>
                <w:rFonts w:hint="eastAsia" w:hAnsi="宋体"/>
                <w:b/>
                <w:color w:val="auto"/>
                <w:kern w:val="0"/>
                <w:szCs w:val="21"/>
              </w:rPr>
            </w:pPr>
            <w:r>
              <w:rPr>
                <w:rFonts w:hint="eastAsia" w:hAnsi="宋体"/>
                <w:b/>
                <w:color w:val="auto"/>
                <w:kern w:val="0"/>
                <w:szCs w:val="21"/>
              </w:rPr>
              <w:t>表7-</w:t>
            </w:r>
            <w:r>
              <w:rPr>
                <w:rFonts w:hint="eastAsia" w:hAnsi="宋体"/>
                <w:b/>
                <w:color w:val="auto"/>
                <w:kern w:val="0"/>
                <w:szCs w:val="21"/>
                <w:lang w:val="en-US" w:eastAsia="zh-CN"/>
              </w:rPr>
              <w:t>7</w:t>
            </w:r>
            <w:r>
              <w:rPr>
                <w:rFonts w:hint="eastAsia" w:hAnsi="宋体"/>
                <w:b/>
                <w:color w:val="auto"/>
                <w:kern w:val="0"/>
                <w:szCs w:val="21"/>
              </w:rPr>
              <w:t xml:space="preserve"> 危险物质与临界量的比值</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102"/>
              <w:gridCol w:w="2222"/>
              <w:gridCol w:w="1665"/>
              <w:gridCol w:w="1630"/>
              <w:gridCol w:w="1215"/>
            </w:tblGrid>
            <w:tr w14:paraId="4C14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89" w:type="pct"/>
                  <w:gridSpan w:val="2"/>
                  <w:noWrap w:val="0"/>
                  <w:vAlign w:val="center"/>
                </w:tcPr>
                <w:p w14:paraId="7D5E97D6">
                  <w:pPr>
                    <w:autoSpaceDE w:val="0"/>
                    <w:autoSpaceDN w:val="0"/>
                    <w:adjustRightInd w:val="0"/>
                    <w:jc w:val="center"/>
                    <w:rPr>
                      <w:b/>
                      <w:color w:val="auto"/>
                      <w:kern w:val="0"/>
                      <w:szCs w:val="21"/>
                    </w:rPr>
                  </w:pPr>
                  <w:r>
                    <w:rPr>
                      <w:rFonts w:hint="eastAsia"/>
                      <w:b/>
                      <w:color w:val="auto"/>
                      <w:kern w:val="0"/>
                      <w:szCs w:val="21"/>
                    </w:rPr>
                    <w:t>类别</w:t>
                  </w:r>
                </w:p>
              </w:tc>
              <w:tc>
                <w:tcPr>
                  <w:tcW w:w="1257" w:type="pct"/>
                  <w:noWrap w:val="0"/>
                  <w:vAlign w:val="center"/>
                </w:tcPr>
                <w:p w14:paraId="262C6BB2">
                  <w:pPr>
                    <w:autoSpaceDE w:val="0"/>
                    <w:autoSpaceDN w:val="0"/>
                    <w:adjustRightInd w:val="0"/>
                    <w:jc w:val="center"/>
                    <w:rPr>
                      <w:b/>
                      <w:color w:val="auto"/>
                      <w:kern w:val="0"/>
                      <w:szCs w:val="21"/>
                    </w:rPr>
                  </w:pPr>
                  <w:r>
                    <w:rPr>
                      <w:b/>
                      <w:color w:val="auto"/>
                      <w:kern w:val="0"/>
                      <w:szCs w:val="21"/>
                    </w:rPr>
                    <w:t>物质</w:t>
                  </w:r>
                </w:p>
              </w:tc>
              <w:tc>
                <w:tcPr>
                  <w:tcW w:w="942" w:type="pct"/>
                  <w:noWrap w:val="0"/>
                  <w:vAlign w:val="center"/>
                </w:tcPr>
                <w:p w14:paraId="602BD245">
                  <w:pPr>
                    <w:autoSpaceDE w:val="0"/>
                    <w:autoSpaceDN w:val="0"/>
                    <w:adjustRightInd w:val="0"/>
                    <w:jc w:val="center"/>
                    <w:rPr>
                      <w:b/>
                      <w:color w:val="auto"/>
                      <w:kern w:val="0"/>
                      <w:szCs w:val="21"/>
                    </w:rPr>
                  </w:pPr>
                  <w:r>
                    <w:rPr>
                      <w:rFonts w:hint="eastAsia"/>
                      <w:b/>
                      <w:color w:val="auto"/>
                      <w:kern w:val="0"/>
                      <w:szCs w:val="21"/>
                    </w:rPr>
                    <w:t>CAS</w:t>
                  </w:r>
                </w:p>
              </w:tc>
              <w:tc>
                <w:tcPr>
                  <w:tcW w:w="922" w:type="pct"/>
                  <w:noWrap w:val="0"/>
                  <w:vAlign w:val="center"/>
                </w:tcPr>
                <w:p w14:paraId="26794392">
                  <w:pPr>
                    <w:autoSpaceDE w:val="0"/>
                    <w:autoSpaceDN w:val="0"/>
                    <w:adjustRightInd w:val="0"/>
                    <w:jc w:val="center"/>
                    <w:rPr>
                      <w:rFonts w:hint="eastAsia"/>
                      <w:b/>
                      <w:color w:val="auto"/>
                      <w:kern w:val="0"/>
                      <w:szCs w:val="21"/>
                    </w:rPr>
                  </w:pPr>
                  <w:r>
                    <w:rPr>
                      <w:rFonts w:hint="eastAsia"/>
                      <w:b/>
                      <w:color w:val="auto"/>
                      <w:kern w:val="0"/>
                      <w:szCs w:val="21"/>
                    </w:rPr>
                    <w:t>数量</w:t>
                  </w:r>
                  <w:r>
                    <w:rPr>
                      <w:rFonts w:hint="eastAsia"/>
                      <w:color w:val="auto"/>
                      <w:kern w:val="0"/>
                      <w:szCs w:val="21"/>
                    </w:rPr>
                    <w:t>t</w:t>
                  </w:r>
                </w:p>
              </w:tc>
              <w:tc>
                <w:tcPr>
                  <w:tcW w:w="687" w:type="pct"/>
                  <w:noWrap w:val="0"/>
                  <w:vAlign w:val="center"/>
                </w:tcPr>
                <w:p w14:paraId="70BA9732">
                  <w:pPr>
                    <w:autoSpaceDE w:val="0"/>
                    <w:autoSpaceDN w:val="0"/>
                    <w:adjustRightInd w:val="0"/>
                    <w:jc w:val="center"/>
                    <w:rPr>
                      <w:rFonts w:hint="eastAsia"/>
                      <w:b/>
                      <w:color w:val="auto"/>
                      <w:kern w:val="0"/>
                      <w:szCs w:val="21"/>
                    </w:rPr>
                  </w:pPr>
                  <w:r>
                    <w:rPr>
                      <w:rFonts w:hint="eastAsia"/>
                      <w:b/>
                      <w:color w:val="auto"/>
                      <w:kern w:val="0"/>
                      <w:szCs w:val="21"/>
                    </w:rPr>
                    <w:t>临界量</w:t>
                  </w:r>
                </w:p>
              </w:tc>
            </w:tr>
            <w:tr w14:paraId="1F1A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65" w:type="pct"/>
                  <w:vMerge w:val="restart"/>
                  <w:noWrap w:val="0"/>
                  <w:vAlign w:val="center"/>
                </w:tcPr>
                <w:p w14:paraId="0CC71221">
                  <w:pPr>
                    <w:autoSpaceDE w:val="0"/>
                    <w:autoSpaceDN w:val="0"/>
                    <w:adjustRightInd w:val="0"/>
                    <w:jc w:val="center"/>
                    <w:rPr>
                      <w:color w:val="auto"/>
                      <w:kern w:val="0"/>
                      <w:szCs w:val="21"/>
                    </w:rPr>
                  </w:pPr>
                  <w:r>
                    <w:rPr>
                      <w:rFonts w:hint="eastAsia"/>
                      <w:color w:val="auto"/>
                      <w:kern w:val="0"/>
                      <w:szCs w:val="21"/>
                    </w:rPr>
                    <w:t>原辅料</w:t>
                  </w:r>
                </w:p>
              </w:tc>
              <w:tc>
                <w:tcPr>
                  <w:tcW w:w="623" w:type="pct"/>
                  <w:noWrap w:val="0"/>
                  <w:vAlign w:val="center"/>
                </w:tcPr>
                <w:p w14:paraId="27E73C2C">
                  <w:pPr>
                    <w:jc w:val="center"/>
                    <w:rPr>
                      <w:color w:val="auto"/>
                      <w:kern w:val="0"/>
                      <w:szCs w:val="21"/>
                    </w:rPr>
                  </w:pPr>
                  <w:r>
                    <w:rPr>
                      <w:rFonts w:hint="eastAsia"/>
                      <w:color w:val="auto"/>
                      <w:kern w:val="0"/>
                      <w:szCs w:val="21"/>
                    </w:rPr>
                    <w:t>可燃气体</w:t>
                  </w:r>
                </w:p>
              </w:tc>
              <w:tc>
                <w:tcPr>
                  <w:tcW w:w="1257" w:type="pct"/>
                  <w:noWrap w:val="0"/>
                  <w:vAlign w:val="center"/>
                </w:tcPr>
                <w:p w14:paraId="30F62A8B">
                  <w:pPr>
                    <w:jc w:val="center"/>
                    <w:rPr>
                      <w:rFonts w:hint="default" w:eastAsia="宋体"/>
                      <w:color w:val="auto"/>
                      <w:kern w:val="0"/>
                      <w:szCs w:val="21"/>
                      <w:lang w:val="en-US" w:eastAsia="zh-CN"/>
                    </w:rPr>
                  </w:pPr>
                  <w:r>
                    <w:rPr>
                      <w:rFonts w:hint="eastAsia"/>
                      <w:color w:val="auto"/>
                      <w:kern w:val="0"/>
                      <w:szCs w:val="21"/>
                      <w:lang w:val="en-US" w:eastAsia="zh-CN"/>
                    </w:rPr>
                    <w:t>液化石油气（丙烷）</w:t>
                  </w:r>
                </w:p>
              </w:tc>
              <w:tc>
                <w:tcPr>
                  <w:tcW w:w="942" w:type="pct"/>
                  <w:noWrap w:val="0"/>
                  <w:vAlign w:val="center"/>
                </w:tcPr>
                <w:p w14:paraId="65913667">
                  <w:pPr>
                    <w:jc w:val="center"/>
                    <w:rPr>
                      <w:rFonts w:hint="eastAsia"/>
                      <w:color w:val="auto"/>
                      <w:kern w:val="0"/>
                      <w:szCs w:val="21"/>
                    </w:rPr>
                  </w:pPr>
                  <w:r>
                    <w:rPr>
                      <w:rFonts w:hint="eastAsia"/>
                      <w:color w:val="auto"/>
                      <w:kern w:val="0"/>
                      <w:szCs w:val="21"/>
                    </w:rPr>
                    <w:t>74-98-6</w:t>
                  </w:r>
                </w:p>
              </w:tc>
              <w:tc>
                <w:tcPr>
                  <w:tcW w:w="922" w:type="pct"/>
                  <w:noWrap w:val="0"/>
                  <w:vAlign w:val="center"/>
                </w:tcPr>
                <w:p w14:paraId="16673503">
                  <w:pPr>
                    <w:jc w:val="center"/>
                    <w:rPr>
                      <w:rFonts w:hint="default" w:eastAsia="宋体"/>
                      <w:color w:val="auto"/>
                      <w:kern w:val="0"/>
                      <w:szCs w:val="21"/>
                      <w:lang w:val="en-US" w:eastAsia="zh-CN"/>
                    </w:rPr>
                  </w:pPr>
                  <w:r>
                    <w:rPr>
                      <w:rFonts w:hint="eastAsia"/>
                      <w:color w:val="auto"/>
                      <w:kern w:val="0"/>
                      <w:szCs w:val="21"/>
                      <w:lang w:val="en-US" w:eastAsia="zh-CN"/>
                    </w:rPr>
                    <w:t>1.505</w:t>
                  </w:r>
                </w:p>
              </w:tc>
              <w:tc>
                <w:tcPr>
                  <w:tcW w:w="687" w:type="pct"/>
                  <w:noWrap w:val="0"/>
                  <w:vAlign w:val="center"/>
                </w:tcPr>
                <w:p w14:paraId="1488B7D6">
                  <w:pPr>
                    <w:jc w:val="center"/>
                    <w:rPr>
                      <w:rFonts w:hint="default" w:eastAsia="宋体"/>
                      <w:color w:val="auto"/>
                      <w:kern w:val="0"/>
                      <w:szCs w:val="21"/>
                      <w:lang w:val="en-US" w:eastAsia="zh-CN"/>
                    </w:rPr>
                  </w:pPr>
                  <w:r>
                    <w:rPr>
                      <w:rFonts w:hint="eastAsia"/>
                      <w:color w:val="auto"/>
                      <w:kern w:val="0"/>
                      <w:szCs w:val="21"/>
                      <w:lang w:val="en-US" w:eastAsia="zh-CN"/>
                    </w:rPr>
                    <w:t>10</w:t>
                  </w:r>
                </w:p>
              </w:tc>
            </w:tr>
            <w:tr w14:paraId="7242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Merge w:val="continue"/>
                  <w:noWrap w:val="0"/>
                  <w:vAlign w:val="center"/>
                </w:tcPr>
                <w:p w14:paraId="753669FE">
                  <w:pPr>
                    <w:autoSpaceDE w:val="0"/>
                    <w:autoSpaceDN w:val="0"/>
                    <w:adjustRightInd w:val="0"/>
                    <w:jc w:val="center"/>
                    <w:rPr>
                      <w:rFonts w:hint="eastAsia"/>
                      <w:color w:val="auto"/>
                      <w:kern w:val="0"/>
                      <w:szCs w:val="21"/>
                    </w:rPr>
                  </w:pPr>
                </w:p>
              </w:tc>
              <w:tc>
                <w:tcPr>
                  <w:tcW w:w="623" w:type="pct"/>
                  <w:noWrap w:val="0"/>
                  <w:vAlign w:val="center"/>
                </w:tcPr>
                <w:p w14:paraId="251C303B">
                  <w:pPr>
                    <w:jc w:val="center"/>
                    <w:rPr>
                      <w:rFonts w:hint="eastAsia"/>
                      <w:color w:val="auto"/>
                      <w:kern w:val="0"/>
                      <w:szCs w:val="21"/>
                    </w:rPr>
                  </w:pPr>
                  <w:r>
                    <w:rPr>
                      <w:rFonts w:hint="eastAsia"/>
                      <w:color w:val="auto"/>
                      <w:kern w:val="0"/>
                      <w:szCs w:val="21"/>
                    </w:rPr>
                    <w:t>可燃气体</w:t>
                  </w:r>
                </w:p>
              </w:tc>
              <w:tc>
                <w:tcPr>
                  <w:tcW w:w="1257" w:type="pct"/>
                  <w:noWrap w:val="0"/>
                  <w:vAlign w:val="center"/>
                </w:tcPr>
                <w:p w14:paraId="5B15C464">
                  <w:pPr>
                    <w:jc w:val="center"/>
                    <w:rPr>
                      <w:rFonts w:hint="eastAsia" w:eastAsia="宋体"/>
                      <w:color w:val="auto"/>
                      <w:kern w:val="0"/>
                      <w:szCs w:val="21"/>
                      <w:lang w:eastAsia="zh-CN"/>
                    </w:rPr>
                  </w:pPr>
                  <w:r>
                    <w:rPr>
                      <w:rFonts w:hint="eastAsia"/>
                      <w:color w:val="auto"/>
                      <w:kern w:val="0"/>
                      <w:szCs w:val="21"/>
                      <w:lang w:val="en-US" w:eastAsia="zh-CN"/>
                    </w:rPr>
                    <w:t>天然气（甲烷）</w:t>
                  </w:r>
                </w:p>
              </w:tc>
              <w:tc>
                <w:tcPr>
                  <w:tcW w:w="942" w:type="pct"/>
                  <w:noWrap w:val="0"/>
                  <w:vAlign w:val="center"/>
                </w:tcPr>
                <w:p w14:paraId="200D2D37">
                  <w:pPr>
                    <w:jc w:val="center"/>
                    <w:rPr>
                      <w:rFonts w:hint="eastAsia"/>
                      <w:color w:val="auto"/>
                      <w:kern w:val="0"/>
                      <w:szCs w:val="21"/>
                    </w:rPr>
                  </w:pPr>
                  <w:r>
                    <w:rPr>
                      <w:rFonts w:hint="eastAsia"/>
                      <w:color w:val="auto"/>
                      <w:kern w:val="0"/>
                      <w:szCs w:val="21"/>
                    </w:rPr>
                    <w:t>74-82-8</w:t>
                  </w:r>
                </w:p>
              </w:tc>
              <w:tc>
                <w:tcPr>
                  <w:tcW w:w="922" w:type="pct"/>
                  <w:noWrap w:val="0"/>
                  <w:vAlign w:val="center"/>
                </w:tcPr>
                <w:p w14:paraId="093915AC">
                  <w:pPr>
                    <w:jc w:val="center"/>
                    <w:rPr>
                      <w:rFonts w:hint="default" w:eastAsia="宋体"/>
                      <w:color w:val="auto"/>
                      <w:kern w:val="0"/>
                      <w:szCs w:val="21"/>
                      <w:lang w:val="en-US" w:eastAsia="zh-CN"/>
                    </w:rPr>
                  </w:pPr>
                  <w:r>
                    <w:rPr>
                      <w:rFonts w:hint="eastAsia"/>
                      <w:color w:val="auto"/>
                      <w:kern w:val="0"/>
                      <w:szCs w:val="21"/>
                      <w:lang w:val="en-US" w:eastAsia="zh-CN"/>
                    </w:rPr>
                    <w:t>0.0133</w:t>
                  </w:r>
                </w:p>
              </w:tc>
              <w:tc>
                <w:tcPr>
                  <w:tcW w:w="687" w:type="pct"/>
                  <w:noWrap w:val="0"/>
                  <w:vAlign w:val="center"/>
                </w:tcPr>
                <w:p w14:paraId="48CF93B7">
                  <w:pPr>
                    <w:jc w:val="center"/>
                    <w:rPr>
                      <w:rFonts w:hint="default" w:eastAsia="宋体"/>
                      <w:color w:val="auto"/>
                      <w:kern w:val="0"/>
                      <w:szCs w:val="21"/>
                      <w:lang w:val="en-US" w:eastAsia="zh-CN"/>
                    </w:rPr>
                  </w:pPr>
                  <w:r>
                    <w:rPr>
                      <w:rFonts w:hint="eastAsia"/>
                      <w:color w:val="auto"/>
                      <w:kern w:val="0"/>
                      <w:szCs w:val="21"/>
                      <w:lang w:val="en-US" w:eastAsia="zh-CN"/>
                    </w:rPr>
                    <w:t>10</w:t>
                  </w:r>
                </w:p>
              </w:tc>
            </w:tr>
            <w:tr w14:paraId="7259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pct"/>
                  <w:vMerge w:val="continue"/>
                  <w:noWrap w:val="0"/>
                  <w:vAlign w:val="center"/>
                </w:tcPr>
                <w:p w14:paraId="166E6DF6">
                  <w:pPr>
                    <w:autoSpaceDE w:val="0"/>
                    <w:autoSpaceDN w:val="0"/>
                    <w:adjustRightInd w:val="0"/>
                    <w:jc w:val="center"/>
                    <w:rPr>
                      <w:rFonts w:hint="eastAsia"/>
                      <w:color w:val="auto"/>
                      <w:kern w:val="0"/>
                      <w:szCs w:val="21"/>
                    </w:rPr>
                  </w:pPr>
                </w:p>
              </w:tc>
              <w:tc>
                <w:tcPr>
                  <w:tcW w:w="623" w:type="pct"/>
                  <w:noWrap w:val="0"/>
                  <w:vAlign w:val="center"/>
                </w:tcPr>
                <w:p w14:paraId="3D403F72">
                  <w:pPr>
                    <w:jc w:val="center"/>
                    <w:rPr>
                      <w:rFonts w:hint="eastAsia"/>
                      <w:color w:val="auto"/>
                      <w:kern w:val="0"/>
                      <w:szCs w:val="21"/>
                    </w:rPr>
                  </w:pPr>
                  <w:r>
                    <w:rPr>
                      <w:rFonts w:hint="eastAsia"/>
                      <w:color w:val="auto"/>
                      <w:kern w:val="0"/>
                      <w:szCs w:val="21"/>
                    </w:rPr>
                    <w:t>可燃气体</w:t>
                  </w:r>
                </w:p>
              </w:tc>
              <w:tc>
                <w:tcPr>
                  <w:tcW w:w="1257" w:type="pct"/>
                  <w:noWrap w:val="0"/>
                  <w:vAlign w:val="center"/>
                </w:tcPr>
                <w:p w14:paraId="25CF2A23">
                  <w:pPr>
                    <w:jc w:val="center"/>
                    <w:rPr>
                      <w:rFonts w:hint="eastAsia" w:eastAsia="宋体"/>
                      <w:color w:val="auto"/>
                      <w:kern w:val="0"/>
                      <w:szCs w:val="21"/>
                      <w:lang w:eastAsia="zh-CN"/>
                    </w:rPr>
                  </w:pPr>
                  <w:r>
                    <w:rPr>
                      <w:rFonts w:hint="eastAsia"/>
                      <w:color w:val="auto"/>
                      <w:kern w:val="0"/>
                      <w:szCs w:val="21"/>
                      <w:lang w:val="en-US" w:eastAsia="zh-CN"/>
                    </w:rPr>
                    <w:t>液化天然气（甲烷）</w:t>
                  </w:r>
                </w:p>
              </w:tc>
              <w:tc>
                <w:tcPr>
                  <w:tcW w:w="942" w:type="pct"/>
                  <w:noWrap w:val="0"/>
                  <w:vAlign w:val="center"/>
                </w:tcPr>
                <w:p w14:paraId="3993E953">
                  <w:pPr>
                    <w:jc w:val="center"/>
                    <w:rPr>
                      <w:color w:val="auto"/>
                      <w:szCs w:val="21"/>
                    </w:rPr>
                  </w:pPr>
                  <w:r>
                    <w:rPr>
                      <w:rFonts w:hint="eastAsia"/>
                      <w:color w:val="auto"/>
                      <w:kern w:val="0"/>
                      <w:szCs w:val="21"/>
                    </w:rPr>
                    <w:t>74-82-8</w:t>
                  </w:r>
                </w:p>
              </w:tc>
              <w:tc>
                <w:tcPr>
                  <w:tcW w:w="922" w:type="pct"/>
                  <w:noWrap w:val="0"/>
                  <w:vAlign w:val="center"/>
                </w:tcPr>
                <w:p w14:paraId="6B4E450D">
                  <w:pPr>
                    <w:jc w:val="center"/>
                    <w:rPr>
                      <w:rFonts w:hint="default" w:eastAsia="宋体"/>
                      <w:color w:val="auto"/>
                      <w:kern w:val="0"/>
                      <w:szCs w:val="21"/>
                      <w:lang w:val="en-US" w:eastAsia="zh-CN"/>
                    </w:rPr>
                  </w:pPr>
                  <w:r>
                    <w:rPr>
                      <w:rFonts w:hint="eastAsia"/>
                      <w:color w:val="auto"/>
                      <w:kern w:val="0"/>
                      <w:szCs w:val="21"/>
                      <w:lang w:val="en-US" w:eastAsia="zh-CN"/>
                    </w:rPr>
                    <w:t>23</w:t>
                  </w:r>
                </w:p>
              </w:tc>
              <w:tc>
                <w:tcPr>
                  <w:tcW w:w="687" w:type="pct"/>
                  <w:noWrap w:val="0"/>
                  <w:vAlign w:val="center"/>
                </w:tcPr>
                <w:p w14:paraId="1AB8B1EA">
                  <w:pPr>
                    <w:jc w:val="center"/>
                    <w:rPr>
                      <w:rFonts w:hint="default" w:eastAsia="宋体"/>
                      <w:color w:val="auto"/>
                      <w:kern w:val="0"/>
                      <w:szCs w:val="21"/>
                      <w:lang w:val="en-US" w:eastAsia="zh-CN"/>
                    </w:rPr>
                  </w:pPr>
                  <w:r>
                    <w:rPr>
                      <w:rFonts w:hint="eastAsia"/>
                      <w:color w:val="auto"/>
                      <w:kern w:val="0"/>
                      <w:szCs w:val="21"/>
                      <w:lang w:val="en-US" w:eastAsia="zh-CN"/>
                    </w:rPr>
                    <w:t>10</w:t>
                  </w:r>
                </w:p>
              </w:tc>
            </w:tr>
            <w:tr w14:paraId="09BD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pct"/>
                  <w:vMerge w:val="continue"/>
                  <w:noWrap w:val="0"/>
                  <w:vAlign w:val="center"/>
                </w:tcPr>
                <w:p w14:paraId="065EB260">
                  <w:pPr>
                    <w:autoSpaceDE w:val="0"/>
                    <w:autoSpaceDN w:val="0"/>
                    <w:adjustRightInd w:val="0"/>
                    <w:jc w:val="center"/>
                    <w:rPr>
                      <w:rFonts w:hint="eastAsia"/>
                      <w:color w:val="auto"/>
                      <w:kern w:val="0"/>
                      <w:szCs w:val="21"/>
                    </w:rPr>
                  </w:pPr>
                </w:p>
              </w:tc>
              <w:tc>
                <w:tcPr>
                  <w:tcW w:w="623" w:type="pct"/>
                  <w:noWrap w:val="0"/>
                  <w:vAlign w:val="center"/>
                </w:tcPr>
                <w:p w14:paraId="645B6B78">
                  <w:pPr>
                    <w:jc w:val="center"/>
                    <w:rPr>
                      <w:rFonts w:hint="default" w:eastAsia="宋体"/>
                      <w:color w:val="auto"/>
                      <w:kern w:val="0"/>
                      <w:szCs w:val="21"/>
                      <w:lang w:val="en-US" w:eastAsia="zh-CN"/>
                    </w:rPr>
                  </w:pPr>
                  <w:r>
                    <w:rPr>
                      <w:rFonts w:hint="eastAsia"/>
                      <w:color w:val="auto"/>
                      <w:kern w:val="0"/>
                      <w:szCs w:val="21"/>
                      <w:lang w:val="en-US" w:eastAsia="zh-CN"/>
                    </w:rPr>
                    <w:t>可燃液体</w:t>
                  </w:r>
                </w:p>
              </w:tc>
              <w:tc>
                <w:tcPr>
                  <w:tcW w:w="1257" w:type="pct"/>
                  <w:noWrap w:val="0"/>
                  <w:vAlign w:val="center"/>
                </w:tcPr>
                <w:p w14:paraId="336B4997">
                  <w:pPr>
                    <w:jc w:val="center"/>
                    <w:rPr>
                      <w:rFonts w:hint="eastAsia" w:eastAsia="宋体"/>
                      <w:color w:val="auto"/>
                      <w:kern w:val="0"/>
                      <w:szCs w:val="21"/>
                      <w:lang w:val="en-US" w:eastAsia="zh-CN"/>
                    </w:rPr>
                  </w:pPr>
                  <w:r>
                    <w:rPr>
                      <w:rFonts w:hint="eastAsia"/>
                      <w:color w:val="auto"/>
                      <w:kern w:val="0"/>
                      <w:szCs w:val="21"/>
                      <w:lang w:val="en-US" w:eastAsia="zh-CN"/>
                    </w:rPr>
                    <w:t>柴油</w:t>
                  </w:r>
                </w:p>
              </w:tc>
              <w:tc>
                <w:tcPr>
                  <w:tcW w:w="942" w:type="pct"/>
                  <w:noWrap w:val="0"/>
                  <w:vAlign w:val="center"/>
                </w:tcPr>
                <w:p w14:paraId="2C643ED4">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922" w:type="pct"/>
                  <w:noWrap w:val="0"/>
                  <w:vAlign w:val="center"/>
                </w:tcPr>
                <w:p w14:paraId="48FFA859">
                  <w:pPr>
                    <w:jc w:val="center"/>
                    <w:rPr>
                      <w:rFonts w:hint="default" w:eastAsia="宋体"/>
                      <w:color w:val="auto"/>
                      <w:kern w:val="0"/>
                      <w:szCs w:val="21"/>
                      <w:lang w:val="en-US" w:eastAsia="zh-CN"/>
                    </w:rPr>
                  </w:pPr>
                  <w:r>
                    <w:rPr>
                      <w:rFonts w:hint="eastAsia"/>
                      <w:color w:val="auto"/>
                      <w:kern w:val="0"/>
                      <w:szCs w:val="21"/>
                      <w:lang w:val="en-US" w:eastAsia="zh-CN"/>
                    </w:rPr>
                    <w:t>0.36</w:t>
                  </w:r>
                </w:p>
              </w:tc>
              <w:tc>
                <w:tcPr>
                  <w:tcW w:w="687" w:type="pct"/>
                  <w:noWrap w:val="0"/>
                  <w:vAlign w:val="center"/>
                </w:tcPr>
                <w:p w14:paraId="41F4C59B">
                  <w:pPr>
                    <w:jc w:val="center"/>
                    <w:rPr>
                      <w:rFonts w:hint="default" w:eastAsia="宋体"/>
                      <w:color w:val="auto"/>
                      <w:kern w:val="0"/>
                      <w:szCs w:val="21"/>
                      <w:lang w:val="en-US" w:eastAsia="zh-CN"/>
                    </w:rPr>
                  </w:pPr>
                  <w:r>
                    <w:rPr>
                      <w:rFonts w:hint="eastAsia"/>
                      <w:color w:val="auto"/>
                      <w:kern w:val="0"/>
                      <w:szCs w:val="21"/>
                      <w:lang w:val="en-US" w:eastAsia="zh-CN"/>
                    </w:rPr>
                    <w:t>2500</w:t>
                  </w:r>
                </w:p>
              </w:tc>
            </w:tr>
            <w:tr w14:paraId="3772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pct"/>
                  <w:vMerge w:val="continue"/>
                  <w:noWrap w:val="0"/>
                  <w:vAlign w:val="center"/>
                </w:tcPr>
                <w:p w14:paraId="67D0CBDB">
                  <w:pPr>
                    <w:autoSpaceDE w:val="0"/>
                    <w:autoSpaceDN w:val="0"/>
                    <w:adjustRightInd w:val="0"/>
                    <w:jc w:val="center"/>
                    <w:rPr>
                      <w:rFonts w:hint="eastAsia"/>
                      <w:color w:val="auto"/>
                      <w:kern w:val="0"/>
                      <w:szCs w:val="21"/>
                    </w:rPr>
                  </w:pPr>
                </w:p>
              </w:tc>
              <w:tc>
                <w:tcPr>
                  <w:tcW w:w="623" w:type="pct"/>
                  <w:noWrap w:val="0"/>
                  <w:vAlign w:val="center"/>
                </w:tcPr>
                <w:p w14:paraId="50F1EF29">
                  <w:pPr>
                    <w:jc w:val="center"/>
                    <w:rPr>
                      <w:rFonts w:hint="default"/>
                      <w:color w:val="auto"/>
                      <w:kern w:val="0"/>
                      <w:szCs w:val="21"/>
                      <w:lang w:val="en-US" w:eastAsia="zh-CN"/>
                    </w:rPr>
                  </w:pPr>
                  <w:r>
                    <w:rPr>
                      <w:rFonts w:hint="eastAsia"/>
                      <w:color w:val="auto"/>
                      <w:kern w:val="0"/>
                      <w:szCs w:val="21"/>
                      <w:lang w:val="en-US" w:eastAsia="zh-CN"/>
                    </w:rPr>
                    <w:t>可燃液体</w:t>
                  </w:r>
                </w:p>
              </w:tc>
              <w:tc>
                <w:tcPr>
                  <w:tcW w:w="1257" w:type="pct"/>
                  <w:noWrap w:val="0"/>
                  <w:vAlign w:val="center"/>
                </w:tcPr>
                <w:p w14:paraId="2FB82DAA">
                  <w:pPr>
                    <w:jc w:val="center"/>
                    <w:rPr>
                      <w:rFonts w:hint="default"/>
                      <w:color w:val="auto"/>
                      <w:kern w:val="0"/>
                      <w:szCs w:val="21"/>
                      <w:lang w:val="en-US" w:eastAsia="zh-CN"/>
                    </w:rPr>
                  </w:pPr>
                  <w:r>
                    <w:rPr>
                      <w:rFonts w:hint="eastAsia"/>
                      <w:color w:val="auto"/>
                      <w:kern w:val="0"/>
                      <w:szCs w:val="21"/>
                      <w:lang w:val="en-US" w:eastAsia="zh-CN"/>
                    </w:rPr>
                    <w:t>机油</w:t>
                  </w:r>
                </w:p>
              </w:tc>
              <w:tc>
                <w:tcPr>
                  <w:tcW w:w="942" w:type="pct"/>
                  <w:noWrap w:val="0"/>
                  <w:vAlign w:val="center"/>
                </w:tcPr>
                <w:p w14:paraId="51FC6C4B">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922" w:type="pct"/>
                  <w:noWrap w:val="0"/>
                  <w:vAlign w:val="center"/>
                </w:tcPr>
                <w:p w14:paraId="3C20145B">
                  <w:pPr>
                    <w:jc w:val="center"/>
                    <w:rPr>
                      <w:rFonts w:hint="default" w:eastAsia="宋体"/>
                      <w:color w:val="auto"/>
                      <w:kern w:val="0"/>
                      <w:szCs w:val="21"/>
                      <w:lang w:val="en-US" w:eastAsia="zh-CN"/>
                    </w:rPr>
                  </w:pPr>
                  <w:r>
                    <w:rPr>
                      <w:rFonts w:hint="eastAsia"/>
                      <w:color w:val="auto"/>
                      <w:kern w:val="0"/>
                      <w:szCs w:val="21"/>
                      <w:lang w:val="en-US" w:eastAsia="zh-CN"/>
                    </w:rPr>
                    <w:t>1</w:t>
                  </w:r>
                </w:p>
              </w:tc>
              <w:tc>
                <w:tcPr>
                  <w:tcW w:w="687" w:type="pct"/>
                  <w:noWrap w:val="0"/>
                  <w:vAlign w:val="center"/>
                </w:tcPr>
                <w:p w14:paraId="1A29908E">
                  <w:pPr>
                    <w:jc w:val="center"/>
                    <w:rPr>
                      <w:rFonts w:hint="default" w:eastAsia="宋体"/>
                      <w:color w:val="auto"/>
                      <w:kern w:val="0"/>
                      <w:szCs w:val="21"/>
                      <w:lang w:val="en-US" w:eastAsia="zh-CN"/>
                    </w:rPr>
                  </w:pPr>
                  <w:r>
                    <w:rPr>
                      <w:rFonts w:hint="eastAsia"/>
                      <w:color w:val="auto"/>
                      <w:kern w:val="0"/>
                      <w:szCs w:val="21"/>
                      <w:lang w:val="en-US" w:eastAsia="zh-CN"/>
                    </w:rPr>
                    <w:t>2500</w:t>
                  </w:r>
                </w:p>
              </w:tc>
            </w:tr>
            <w:tr w14:paraId="5EAC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9" w:type="pct"/>
                  <w:gridSpan w:val="2"/>
                  <w:vMerge w:val="restart"/>
                  <w:noWrap w:val="0"/>
                  <w:vAlign w:val="center"/>
                </w:tcPr>
                <w:p w14:paraId="7F831403">
                  <w:pPr>
                    <w:jc w:val="center"/>
                    <w:rPr>
                      <w:rFonts w:hint="eastAsia" w:eastAsia="宋体"/>
                      <w:color w:val="auto"/>
                      <w:kern w:val="0"/>
                      <w:szCs w:val="21"/>
                      <w:lang w:val="en-US" w:eastAsia="zh-CN"/>
                    </w:rPr>
                  </w:pPr>
                  <w:r>
                    <w:rPr>
                      <w:rFonts w:hint="eastAsia"/>
                      <w:color w:val="auto"/>
                      <w:kern w:val="0"/>
                      <w:szCs w:val="21"/>
                      <w:lang w:val="en-US" w:eastAsia="zh-CN"/>
                    </w:rPr>
                    <w:t>废气</w:t>
                  </w:r>
                </w:p>
              </w:tc>
              <w:tc>
                <w:tcPr>
                  <w:tcW w:w="1257" w:type="pct"/>
                  <w:noWrap w:val="0"/>
                  <w:vAlign w:val="center"/>
                </w:tcPr>
                <w:p w14:paraId="6895E1F9">
                  <w:pPr>
                    <w:jc w:val="center"/>
                    <w:rPr>
                      <w:color w:val="auto"/>
                      <w:kern w:val="0"/>
                      <w:szCs w:val="21"/>
                    </w:rPr>
                  </w:pPr>
                  <w:r>
                    <w:rPr>
                      <w:rFonts w:hint="eastAsia"/>
                      <w:color w:val="auto"/>
                      <w:kern w:val="0"/>
                      <w:szCs w:val="21"/>
                      <w:lang w:val="en-US" w:eastAsia="zh-CN"/>
                    </w:rPr>
                    <w:t>二氧化硫</w:t>
                  </w:r>
                </w:p>
              </w:tc>
              <w:tc>
                <w:tcPr>
                  <w:tcW w:w="942" w:type="pct"/>
                  <w:noWrap w:val="0"/>
                  <w:vAlign w:val="center"/>
                </w:tcPr>
                <w:p w14:paraId="72933D0D">
                  <w:pPr>
                    <w:jc w:val="center"/>
                    <w:rPr>
                      <w:rFonts w:hint="eastAsia"/>
                      <w:color w:val="auto"/>
                      <w:kern w:val="0"/>
                      <w:szCs w:val="21"/>
                    </w:rPr>
                  </w:pPr>
                  <w:r>
                    <w:rPr>
                      <w:rFonts w:hint="eastAsia"/>
                      <w:color w:val="auto"/>
                      <w:kern w:val="0"/>
                      <w:szCs w:val="21"/>
                    </w:rPr>
                    <w:t>7446-09-5</w:t>
                  </w:r>
                </w:p>
              </w:tc>
              <w:tc>
                <w:tcPr>
                  <w:tcW w:w="922" w:type="pct"/>
                  <w:noWrap w:val="0"/>
                  <w:vAlign w:val="center"/>
                </w:tcPr>
                <w:p w14:paraId="42D89535">
                  <w:pPr>
                    <w:jc w:val="center"/>
                    <w:rPr>
                      <w:rFonts w:hint="default" w:eastAsia="宋体"/>
                      <w:color w:val="auto"/>
                      <w:kern w:val="0"/>
                      <w:szCs w:val="21"/>
                      <w:lang w:val="en-US" w:eastAsia="zh-CN"/>
                    </w:rPr>
                  </w:pPr>
                  <w:r>
                    <w:rPr>
                      <w:rFonts w:hint="eastAsia"/>
                      <w:color w:val="auto"/>
                      <w:kern w:val="0"/>
                      <w:szCs w:val="21"/>
                      <w:lang w:val="en-US" w:eastAsia="zh-CN"/>
                    </w:rPr>
                    <w:t>0.001</w:t>
                  </w:r>
                </w:p>
              </w:tc>
              <w:tc>
                <w:tcPr>
                  <w:tcW w:w="687" w:type="pct"/>
                  <w:noWrap w:val="0"/>
                  <w:vAlign w:val="center"/>
                </w:tcPr>
                <w:p w14:paraId="1BD8EBA0">
                  <w:pPr>
                    <w:jc w:val="center"/>
                    <w:rPr>
                      <w:rFonts w:hint="eastAsia" w:eastAsia="宋体"/>
                      <w:color w:val="auto"/>
                      <w:kern w:val="0"/>
                      <w:szCs w:val="21"/>
                      <w:lang w:val="en-US" w:eastAsia="zh-CN"/>
                    </w:rPr>
                  </w:pPr>
                  <w:r>
                    <w:rPr>
                      <w:rFonts w:hint="eastAsia"/>
                      <w:color w:val="auto"/>
                      <w:kern w:val="0"/>
                      <w:szCs w:val="21"/>
                      <w:lang w:val="en-US" w:eastAsia="zh-CN"/>
                    </w:rPr>
                    <w:t>1</w:t>
                  </w:r>
                </w:p>
              </w:tc>
            </w:tr>
            <w:tr w14:paraId="7CCE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89" w:type="pct"/>
                  <w:gridSpan w:val="2"/>
                  <w:vMerge w:val="continue"/>
                  <w:noWrap w:val="0"/>
                  <w:vAlign w:val="center"/>
                </w:tcPr>
                <w:p w14:paraId="7B940BE4">
                  <w:pPr>
                    <w:jc w:val="center"/>
                    <w:rPr>
                      <w:rFonts w:hint="eastAsia" w:eastAsia="宋体"/>
                      <w:color w:val="auto"/>
                      <w:kern w:val="0"/>
                      <w:szCs w:val="21"/>
                      <w:lang w:val="en-US" w:eastAsia="zh-CN"/>
                    </w:rPr>
                  </w:pPr>
                </w:p>
              </w:tc>
              <w:tc>
                <w:tcPr>
                  <w:tcW w:w="1257" w:type="pct"/>
                  <w:noWrap w:val="0"/>
                  <w:vAlign w:val="center"/>
                </w:tcPr>
                <w:p w14:paraId="760D8A14">
                  <w:pPr>
                    <w:jc w:val="center"/>
                    <w:rPr>
                      <w:color w:val="auto"/>
                      <w:kern w:val="0"/>
                      <w:szCs w:val="21"/>
                    </w:rPr>
                  </w:pPr>
                  <w:r>
                    <w:rPr>
                      <w:rFonts w:hint="eastAsia"/>
                      <w:color w:val="auto"/>
                      <w:kern w:val="0"/>
                      <w:szCs w:val="21"/>
                      <w:lang w:val="en-US" w:eastAsia="zh-CN"/>
                    </w:rPr>
                    <w:t>二氧化氮</w:t>
                  </w:r>
                </w:p>
              </w:tc>
              <w:tc>
                <w:tcPr>
                  <w:tcW w:w="942" w:type="pct"/>
                  <w:noWrap w:val="0"/>
                  <w:vAlign w:val="center"/>
                </w:tcPr>
                <w:p w14:paraId="54CE7D8F">
                  <w:pPr>
                    <w:jc w:val="center"/>
                    <w:rPr>
                      <w:color w:val="auto"/>
                      <w:szCs w:val="21"/>
                    </w:rPr>
                  </w:pPr>
                  <w:r>
                    <w:rPr>
                      <w:rFonts w:hint="eastAsia"/>
                      <w:color w:val="auto"/>
                      <w:szCs w:val="21"/>
                    </w:rPr>
                    <w:t>10102-44-0</w:t>
                  </w:r>
                </w:p>
              </w:tc>
              <w:tc>
                <w:tcPr>
                  <w:tcW w:w="922" w:type="pct"/>
                  <w:noWrap w:val="0"/>
                  <w:vAlign w:val="center"/>
                </w:tcPr>
                <w:p w14:paraId="1980AF61">
                  <w:pPr>
                    <w:jc w:val="center"/>
                    <w:rPr>
                      <w:rFonts w:hint="default" w:eastAsia="宋体"/>
                      <w:color w:val="auto"/>
                      <w:kern w:val="0"/>
                      <w:szCs w:val="21"/>
                      <w:lang w:val="en-US" w:eastAsia="zh-CN"/>
                    </w:rPr>
                  </w:pPr>
                  <w:r>
                    <w:rPr>
                      <w:rFonts w:hint="eastAsia"/>
                      <w:color w:val="auto"/>
                      <w:kern w:val="0"/>
                      <w:szCs w:val="21"/>
                      <w:lang w:val="en-US" w:eastAsia="zh-CN"/>
                    </w:rPr>
                    <w:t>0.019</w:t>
                  </w:r>
                </w:p>
              </w:tc>
              <w:tc>
                <w:tcPr>
                  <w:tcW w:w="687" w:type="pct"/>
                  <w:noWrap w:val="0"/>
                  <w:vAlign w:val="center"/>
                </w:tcPr>
                <w:p w14:paraId="6AE9049A">
                  <w:pPr>
                    <w:jc w:val="center"/>
                    <w:rPr>
                      <w:rFonts w:hint="default" w:eastAsia="宋体"/>
                      <w:color w:val="auto"/>
                      <w:kern w:val="0"/>
                      <w:szCs w:val="21"/>
                      <w:lang w:val="en-US" w:eastAsia="zh-CN"/>
                    </w:rPr>
                  </w:pPr>
                  <w:r>
                    <w:rPr>
                      <w:rFonts w:hint="eastAsia"/>
                      <w:color w:val="auto"/>
                      <w:kern w:val="0"/>
                      <w:szCs w:val="21"/>
                      <w:lang w:val="en-US" w:eastAsia="zh-CN"/>
                    </w:rPr>
                    <w:t>2.5</w:t>
                  </w:r>
                </w:p>
              </w:tc>
            </w:tr>
            <w:tr w14:paraId="19E6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89" w:type="pct"/>
                  <w:gridSpan w:val="2"/>
                  <w:vMerge w:val="continue"/>
                  <w:noWrap w:val="0"/>
                  <w:vAlign w:val="center"/>
                </w:tcPr>
                <w:p w14:paraId="6984D701">
                  <w:pPr>
                    <w:ind w:firstLine="210" w:firstLineChars="100"/>
                    <w:rPr>
                      <w:rFonts w:hint="eastAsia"/>
                      <w:color w:val="auto"/>
                      <w:kern w:val="0"/>
                      <w:szCs w:val="21"/>
                    </w:rPr>
                  </w:pPr>
                </w:p>
              </w:tc>
              <w:tc>
                <w:tcPr>
                  <w:tcW w:w="1257" w:type="pct"/>
                  <w:noWrap w:val="0"/>
                  <w:vAlign w:val="center"/>
                </w:tcPr>
                <w:p w14:paraId="546854C9">
                  <w:pPr>
                    <w:jc w:val="center"/>
                    <w:rPr>
                      <w:rFonts w:hint="eastAsia" w:eastAsia="宋体"/>
                      <w:color w:val="auto"/>
                      <w:kern w:val="0"/>
                      <w:szCs w:val="21"/>
                      <w:lang w:val="en-US" w:eastAsia="zh-CN"/>
                    </w:rPr>
                  </w:pPr>
                  <w:r>
                    <w:rPr>
                      <w:rFonts w:hint="eastAsia"/>
                      <w:color w:val="auto"/>
                      <w:kern w:val="0"/>
                      <w:szCs w:val="21"/>
                      <w:lang w:val="en-US" w:eastAsia="zh-CN"/>
                    </w:rPr>
                    <w:t>氨气</w:t>
                  </w:r>
                </w:p>
              </w:tc>
              <w:tc>
                <w:tcPr>
                  <w:tcW w:w="942" w:type="pct"/>
                  <w:noWrap w:val="0"/>
                  <w:vAlign w:val="center"/>
                </w:tcPr>
                <w:p w14:paraId="74F6C03E">
                  <w:pPr>
                    <w:jc w:val="center"/>
                    <w:rPr>
                      <w:color w:val="auto"/>
                      <w:szCs w:val="21"/>
                    </w:rPr>
                  </w:pPr>
                  <w:r>
                    <w:rPr>
                      <w:color w:val="auto"/>
                      <w:szCs w:val="21"/>
                    </w:rPr>
                    <w:t>7664-41-7</w:t>
                  </w:r>
                </w:p>
              </w:tc>
              <w:tc>
                <w:tcPr>
                  <w:tcW w:w="922" w:type="pct"/>
                  <w:noWrap w:val="0"/>
                  <w:vAlign w:val="center"/>
                </w:tcPr>
                <w:p w14:paraId="48A66458">
                  <w:pPr>
                    <w:jc w:val="center"/>
                    <w:rPr>
                      <w:rFonts w:hint="default" w:eastAsia="宋体"/>
                      <w:color w:val="auto"/>
                      <w:kern w:val="0"/>
                      <w:szCs w:val="21"/>
                      <w:lang w:val="en-US" w:eastAsia="zh-CN"/>
                    </w:rPr>
                  </w:pPr>
                  <w:r>
                    <w:rPr>
                      <w:rFonts w:hint="eastAsia"/>
                      <w:color w:val="auto"/>
                      <w:kern w:val="0"/>
                      <w:szCs w:val="21"/>
                      <w:lang w:val="en-US" w:eastAsia="zh-CN"/>
                    </w:rPr>
                    <w:t>0.00005</w:t>
                  </w:r>
                </w:p>
              </w:tc>
              <w:tc>
                <w:tcPr>
                  <w:tcW w:w="687" w:type="pct"/>
                  <w:noWrap w:val="0"/>
                  <w:vAlign w:val="center"/>
                </w:tcPr>
                <w:p w14:paraId="36721C31">
                  <w:pPr>
                    <w:jc w:val="center"/>
                    <w:rPr>
                      <w:rFonts w:hint="eastAsia" w:eastAsia="宋体"/>
                      <w:color w:val="auto"/>
                      <w:kern w:val="0"/>
                      <w:szCs w:val="21"/>
                      <w:lang w:val="en-US" w:eastAsia="zh-CN"/>
                    </w:rPr>
                  </w:pPr>
                  <w:r>
                    <w:rPr>
                      <w:rFonts w:hint="eastAsia"/>
                      <w:color w:val="auto"/>
                      <w:kern w:val="0"/>
                      <w:szCs w:val="21"/>
                      <w:lang w:val="en-US" w:eastAsia="zh-CN"/>
                    </w:rPr>
                    <w:t>5</w:t>
                  </w:r>
                </w:p>
              </w:tc>
            </w:tr>
            <w:tr w14:paraId="1AE2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pct"/>
                  <w:noWrap w:val="0"/>
                  <w:vAlign w:val="center"/>
                </w:tcPr>
                <w:p w14:paraId="1AF8AEE4">
                  <w:pPr>
                    <w:autoSpaceDE w:val="0"/>
                    <w:autoSpaceDN w:val="0"/>
                    <w:adjustRightInd w:val="0"/>
                    <w:jc w:val="center"/>
                    <w:rPr>
                      <w:rFonts w:hint="eastAsia" w:eastAsia="宋体"/>
                      <w:color w:val="auto"/>
                      <w:kern w:val="0"/>
                      <w:szCs w:val="21"/>
                      <w:lang w:val="en-US" w:eastAsia="zh-CN"/>
                    </w:rPr>
                  </w:pPr>
                  <w:r>
                    <w:rPr>
                      <w:rFonts w:hint="eastAsia"/>
                      <w:color w:val="auto"/>
                      <w:kern w:val="0"/>
                      <w:szCs w:val="21"/>
                      <w:lang w:val="en-US" w:eastAsia="zh-CN"/>
                    </w:rPr>
                    <w:t>危废</w:t>
                  </w:r>
                </w:p>
              </w:tc>
              <w:tc>
                <w:tcPr>
                  <w:tcW w:w="623" w:type="pct"/>
                  <w:noWrap w:val="0"/>
                  <w:vAlign w:val="center"/>
                </w:tcPr>
                <w:p w14:paraId="48D8BC1B">
                  <w:pPr>
                    <w:jc w:val="center"/>
                    <w:rPr>
                      <w:rFonts w:hint="eastAsia"/>
                      <w:color w:val="auto"/>
                      <w:kern w:val="0"/>
                      <w:szCs w:val="21"/>
                    </w:rPr>
                  </w:pPr>
                  <w:r>
                    <w:rPr>
                      <w:rFonts w:hint="eastAsia"/>
                      <w:color w:val="auto"/>
                      <w:kern w:val="0"/>
                      <w:szCs w:val="21"/>
                      <w:lang w:val="en-US" w:eastAsia="zh-CN"/>
                    </w:rPr>
                    <w:t>可燃液体</w:t>
                  </w:r>
                </w:p>
              </w:tc>
              <w:tc>
                <w:tcPr>
                  <w:tcW w:w="1257" w:type="pct"/>
                  <w:noWrap w:val="0"/>
                  <w:vAlign w:val="center"/>
                </w:tcPr>
                <w:p w14:paraId="54146E30">
                  <w:pPr>
                    <w:jc w:val="center"/>
                    <w:rPr>
                      <w:rFonts w:hint="eastAsia" w:eastAsia="宋体"/>
                      <w:color w:val="auto"/>
                      <w:kern w:val="0"/>
                      <w:szCs w:val="21"/>
                      <w:lang w:val="en-US" w:eastAsia="zh-CN"/>
                    </w:rPr>
                  </w:pPr>
                  <w:r>
                    <w:rPr>
                      <w:rFonts w:hint="eastAsia"/>
                      <w:color w:val="auto"/>
                      <w:kern w:val="0"/>
                      <w:szCs w:val="21"/>
                      <w:lang w:val="en-US" w:eastAsia="zh-CN"/>
                    </w:rPr>
                    <w:t>废机油</w:t>
                  </w:r>
                </w:p>
              </w:tc>
              <w:tc>
                <w:tcPr>
                  <w:tcW w:w="942" w:type="pct"/>
                  <w:noWrap w:val="0"/>
                  <w:vAlign w:val="center"/>
                </w:tcPr>
                <w:p w14:paraId="7FDBD0F8">
                  <w:pPr>
                    <w:jc w:val="center"/>
                    <w:rPr>
                      <w:rFonts w:hint="default" w:eastAsia="宋体"/>
                      <w:color w:val="auto"/>
                      <w:kern w:val="0"/>
                      <w:szCs w:val="21"/>
                      <w:lang w:val="en-US" w:eastAsia="zh-CN"/>
                    </w:rPr>
                  </w:pPr>
                  <w:r>
                    <w:rPr>
                      <w:rFonts w:hint="eastAsia"/>
                      <w:color w:val="auto"/>
                      <w:kern w:val="0"/>
                      <w:szCs w:val="21"/>
                      <w:lang w:val="en-US" w:eastAsia="zh-CN"/>
                    </w:rPr>
                    <w:t>/</w:t>
                  </w:r>
                </w:p>
              </w:tc>
              <w:tc>
                <w:tcPr>
                  <w:tcW w:w="922" w:type="pct"/>
                  <w:noWrap w:val="0"/>
                  <w:vAlign w:val="center"/>
                </w:tcPr>
                <w:p w14:paraId="1C35CC3D">
                  <w:pPr>
                    <w:jc w:val="center"/>
                    <w:rPr>
                      <w:rFonts w:hint="eastAsia" w:eastAsia="宋体"/>
                      <w:color w:val="auto"/>
                      <w:kern w:val="0"/>
                      <w:szCs w:val="21"/>
                      <w:lang w:val="en-US" w:eastAsia="zh-CN"/>
                    </w:rPr>
                  </w:pPr>
                  <w:r>
                    <w:rPr>
                      <w:rFonts w:hint="eastAsia"/>
                      <w:color w:val="auto"/>
                      <w:kern w:val="0"/>
                      <w:szCs w:val="21"/>
                      <w:lang w:val="en-US" w:eastAsia="zh-CN"/>
                    </w:rPr>
                    <w:t>1</w:t>
                  </w:r>
                </w:p>
              </w:tc>
              <w:tc>
                <w:tcPr>
                  <w:tcW w:w="687" w:type="pct"/>
                  <w:noWrap w:val="0"/>
                  <w:vAlign w:val="center"/>
                </w:tcPr>
                <w:p w14:paraId="768E135D">
                  <w:pPr>
                    <w:jc w:val="center"/>
                    <w:rPr>
                      <w:rFonts w:hint="default" w:eastAsia="宋体"/>
                      <w:color w:val="auto"/>
                      <w:kern w:val="0"/>
                      <w:szCs w:val="21"/>
                      <w:lang w:val="en-US" w:eastAsia="zh-CN"/>
                    </w:rPr>
                  </w:pPr>
                  <w:r>
                    <w:rPr>
                      <w:rFonts w:hint="eastAsia"/>
                      <w:color w:val="auto"/>
                      <w:kern w:val="0"/>
                      <w:szCs w:val="21"/>
                      <w:lang w:val="en-US" w:eastAsia="zh-CN"/>
                    </w:rPr>
                    <w:t>2500</w:t>
                  </w:r>
                </w:p>
              </w:tc>
            </w:tr>
            <w:tr w14:paraId="1241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pct"/>
                  <w:noWrap w:val="0"/>
                  <w:vAlign w:val="center"/>
                </w:tcPr>
                <w:p w14:paraId="3C6C805B">
                  <w:pPr>
                    <w:autoSpaceDE w:val="0"/>
                    <w:autoSpaceDN w:val="0"/>
                    <w:adjustRightInd w:val="0"/>
                    <w:snapToGrid w:val="0"/>
                    <w:ind w:left="-105" w:leftChars="-50" w:right="-105" w:rightChars="-50"/>
                    <w:jc w:val="center"/>
                    <w:rPr>
                      <w:rFonts w:hAnsi="宋体"/>
                      <w:color w:val="auto"/>
                      <w:kern w:val="0"/>
                      <w:szCs w:val="21"/>
                    </w:rPr>
                  </w:pPr>
                  <w:r>
                    <w:rPr>
                      <w:rFonts w:hint="eastAsia"/>
                      <w:color w:val="auto"/>
                      <w:kern w:val="0"/>
                      <w:szCs w:val="21"/>
                    </w:rPr>
                    <w:t>火灾和爆炸伴生/次生物</w:t>
                  </w:r>
                </w:p>
              </w:tc>
              <w:tc>
                <w:tcPr>
                  <w:tcW w:w="623" w:type="pct"/>
                  <w:noWrap w:val="0"/>
                  <w:vAlign w:val="center"/>
                </w:tcPr>
                <w:p w14:paraId="7C4D5EDE">
                  <w:pPr>
                    <w:autoSpaceDE w:val="0"/>
                    <w:autoSpaceDN w:val="0"/>
                    <w:adjustRightInd w:val="0"/>
                    <w:snapToGrid w:val="0"/>
                    <w:jc w:val="center"/>
                    <w:rPr>
                      <w:rFonts w:hAnsi="宋体"/>
                      <w:color w:val="auto"/>
                      <w:szCs w:val="21"/>
                      <w:shd w:val="clear" w:color="auto" w:fill="FFFFFF"/>
                    </w:rPr>
                  </w:pPr>
                  <w:r>
                    <w:rPr>
                      <w:rFonts w:hint="eastAsia" w:hAnsi="宋体"/>
                      <w:color w:val="auto"/>
                      <w:kern w:val="0"/>
                      <w:szCs w:val="21"/>
                    </w:rPr>
                    <w:t>有毒可燃气体</w:t>
                  </w:r>
                </w:p>
              </w:tc>
              <w:tc>
                <w:tcPr>
                  <w:tcW w:w="1257" w:type="pct"/>
                  <w:noWrap w:val="0"/>
                  <w:vAlign w:val="center"/>
                </w:tcPr>
                <w:p w14:paraId="0FE25ECB">
                  <w:pPr>
                    <w:jc w:val="center"/>
                    <w:rPr>
                      <w:rFonts w:hint="eastAsia"/>
                      <w:color w:val="auto"/>
                      <w:kern w:val="0"/>
                      <w:szCs w:val="21"/>
                    </w:rPr>
                  </w:pPr>
                  <w:r>
                    <w:rPr>
                      <w:rFonts w:hAnsi="宋体"/>
                      <w:color w:val="auto"/>
                      <w:szCs w:val="21"/>
                      <w:shd w:val="clear" w:color="auto" w:fill="FFFFFF"/>
                    </w:rPr>
                    <w:t>CO</w:t>
                  </w:r>
                </w:p>
              </w:tc>
              <w:tc>
                <w:tcPr>
                  <w:tcW w:w="942" w:type="pct"/>
                  <w:noWrap w:val="0"/>
                  <w:vAlign w:val="center"/>
                </w:tcPr>
                <w:p w14:paraId="63E6F615">
                  <w:pPr>
                    <w:jc w:val="center"/>
                    <w:rPr>
                      <w:rFonts w:hint="eastAsia"/>
                      <w:color w:val="auto"/>
                      <w:kern w:val="0"/>
                      <w:szCs w:val="21"/>
                    </w:rPr>
                  </w:pPr>
                  <w:r>
                    <w:rPr>
                      <w:rFonts w:hint="eastAsia"/>
                      <w:color w:val="auto"/>
                      <w:kern w:val="0"/>
                      <w:szCs w:val="21"/>
                    </w:rPr>
                    <w:t>630-08-0</w:t>
                  </w:r>
                </w:p>
              </w:tc>
              <w:tc>
                <w:tcPr>
                  <w:tcW w:w="922" w:type="pct"/>
                  <w:noWrap w:val="0"/>
                  <w:vAlign w:val="center"/>
                </w:tcPr>
                <w:p w14:paraId="6E742729">
                  <w:pPr>
                    <w:jc w:val="center"/>
                    <w:rPr>
                      <w:rFonts w:hint="eastAsia"/>
                      <w:color w:val="auto"/>
                      <w:kern w:val="0"/>
                      <w:szCs w:val="21"/>
                    </w:rPr>
                  </w:pPr>
                  <w:r>
                    <w:rPr>
                      <w:rFonts w:hint="eastAsia"/>
                      <w:color w:val="auto"/>
                      <w:kern w:val="0"/>
                      <w:szCs w:val="21"/>
                    </w:rPr>
                    <w:t>/</w:t>
                  </w:r>
                </w:p>
              </w:tc>
              <w:tc>
                <w:tcPr>
                  <w:tcW w:w="687" w:type="pct"/>
                  <w:noWrap w:val="0"/>
                  <w:vAlign w:val="center"/>
                </w:tcPr>
                <w:p w14:paraId="104E5456">
                  <w:pPr>
                    <w:jc w:val="center"/>
                    <w:rPr>
                      <w:rFonts w:hint="eastAsia"/>
                      <w:color w:val="auto"/>
                      <w:kern w:val="0"/>
                      <w:szCs w:val="21"/>
                    </w:rPr>
                  </w:pPr>
                  <w:r>
                    <w:rPr>
                      <w:rFonts w:hint="eastAsia"/>
                      <w:color w:val="auto"/>
                      <w:kern w:val="0"/>
                      <w:szCs w:val="21"/>
                    </w:rPr>
                    <w:t>/</w:t>
                  </w:r>
                </w:p>
              </w:tc>
            </w:tr>
          </w:tbl>
          <w:p w14:paraId="28C7DF4C">
            <w:pPr>
              <w:spacing w:line="360" w:lineRule="auto"/>
              <w:ind w:firstLine="420" w:firstLineChars="200"/>
              <w:rPr>
                <w:rFonts w:hint="eastAsia"/>
                <w:color w:val="auto"/>
                <w:szCs w:val="21"/>
              </w:rPr>
            </w:pPr>
            <w:r>
              <w:rPr>
                <w:rFonts w:hint="eastAsia"/>
                <w:color w:val="auto"/>
                <w:szCs w:val="21"/>
              </w:rPr>
              <w:t>临界量根据导则附录B表B.1中的的临界量，详见表7-1。根据上式计算，</w:t>
            </w:r>
            <w:r>
              <w:rPr>
                <w:rFonts w:hint="eastAsia" w:hAnsi="宋体"/>
                <w:color w:val="auto"/>
                <w:szCs w:val="21"/>
              </w:rPr>
              <w:t>危险物质数量与临界量比值</w:t>
            </w:r>
            <w:r>
              <w:rPr>
                <w:rFonts w:hAnsi="宋体"/>
                <w:color w:val="auto"/>
                <w:szCs w:val="21"/>
              </w:rPr>
              <w:t>Q</w:t>
            </w:r>
            <w:r>
              <w:rPr>
                <w:rFonts w:hint="eastAsia" w:hAnsi="宋体"/>
                <w:color w:val="auto"/>
                <w:szCs w:val="21"/>
              </w:rPr>
              <w:t>=</w:t>
            </w:r>
            <w:r>
              <w:rPr>
                <w:color w:val="auto"/>
                <w:kern w:val="0"/>
                <w:szCs w:val="21"/>
              </w:rPr>
              <w:t>Σ</w:t>
            </w:r>
            <w:r>
              <w:rPr>
                <w:color w:val="auto"/>
                <w:szCs w:val="21"/>
              </w:rPr>
              <w:t>q</w:t>
            </w:r>
            <w:r>
              <w:rPr>
                <w:color w:val="auto"/>
                <w:kern w:val="0"/>
                <w:szCs w:val="21"/>
              </w:rPr>
              <w:t>i/Q</w:t>
            </w:r>
            <w:r>
              <w:rPr>
                <w:color w:val="auto"/>
                <w:szCs w:val="21"/>
              </w:rPr>
              <w:t>i</w:t>
            </w:r>
            <w:r>
              <w:rPr>
                <w:rFonts w:hint="eastAsia"/>
                <w:color w:val="auto"/>
                <w:szCs w:val="21"/>
              </w:rPr>
              <w:t>=</w:t>
            </w:r>
            <w:r>
              <w:rPr>
                <w:rFonts w:hint="eastAsia"/>
                <w:color w:val="auto"/>
                <w:szCs w:val="21"/>
                <w:lang w:val="en-US" w:eastAsia="zh-CN"/>
              </w:rPr>
              <w:t>0.1505+0.00133+2.3+0.000144+0.0004+0.0076+0.00001+0.00004=2.460024</w:t>
            </w:r>
            <w:r>
              <w:rPr>
                <w:color w:val="auto"/>
                <w:szCs w:val="21"/>
              </w:rPr>
              <w:t>。</w:t>
            </w:r>
          </w:p>
          <w:p w14:paraId="4D1B62EB">
            <w:pPr>
              <w:pStyle w:val="4"/>
              <w:numPr>
                <w:ilvl w:val="0"/>
                <w:numId w:val="0"/>
              </w:numPr>
              <w:spacing w:before="0" w:after="0" w:line="360" w:lineRule="auto"/>
              <w:ind w:leftChars="0"/>
              <w:rPr>
                <w:color w:val="auto"/>
                <w:sz w:val="21"/>
                <w:szCs w:val="21"/>
                <w:lang w:eastAsia="zh-CN"/>
              </w:rPr>
            </w:pPr>
            <w:bookmarkStart w:id="29" w:name="_Toc33034482"/>
            <w:r>
              <w:rPr>
                <w:rFonts w:hint="eastAsia"/>
                <w:color w:val="auto"/>
                <w:sz w:val="21"/>
                <w:szCs w:val="21"/>
                <w:lang w:eastAsia="zh-CN"/>
              </w:rPr>
              <w:t xml:space="preserve">6、 </w:t>
            </w:r>
            <w:r>
              <w:rPr>
                <w:color w:val="auto"/>
                <w:sz w:val="21"/>
                <w:szCs w:val="21"/>
                <w:lang w:eastAsia="zh-CN"/>
              </w:rPr>
              <w:t>评价等级及评价范围确定</w:t>
            </w:r>
            <w:bookmarkEnd w:id="29"/>
          </w:p>
          <w:p w14:paraId="5EAE8F18">
            <w:pPr>
              <w:pStyle w:val="4"/>
              <w:numPr>
                <w:ilvl w:val="0"/>
                <w:numId w:val="0"/>
              </w:numPr>
              <w:spacing w:before="0" w:after="0" w:line="360" w:lineRule="auto"/>
              <w:ind w:leftChars="0"/>
              <w:rPr>
                <w:rFonts w:hint="eastAsia"/>
                <w:color w:val="auto"/>
                <w:sz w:val="21"/>
                <w:szCs w:val="21"/>
                <w:lang w:eastAsia="zh-CN"/>
              </w:rPr>
            </w:pPr>
            <w:r>
              <w:rPr>
                <w:rFonts w:hint="eastAsia"/>
                <w:color w:val="auto"/>
                <w:sz w:val="21"/>
                <w:szCs w:val="21"/>
                <w:lang w:eastAsia="zh-CN"/>
              </w:rPr>
              <w:t>6</w:t>
            </w:r>
            <w:r>
              <w:rPr>
                <w:color w:val="auto"/>
                <w:sz w:val="21"/>
                <w:szCs w:val="21"/>
                <w:lang w:eastAsia="zh-CN"/>
              </w:rPr>
              <w:t>.</w:t>
            </w:r>
            <w:r>
              <w:rPr>
                <w:rFonts w:hint="eastAsia"/>
                <w:color w:val="auto"/>
                <w:sz w:val="21"/>
                <w:szCs w:val="21"/>
                <w:lang w:eastAsia="zh-CN"/>
              </w:rPr>
              <w:t>1</w:t>
            </w:r>
            <w:r>
              <w:rPr>
                <w:color w:val="auto"/>
                <w:sz w:val="21"/>
                <w:szCs w:val="21"/>
                <w:lang w:eastAsia="zh-CN"/>
              </w:rPr>
              <w:t>评价等级</w:t>
            </w:r>
          </w:p>
          <w:p w14:paraId="32B723FE">
            <w:pPr>
              <w:adjustRightInd w:val="0"/>
              <w:snapToGrid w:val="0"/>
              <w:spacing w:line="360" w:lineRule="auto"/>
              <w:ind w:firstLine="420" w:firstLineChars="200"/>
              <w:rPr>
                <w:rFonts w:hAnsi="宋体"/>
                <w:color w:val="auto"/>
                <w:kern w:val="0"/>
                <w:szCs w:val="21"/>
              </w:rPr>
            </w:pPr>
            <w:r>
              <w:rPr>
                <w:rFonts w:hAnsi="宋体"/>
                <w:color w:val="auto"/>
                <w:kern w:val="0"/>
                <w:szCs w:val="21"/>
              </w:rPr>
              <w:t>环境风险评价工作等级划分为一级、二级和三级，根据建设项目涉及的物质及工艺系统危险性和所在地的环境敏感性确定环境风险潜势进行确定，评价工作等级划分依据见表</w:t>
            </w:r>
            <w:r>
              <w:rPr>
                <w:rFonts w:hint="eastAsia" w:hAnsi="宋体"/>
                <w:color w:val="auto"/>
                <w:kern w:val="0"/>
                <w:szCs w:val="21"/>
              </w:rPr>
              <w:t>7</w:t>
            </w:r>
            <w:r>
              <w:rPr>
                <w:rFonts w:hAnsi="宋体"/>
                <w:color w:val="auto"/>
                <w:kern w:val="0"/>
                <w:szCs w:val="21"/>
              </w:rPr>
              <w:t>-</w:t>
            </w:r>
            <w:r>
              <w:rPr>
                <w:rFonts w:hint="eastAsia" w:hAnsi="宋体"/>
                <w:color w:val="auto"/>
                <w:kern w:val="0"/>
                <w:szCs w:val="21"/>
                <w:lang w:val="en-US" w:eastAsia="zh-CN"/>
              </w:rPr>
              <w:t>8</w:t>
            </w:r>
            <w:r>
              <w:rPr>
                <w:rFonts w:hAnsi="宋体"/>
                <w:color w:val="auto"/>
                <w:kern w:val="0"/>
                <w:szCs w:val="21"/>
              </w:rPr>
              <w:t>。</w:t>
            </w:r>
          </w:p>
          <w:p w14:paraId="3DF56D73">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w:t>
            </w:r>
            <w:r>
              <w:rPr>
                <w:rFonts w:hint="eastAsia" w:hAnsi="宋体"/>
                <w:b/>
                <w:color w:val="auto"/>
                <w:kern w:val="0"/>
                <w:szCs w:val="21"/>
                <w:lang w:val="en-US" w:eastAsia="zh-CN"/>
              </w:rPr>
              <w:t>8</w:t>
            </w:r>
            <w:r>
              <w:rPr>
                <w:rFonts w:hAnsi="宋体"/>
                <w:b/>
                <w:color w:val="auto"/>
                <w:kern w:val="0"/>
                <w:szCs w:val="21"/>
              </w:rPr>
              <w:t xml:space="preserve">  评价工作等级划分一览表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767"/>
              <w:gridCol w:w="1767"/>
              <w:gridCol w:w="1767"/>
              <w:gridCol w:w="1767"/>
            </w:tblGrid>
            <w:tr w14:paraId="6006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noWrap w:val="0"/>
                  <w:vAlign w:val="center"/>
                </w:tcPr>
                <w:p w14:paraId="166FA8BB">
                  <w:pPr>
                    <w:adjustRightInd w:val="0"/>
                    <w:snapToGrid w:val="0"/>
                    <w:jc w:val="center"/>
                    <w:rPr>
                      <w:color w:val="auto"/>
                      <w:szCs w:val="21"/>
                    </w:rPr>
                  </w:pPr>
                  <w:r>
                    <w:rPr>
                      <w:rFonts w:hAnsi="宋体"/>
                      <w:color w:val="auto"/>
                      <w:szCs w:val="21"/>
                    </w:rPr>
                    <w:t>环境风险潜势</w:t>
                  </w:r>
                </w:p>
              </w:tc>
              <w:tc>
                <w:tcPr>
                  <w:tcW w:w="1000" w:type="pct"/>
                  <w:noWrap w:val="0"/>
                  <w:vAlign w:val="center"/>
                </w:tcPr>
                <w:p w14:paraId="68919B96">
                  <w:pPr>
                    <w:adjustRightInd w:val="0"/>
                    <w:snapToGrid w:val="0"/>
                    <w:jc w:val="center"/>
                    <w:rPr>
                      <w:color w:val="auto"/>
                      <w:szCs w:val="21"/>
                    </w:rPr>
                  </w:pPr>
                  <w:r>
                    <w:rPr>
                      <w:rFonts w:ascii="宋体" w:hAnsi="宋体"/>
                      <w:color w:val="auto"/>
                      <w:szCs w:val="21"/>
                    </w:rPr>
                    <w:t>Ⅳ</w:t>
                  </w:r>
                  <w:r>
                    <w:rPr>
                      <w:rFonts w:hAnsi="宋体"/>
                      <w:color w:val="auto"/>
                      <w:szCs w:val="21"/>
                    </w:rPr>
                    <w:t>、</w:t>
                  </w:r>
                  <w:r>
                    <w:rPr>
                      <w:rFonts w:ascii="宋体" w:hAnsi="宋体"/>
                      <w:color w:val="auto"/>
                      <w:szCs w:val="21"/>
                    </w:rPr>
                    <w:t>Ⅳ</w:t>
                  </w:r>
                  <w:r>
                    <w:rPr>
                      <w:color w:val="auto"/>
                      <w:szCs w:val="21"/>
                      <w:vertAlign w:val="superscript"/>
                    </w:rPr>
                    <w:t>+</w:t>
                  </w:r>
                </w:p>
              </w:tc>
              <w:tc>
                <w:tcPr>
                  <w:tcW w:w="1000" w:type="pct"/>
                  <w:noWrap w:val="0"/>
                  <w:vAlign w:val="center"/>
                </w:tcPr>
                <w:p w14:paraId="1B38EA0B">
                  <w:pPr>
                    <w:adjustRightInd w:val="0"/>
                    <w:snapToGrid w:val="0"/>
                    <w:jc w:val="center"/>
                    <w:rPr>
                      <w:color w:val="auto"/>
                      <w:szCs w:val="21"/>
                    </w:rPr>
                  </w:pPr>
                  <w:r>
                    <w:rPr>
                      <w:rFonts w:ascii="宋体" w:hAnsi="宋体"/>
                      <w:color w:val="auto"/>
                      <w:szCs w:val="21"/>
                    </w:rPr>
                    <w:t>Ⅲ</w:t>
                  </w:r>
                </w:p>
              </w:tc>
              <w:tc>
                <w:tcPr>
                  <w:tcW w:w="1000" w:type="pct"/>
                  <w:noWrap w:val="0"/>
                  <w:vAlign w:val="center"/>
                </w:tcPr>
                <w:p w14:paraId="46999D14">
                  <w:pPr>
                    <w:adjustRightInd w:val="0"/>
                    <w:snapToGrid w:val="0"/>
                    <w:jc w:val="center"/>
                    <w:rPr>
                      <w:color w:val="auto"/>
                      <w:szCs w:val="21"/>
                    </w:rPr>
                  </w:pPr>
                  <w:r>
                    <w:rPr>
                      <w:rFonts w:ascii="宋体" w:hAnsi="宋体"/>
                      <w:color w:val="auto"/>
                      <w:szCs w:val="21"/>
                    </w:rPr>
                    <w:t>Ⅱ</w:t>
                  </w:r>
                </w:p>
              </w:tc>
              <w:tc>
                <w:tcPr>
                  <w:tcW w:w="1000" w:type="pct"/>
                  <w:noWrap w:val="0"/>
                  <w:vAlign w:val="center"/>
                </w:tcPr>
                <w:p w14:paraId="591ED6EE">
                  <w:pPr>
                    <w:adjustRightInd w:val="0"/>
                    <w:snapToGrid w:val="0"/>
                    <w:jc w:val="center"/>
                    <w:rPr>
                      <w:color w:val="auto"/>
                      <w:szCs w:val="21"/>
                    </w:rPr>
                  </w:pPr>
                  <w:r>
                    <w:rPr>
                      <w:rFonts w:ascii="宋体" w:hAnsi="宋体"/>
                      <w:color w:val="auto"/>
                      <w:szCs w:val="21"/>
                    </w:rPr>
                    <w:t>Ⅰ</w:t>
                  </w:r>
                </w:p>
              </w:tc>
            </w:tr>
            <w:tr w14:paraId="1CCF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noWrap w:val="0"/>
                  <w:vAlign w:val="center"/>
                </w:tcPr>
                <w:p w14:paraId="03D0D694">
                  <w:pPr>
                    <w:adjustRightInd w:val="0"/>
                    <w:snapToGrid w:val="0"/>
                    <w:jc w:val="center"/>
                    <w:rPr>
                      <w:color w:val="auto"/>
                      <w:szCs w:val="21"/>
                    </w:rPr>
                  </w:pPr>
                  <w:r>
                    <w:rPr>
                      <w:rFonts w:hAnsi="宋体"/>
                      <w:color w:val="auto"/>
                      <w:szCs w:val="21"/>
                    </w:rPr>
                    <w:t>评价工作等级</w:t>
                  </w:r>
                </w:p>
              </w:tc>
              <w:tc>
                <w:tcPr>
                  <w:tcW w:w="1000" w:type="pct"/>
                  <w:noWrap w:val="0"/>
                  <w:vAlign w:val="center"/>
                </w:tcPr>
                <w:p w14:paraId="079E23A4">
                  <w:pPr>
                    <w:adjustRightInd w:val="0"/>
                    <w:snapToGrid w:val="0"/>
                    <w:jc w:val="center"/>
                    <w:rPr>
                      <w:color w:val="auto"/>
                      <w:szCs w:val="21"/>
                    </w:rPr>
                  </w:pPr>
                  <w:r>
                    <w:rPr>
                      <w:rFonts w:hAnsi="宋体"/>
                      <w:color w:val="auto"/>
                      <w:szCs w:val="21"/>
                    </w:rPr>
                    <w:t>一</w:t>
                  </w:r>
                </w:p>
              </w:tc>
              <w:tc>
                <w:tcPr>
                  <w:tcW w:w="1000" w:type="pct"/>
                  <w:noWrap w:val="0"/>
                  <w:vAlign w:val="center"/>
                </w:tcPr>
                <w:p w14:paraId="0AC2B52D">
                  <w:pPr>
                    <w:adjustRightInd w:val="0"/>
                    <w:snapToGrid w:val="0"/>
                    <w:jc w:val="center"/>
                    <w:rPr>
                      <w:color w:val="auto"/>
                      <w:szCs w:val="21"/>
                    </w:rPr>
                  </w:pPr>
                  <w:r>
                    <w:rPr>
                      <w:rFonts w:hAnsi="宋体"/>
                      <w:color w:val="auto"/>
                      <w:szCs w:val="21"/>
                    </w:rPr>
                    <w:t>二</w:t>
                  </w:r>
                </w:p>
              </w:tc>
              <w:tc>
                <w:tcPr>
                  <w:tcW w:w="1000" w:type="pct"/>
                  <w:noWrap w:val="0"/>
                  <w:vAlign w:val="center"/>
                </w:tcPr>
                <w:p w14:paraId="65309239">
                  <w:pPr>
                    <w:adjustRightInd w:val="0"/>
                    <w:snapToGrid w:val="0"/>
                    <w:jc w:val="center"/>
                    <w:rPr>
                      <w:color w:val="auto"/>
                      <w:szCs w:val="21"/>
                    </w:rPr>
                  </w:pPr>
                  <w:r>
                    <w:rPr>
                      <w:rFonts w:hAnsi="宋体"/>
                      <w:color w:val="auto"/>
                      <w:szCs w:val="21"/>
                    </w:rPr>
                    <w:t>三</w:t>
                  </w:r>
                </w:p>
              </w:tc>
              <w:tc>
                <w:tcPr>
                  <w:tcW w:w="1000" w:type="pct"/>
                  <w:noWrap w:val="0"/>
                  <w:vAlign w:val="center"/>
                </w:tcPr>
                <w:p w14:paraId="5C7C99DE">
                  <w:pPr>
                    <w:adjustRightInd w:val="0"/>
                    <w:snapToGrid w:val="0"/>
                    <w:jc w:val="center"/>
                    <w:rPr>
                      <w:color w:val="auto"/>
                      <w:szCs w:val="21"/>
                    </w:rPr>
                  </w:pPr>
                  <w:r>
                    <w:rPr>
                      <w:rFonts w:hAnsi="宋体"/>
                      <w:color w:val="auto"/>
                      <w:szCs w:val="21"/>
                    </w:rPr>
                    <w:t>简单分析</w:t>
                  </w:r>
                  <w:r>
                    <w:rPr>
                      <w:color w:val="auto"/>
                      <w:szCs w:val="21"/>
                      <w:vertAlign w:val="superscript"/>
                    </w:rPr>
                    <w:t>a</w:t>
                  </w:r>
                </w:p>
              </w:tc>
            </w:tr>
            <w:tr w14:paraId="4D06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4EA83E82">
                  <w:pPr>
                    <w:adjustRightInd w:val="0"/>
                    <w:snapToGrid w:val="0"/>
                    <w:jc w:val="left"/>
                    <w:rPr>
                      <w:color w:val="auto"/>
                      <w:szCs w:val="21"/>
                    </w:rPr>
                  </w:pPr>
                  <w:r>
                    <w:rPr>
                      <w:color w:val="auto"/>
                      <w:szCs w:val="21"/>
                    </w:rPr>
                    <w:t>a</w:t>
                  </w:r>
                  <w:r>
                    <w:rPr>
                      <w:rFonts w:hAnsi="宋体"/>
                      <w:color w:val="auto"/>
                      <w:szCs w:val="21"/>
                    </w:rPr>
                    <w:t>是相对于详细评价工作内容而言，在描述危险物质、环境影响途径、环境危害后果、风险防范措施等方面给出定性的说明。见附录</w:t>
                  </w:r>
                  <w:r>
                    <w:rPr>
                      <w:color w:val="auto"/>
                      <w:szCs w:val="21"/>
                    </w:rPr>
                    <w:t>A</w:t>
                  </w:r>
                  <w:r>
                    <w:rPr>
                      <w:rFonts w:hAnsi="宋体"/>
                      <w:color w:val="auto"/>
                      <w:szCs w:val="21"/>
                    </w:rPr>
                    <w:t>。</w:t>
                  </w:r>
                </w:p>
              </w:tc>
            </w:tr>
          </w:tbl>
          <w:p w14:paraId="7E376BD7">
            <w:pPr>
              <w:adjustRightInd w:val="0"/>
              <w:snapToGrid w:val="0"/>
              <w:spacing w:line="360" w:lineRule="auto"/>
              <w:ind w:firstLine="420" w:firstLineChars="200"/>
              <w:rPr>
                <w:rFonts w:hAnsi="宋体"/>
                <w:color w:val="auto"/>
                <w:kern w:val="0"/>
                <w:szCs w:val="21"/>
              </w:rPr>
            </w:pPr>
            <w:r>
              <w:rPr>
                <w:rFonts w:hAnsi="宋体"/>
                <w:color w:val="auto"/>
                <w:kern w:val="0"/>
                <w:szCs w:val="21"/>
              </w:rPr>
              <w:t>项目环境风险潜势划分为Ⅰ、Ⅱ、Ⅲ、Ⅳ/Ⅳ</w:t>
            </w:r>
            <w:r>
              <w:rPr>
                <w:rFonts w:hAnsi="宋体"/>
                <w:color w:val="auto"/>
                <w:kern w:val="0"/>
                <w:szCs w:val="21"/>
                <w:vertAlign w:val="superscript"/>
              </w:rPr>
              <w:t>+</w:t>
            </w:r>
            <w:r>
              <w:rPr>
                <w:rFonts w:hAnsi="宋体"/>
                <w:color w:val="auto"/>
                <w:kern w:val="0"/>
                <w:szCs w:val="21"/>
              </w:rPr>
              <w:t>级。</w:t>
            </w:r>
          </w:p>
          <w:p w14:paraId="79A164CD">
            <w:pPr>
              <w:adjustRightInd w:val="0"/>
              <w:snapToGrid w:val="0"/>
              <w:spacing w:line="360" w:lineRule="auto"/>
              <w:ind w:firstLine="420" w:firstLineChars="200"/>
              <w:rPr>
                <w:rFonts w:hAnsi="宋体"/>
                <w:color w:val="auto"/>
                <w:kern w:val="0"/>
                <w:szCs w:val="21"/>
              </w:rPr>
            </w:pPr>
            <w:r>
              <w:rPr>
                <w:rFonts w:hAnsi="宋体"/>
                <w:color w:val="auto"/>
                <w:kern w:val="0"/>
                <w:szCs w:val="21"/>
              </w:rPr>
              <w:t>根据项目涉及的物质和工艺系统的危险性及其所在地的环境敏感程度，结合事故情形下环境影响途径，对项目潜在的环境危害程度进行概化分析，按照表</w:t>
            </w:r>
            <w:r>
              <w:rPr>
                <w:rFonts w:hint="eastAsia" w:hAnsi="宋体"/>
                <w:color w:val="auto"/>
                <w:kern w:val="0"/>
                <w:szCs w:val="21"/>
              </w:rPr>
              <w:t>7-7</w:t>
            </w:r>
            <w:r>
              <w:rPr>
                <w:rFonts w:hAnsi="宋体"/>
                <w:color w:val="auto"/>
                <w:kern w:val="0"/>
                <w:szCs w:val="21"/>
              </w:rPr>
              <w:t>确定项目的环境风险潜势。</w:t>
            </w:r>
          </w:p>
          <w:p w14:paraId="40DA25BD">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w:t>
            </w:r>
            <w:r>
              <w:rPr>
                <w:rFonts w:hint="eastAsia" w:hAnsi="宋体"/>
                <w:b/>
                <w:color w:val="auto"/>
                <w:kern w:val="0"/>
                <w:szCs w:val="21"/>
                <w:lang w:val="en-US" w:eastAsia="zh-CN"/>
              </w:rPr>
              <w:t>9</w:t>
            </w:r>
            <w:r>
              <w:rPr>
                <w:rFonts w:hAnsi="宋体"/>
                <w:b/>
                <w:color w:val="auto"/>
                <w:kern w:val="0"/>
                <w:szCs w:val="21"/>
              </w:rPr>
              <w:t xml:space="preserve">   项目环境风险潜势划分</w:t>
            </w:r>
          </w:p>
          <w:tbl>
            <w:tblPr>
              <w:tblStyle w:val="35"/>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627"/>
              <w:gridCol w:w="1497"/>
              <w:gridCol w:w="1511"/>
              <w:gridCol w:w="1671"/>
            </w:tblGrid>
            <w:tr w14:paraId="5991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4" w:type="dxa"/>
                  <w:vMerge w:val="restart"/>
                  <w:noWrap w:val="0"/>
                  <w:vAlign w:val="center"/>
                </w:tcPr>
                <w:p w14:paraId="77EACE2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环境敏感程度（E）</w:t>
                  </w:r>
                </w:p>
              </w:tc>
              <w:tc>
                <w:tcPr>
                  <w:tcW w:w="6425" w:type="dxa"/>
                  <w:gridSpan w:val="4"/>
                  <w:noWrap w:val="0"/>
                  <w:vAlign w:val="center"/>
                </w:tcPr>
                <w:p w14:paraId="73E83D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危险物质及工艺系统危险性（P）</w:t>
                  </w:r>
                </w:p>
              </w:tc>
            </w:tr>
            <w:tr w14:paraId="6128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4" w:type="dxa"/>
                  <w:vMerge w:val="continue"/>
                  <w:noWrap w:val="0"/>
                  <w:vAlign w:val="center"/>
                </w:tcPr>
                <w:p w14:paraId="58B206F0">
                  <w:pPr>
                    <w:adjustRightInd w:val="0"/>
                    <w:snapToGrid w:val="0"/>
                    <w:jc w:val="center"/>
                    <w:rPr>
                      <w:rFonts w:hint="default" w:ascii="Times New Roman" w:hAnsi="Times New Roman" w:cs="Times New Roman"/>
                      <w:color w:val="auto"/>
                      <w:szCs w:val="21"/>
                    </w:rPr>
                  </w:pPr>
                </w:p>
              </w:tc>
              <w:tc>
                <w:tcPr>
                  <w:tcW w:w="1658" w:type="dxa"/>
                  <w:noWrap w:val="0"/>
                  <w:vAlign w:val="center"/>
                </w:tcPr>
                <w:p w14:paraId="3B37B1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极高危害（P1）</w:t>
                  </w:r>
                </w:p>
              </w:tc>
              <w:tc>
                <w:tcPr>
                  <w:tcW w:w="1525" w:type="dxa"/>
                  <w:noWrap w:val="0"/>
                  <w:vAlign w:val="center"/>
                </w:tcPr>
                <w:p w14:paraId="1EB6FC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高度危害（P2）</w:t>
                  </w:r>
                </w:p>
              </w:tc>
              <w:tc>
                <w:tcPr>
                  <w:tcW w:w="1539" w:type="dxa"/>
                  <w:noWrap w:val="0"/>
                  <w:vAlign w:val="center"/>
                </w:tcPr>
                <w:p w14:paraId="1A9165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中度危害（P3）</w:t>
                  </w:r>
                </w:p>
              </w:tc>
              <w:tc>
                <w:tcPr>
                  <w:tcW w:w="1539" w:type="dxa"/>
                  <w:noWrap w:val="0"/>
                  <w:vAlign w:val="center"/>
                </w:tcPr>
                <w:p w14:paraId="00E4F0D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轻度危害（P4）</w:t>
                  </w:r>
                </w:p>
              </w:tc>
            </w:tr>
            <w:tr w14:paraId="318C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4" w:type="dxa"/>
                  <w:noWrap w:val="0"/>
                  <w:vAlign w:val="center"/>
                </w:tcPr>
                <w:p w14:paraId="52B0CF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环境高度敏感区（E1）</w:t>
                  </w:r>
                </w:p>
              </w:tc>
              <w:tc>
                <w:tcPr>
                  <w:tcW w:w="1658" w:type="dxa"/>
                  <w:noWrap w:val="0"/>
                  <w:vAlign w:val="center"/>
                </w:tcPr>
                <w:p w14:paraId="3249D5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Ⅳ</w:t>
                  </w:r>
                  <w:r>
                    <w:rPr>
                      <w:rFonts w:hint="default" w:ascii="Times New Roman" w:hAnsi="Times New Roman" w:cs="Times New Roman"/>
                      <w:color w:val="auto"/>
                      <w:szCs w:val="21"/>
                      <w:vertAlign w:val="superscript"/>
                    </w:rPr>
                    <w:t>+</w:t>
                  </w:r>
                </w:p>
              </w:tc>
              <w:tc>
                <w:tcPr>
                  <w:tcW w:w="1525" w:type="dxa"/>
                  <w:noWrap w:val="0"/>
                  <w:vAlign w:val="center"/>
                </w:tcPr>
                <w:p w14:paraId="3BF1264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Ⅳ</w:t>
                  </w:r>
                </w:p>
              </w:tc>
              <w:tc>
                <w:tcPr>
                  <w:tcW w:w="1539" w:type="dxa"/>
                  <w:noWrap w:val="0"/>
                  <w:vAlign w:val="center"/>
                </w:tcPr>
                <w:p w14:paraId="126EB33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539" w:type="dxa"/>
                  <w:noWrap w:val="0"/>
                  <w:vAlign w:val="center"/>
                </w:tcPr>
                <w:p w14:paraId="4644C94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r>
            <w:tr w14:paraId="04ED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4" w:type="dxa"/>
                  <w:noWrap w:val="0"/>
                  <w:vAlign w:val="center"/>
                </w:tcPr>
                <w:p w14:paraId="5B7607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环境中度敏感区（E2）</w:t>
                  </w:r>
                </w:p>
              </w:tc>
              <w:tc>
                <w:tcPr>
                  <w:tcW w:w="1658" w:type="dxa"/>
                  <w:noWrap w:val="0"/>
                  <w:vAlign w:val="center"/>
                </w:tcPr>
                <w:p w14:paraId="25AA9E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Ⅳ</w:t>
                  </w:r>
                </w:p>
              </w:tc>
              <w:tc>
                <w:tcPr>
                  <w:tcW w:w="1525" w:type="dxa"/>
                  <w:noWrap w:val="0"/>
                  <w:vAlign w:val="center"/>
                </w:tcPr>
                <w:p w14:paraId="72451FB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539" w:type="dxa"/>
                  <w:noWrap w:val="0"/>
                  <w:vAlign w:val="center"/>
                </w:tcPr>
                <w:p w14:paraId="639CB91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539" w:type="dxa"/>
                  <w:noWrap w:val="0"/>
                  <w:vAlign w:val="center"/>
                </w:tcPr>
                <w:p w14:paraId="7A9BF25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r>
            <w:tr w14:paraId="289E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4" w:type="dxa"/>
                  <w:noWrap w:val="0"/>
                  <w:vAlign w:val="center"/>
                </w:tcPr>
                <w:p w14:paraId="2688E319">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环境低度敏感区（E3）</w:t>
                  </w:r>
                </w:p>
              </w:tc>
              <w:tc>
                <w:tcPr>
                  <w:tcW w:w="1658" w:type="dxa"/>
                  <w:noWrap w:val="0"/>
                  <w:vAlign w:val="center"/>
                </w:tcPr>
                <w:p w14:paraId="3AE368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525" w:type="dxa"/>
                  <w:noWrap w:val="0"/>
                  <w:vAlign w:val="center"/>
                </w:tcPr>
                <w:p w14:paraId="79DEAED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539" w:type="dxa"/>
                  <w:noWrap w:val="0"/>
                  <w:vAlign w:val="center"/>
                </w:tcPr>
                <w:p w14:paraId="1ABE2B7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1539" w:type="dxa"/>
                  <w:noWrap w:val="0"/>
                  <w:vAlign w:val="center"/>
                </w:tcPr>
                <w:p w14:paraId="4F77FD0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r>
            <w:tr w14:paraId="604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9" w:type="dxa"/>
                  <w:gridSpan w:val="5"/>
                  <w:noWrap w:val="0"/>
                  <w:vAlign w:val="center"/>
                </w:tcPr>
                <w:p w14:paraId="48F9034B">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注：Ⅳ</w:t>
                  </w: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为极高环境风险</w:t>
                  </w:r>
                </w:p>
              </w:tc>
            </w:tr>
          </w:tbl>
          <w:p w14:paraId="1BC1C007">
            <w:pPr>
              <w:adjustRightInd w:val="0"/>
              <w:snapToGrid w:val="0"/>
              <w:spacing w:line="360" w:lineRule="auto"/>
              <w:ind w:firstLine="420" w:firstLineChars="200"/>
              <w:rPr>
                <w:rFonts w:hint="eastAsia" w:hAnsi="宋体"/>
                <w:color w:val="auto"/>
                <w:kern w:val="0"/>
                <w:szCs w:val="21"/>
              </w:rPr>
            </w:pPr>
            <w:r>
              <w:rPr>
                <w:rFonts w:hint="eastAsia" w:hAnsi="宋体"/>
                <w:color w:val="auto"/>
                <w:kern w:val="0"/>
                <w:szCs w:val="21"/>
              </w:rPr>
              <w:t>根据危险物质数量与临界量比值（Q）和行业及生产工艺（M），按照表7-8确定危险物质及工艺系统危险性等级（P）。</w:t>
            </w:r>
          </w:p>
          <w:p w14:paraId="15A7A2CA">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w:t>
            </w:r>
            <w:r>
              <w:rPr>
                <w:rFonts w:hint="eastAsia" w:hAnsi="宋体"/>
                <w:b/>
                <w:color w:val="auto"/>
                <w:kern w:val="0"/>
                <w:szCs w:val="21"/>
                <w:lang w:val="en-US" w:eastAsia="zh-CN"/>
              </w:rPr>
              <w:t>10</w:t>
            </w:r>
            <w:r>
              <w:rPr>
                <w:rFonts w:hAnsi="宋体"/>
                <w:b/>
                <w:color w:val="auto"/>
                <w:kern w:val="0"/>
                <w:szCs w:val="21"/>
              </w:rPr>
              <w:t xml:space="preserve">   项目危险物质及工艺系统危险性等级判断（P）</w:t>
            </w:r>
          </w:p>
          <w:tbl>
            <w:tblPr>
              <w:tblStyle w:val="35"/>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680"/>
              <w:gridCol w:w="1575"/>
              <w:gridCol w:w="1541"/>
              <w:gridCol w:w="1674"/>
            </w:tblGrid>
            <w:tr w14:paraId="4C32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vMerge w:val="restart"/>
                  <w:noWrap w:val="0"/>
                  <w:vAlign w:val="center"/>
                </w:tcPr>
                <w:p w14:paraId="4E45F5AD">
                  <w:pPr>
                    <w:autoSpaceDE w:val="0"/>
                    <w:autoSpaceDN w:val="0"/>
                    <w:adjustRightInd w:val="0"/>
                    <w:snapToGrid w:val="0"/>
                    <w:jc w:val="center"/>
                    <w:rPr>
                      <w:snapToGrid w:val="0"/>
                      <w:color w:val="auto"/>
                      <w:kern w:val="0"/>
                      <w:szCs w:val="21"/>
                    </w:rPr>
                  </w:pPr>
                  <w:r>
                    <w:rPr>
                      <w:rFonts w:hAnsi="宋体"/>
                      <w:snapToGrid w:val="0"/>
                      <w:color w:val="auto"/>
                      <w:kern w:val="0"/>
                      <w:szCs w:val="21"/>
                    </w:rPr>
                    <w:t>危险物质数量与临界量比值（</w:t>
                  </w:r>
                  <w:r>
                    <w:rPr>
                      <w:snapToGrid w:val="0"/>
                      <w:color w:val="auto"/>
                      <w:kern w:val="0"/>
                      <w:szCs w:val="21"/>
                    </w:rPr>
                    <w:t>Q</w:t>
                  </w:r>
                  <w:r>
                    <w:rPr>
                      <w:rFonts w:hAnsi="宋体"/>
                      <w:snapToGrid w:val="0"/>
                      <w:color w:val="auto"/>
                      <w:kern w:val="0"/>
                      <w:szCs w:val="21"/>
                    </w:rPr>
                    <w:t>）</w:t>
                  </w:r>
                </w:p>
              </w:tc>
              <w:tc>
                <w:tcPr>
                  <w:tcW w:w="6470" w:type="dxa"/>
                  <w:gridSpan w:val="4"/>
                  <w:noWrap w:val="0"/>
                  <w:vAlign w:val="center"/>
                </w:tcPr>
                <w:p w14:paraId="0F78220F">
                  <w:pPr>
                    <w:autoSpaceDE w:val="0"/>
                    <w:autoSpaceDN w:val="0"/>
                    <w:adjustRightInd w:val="0"/>
                    <w:snapToGrid w:val="0"/>
                    <w:jc w:val="center"/>
                    <w:rPr>
                      <w:snapToGrid w:val="0"/>
                      <w:color w:val="auto"/>
                      <w:kern w:val="0"/>
                      <w:szCs w:val="21"/>
                    </w:rPr>
                  </w:pPr>
                  <w:r>
                    <w:rPr>
                      <w:rFonts w:hAnsi="宋体"/>
                      <w:snapToGrid w:val="0"/>
                      <w:color w:val="auto"/>
                      <w:kern w:val="0"/>
                      <w:szCs w:val="21"/>
                    </w:rPr>
                    <w:t>行业及生产工艺（</w:t>
                  </w:r>
                  <w:r>
                    <w:rPr>
                      <w:snapToGrid w:val="0"/>
                      <w:color w:val="auto"/>
                      <w:kern w:val="0"/>
                      <w:szCs w:val="21"/>
                    </w:rPr>
                    <w:t>M</w:t>
                  </w:r>
                  <w:r>
                    <w:rPr>
                      <w:rFonts w:hAnsi="宋体"/>
                      <w:snapToGrid w:val="0"/>
                      <w:color w:val="auto"/>
                      <w:kern w:val="0"/>
                      <w:szCs w:val="21"/>
                    </w:rPr>
                    <w:t>）</w:t>
                  </w:r>
                </w:p>
              </w:tc>
            </w:tr>
            <w:tr w14:paraId="1A9D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vMerge w:val="continue"/>
                  <w:noWrap w:val="0"/>
                  <w:vAlign w:val="center"/>
                </w:tcPr>
                <w:p w14:paraId="7FB883F2">
                  <w:pPr>
                    <w:autoSpaceDE w:val="0"/>
                    <w:autoSpaceDN w:val="0"/>
                    <w:adjustRightInd w:val="0"/>
                    <w:snapToGrid w:val="0"/>
                    <w:jc w:val="center"/>
                    <w:rPr>
                      <w:snapToGrid w:val="0"/>
                      <w:color w:val="auto"/>
                      <w:kern w:val="0"/>
                      <w:szCs w:val="21"/>
                    </w:rPr>
                  </w:pPr>
                </w:p>
              </w:tc>
              <w:tc>
                <w:tcPr>
                  <w:tcW w:w="1680" w:type="dxa"/>
                  <w:noWrap w:val="0"/>
                  <w:vAlign w:val="center"/>
                </w:tcPr>
                <w:p w14:paraId="770743BB">
                  <w:pPr>
                    <w:autoSpaceDE w:val="0"/>
                    <w:autoSpaceDN w:val="0"/>
                    <w:adjustRightInd w:val="0"/>
                    <w:snapToGrid w:val="0"/>
                    <w:jc w:val="center"/>
                    <w:rPr>
                      <w:snapToGrid w:val="0"/>
                      <w:color w:val="auto"/>
                      <w:kern w:val="0"/>
                      <w:szCs w:val="21"/>
                    </w:rPr>
                  </w:pPr>
                  <w:r>
                    <w:rPr>
                      <w:snapToGrid w:val="0"/>
                      <w:color w:val="auto"/>
                      <w:kern w:val="0"/>
                      <w:szCs w:val="21"/>
                    </w:rPr>
                    <w:t>M1</w:t>
                  </w:r>
                </w:p>
              </w:tc>
              <w:tc>
                <w:tcPr>
                  <w:tcW w:w="1575" w:type="dxa"/>
                  <w:noWrap w:val="0"/>
                  <w:vAlign w:val="center"/>
                </w:tcPr>
                <w:p w14:paraId="30C6E5F2">
                  <w:pPr>
                    <w:autoSpaceDE w:val="0"/>
                    <w:autoSpaceDN w:val="0"/>
                    <w:adjustRightInd w:val="0"/>
                    <w:snapToGrid w:val="0"/>
                    <w:jc w:val="center"/>
                    <w:rPr>
                      <w:snapToGrid w:val="0"/>
                      <w:color w:val="auto"/>
                      <w:kern w:val="0"/>
                      <w:szCs w:val="21"/>
                    </w:rPr>
                  </w:pPr>
                  <w:r>
                    <w:rPr>
                      <w:b/>
                      <w:bCs/>
                      <w:snapToGrid w:val="0"/>
                      <w:color w:val="auto"/>
                      <w:kern w:val="0"/>
                      <w:szCs w:val="21"/>
                    </w:rPr>
                    <w:t>M2</w:t>
                  </w:r>
                </w:p>
              </w:tc>
              <w:tc>
                <w:tcPr>
                  <w:tcW w:w="1541" w:type="dxa"/>
                  <w:noWrap w:val="0"/>
                  <w:vAlign w:val="center"/>
                </w:tcPr>
                <w:p w14:paraId="0A02C4AF">
                  <w:pPr>
                    <w:autoSpaceDE w:val="0"/>
                    <w:autoSpaceDN w:val="0"/>
                    <w:adjustRightInd w:val="0"/>
                    <w:snapToGrid w:val="0"/>
                    <w:jc w:val="center"/>
                    <w:rPr>
                      <w:snapToGrid w:val="0"/>
                      <w:color w:val="auto"/>
                      <w:kern w:val="0"/>
                      <w:szCs w:val="21"/>
                    </w:rPr>
                  </w:pPr>
                  <w:r>
                    <w:rPr>
                      <w:snapToGrid w:val="0"/>
                      <w:color w:val="auto"/>
                      <w:kern w:val="0"/>
                      <w:szCs w:val="21"/>
                    </w:rPr>
                    <w:t>M3</w:t>
                  </w:r>
                </w:p>
              </w:tc>
              <w:tc>
                <w:tcPr>
                  <w:tcW w:w="1674" w:type="dxa"/>
                  <w:noWrap w:val="0"/>
                  <w:vAlign w:val="center"/>
                </w:tcPr>
                <w:p w14:paraId="1EA67C0D">
                  <w:pPr>
                    <w:autoSpaceDE w:val="0"/>
                    <w:autoSpaceDN w:val="0"/>
                    <w:adjustRightInd w:val="0"/>
                    <w:snapToGrid w:val="0"/>
                    <w:jc w:val="center"/>
                    <w:rPr>
                      <w:b/>
                      <w:snapToGrid w:val="0"/>
                      <w:color w:val="auto"/>
                      <w:kern w:val="0"/>
                      <w:szCs w:val="21"/>
                    </w:rPr>
                  </w:pPr>
                  <w:r>
                    <w:rPr>
                      <w:b w:val="0"/>
                      <w:bCs/>
                      <w:snapToGrid w:val="0"/>
                      <w:color w:val="auto"/>
                      <w:kern w:val="0"/>
                      <w:szCs w:val="21"/>
                    </w:rPr>
                    <w:t>M4</w:t>
                  </w:r>
                </w:p>
              </w:tc>
            </w:tr>
            <w:tr w14:paraId="7A35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noWrap w:val="0"/>
                  <w:vAlign w:val="center"/>
                </w:tcPr>
                <w:p w14:paraId="02280DCF">
                  <w:pPr>
                    <w:autoSpaceDE w:val="0"/>
                    <w:autoSpaceDN w:val="0"/>
                    <w:adjustRightInd w:val="0"/>
                    <w:snapToGrid w:val="0"/>
                    <w:jc w:val="center"/>
                    <w:rPr>
                      <w:snapToGrid w:val="0"/>
                      <w:color w:val="auto"/>
                      <w:kern w:val="0"/>
                      <w:szCs w:val="21"/>
                    </w:rPr>
                  </w:pPr>
                  <w:r>
                    <w:rPr>
                      <w:snapToGrid w:val="0"/>
                      <w:color w:val="auto"/>
                      <w:kern w:val="0"/>
                      <w:szCs w:val="21"/>
                    </w:rPr>
                    <w:t>Q≥100</w:t>
                  </w:r>
                </w:p>
              </w:tc>
              <w:tc>
                <w:tcPr>
                  <w:tcW w:w="1680" w:type="dxa"/>
                  <w:noWrap w:val="0"/>
                  <w:vAlign w:val="center"/>
                </w:tcPr>
                <w:p w14:paraId="7AB4AA5C">
                  <w:pPr>
                    <w:autoSpaceDE w:val="0"/>
                    <w:autoSpaceDN w:val="0"/>
                    <w:adjustRightInd w:val="0"/>
                    <w:snapToGrid w:val="0"/>
                    <w:jc w:val="center"/>
                    <w:rPr>
                      <w:snapToGrid w:val="0"/>
                      <w:color w:val="auto"/>
                      <w:kern w:val="0"/>
                      <w:szCs w:val="21"/>
                    </w:rPr>
                  </w:pPr>
                  <w:r>
                    <w:rPr>
                      <w:snapToGrid w:val="0"/>
                      <w:color w:val="auto"/>
                      <w:kern w:val="0"/>
                      <w:szCs w:val="21"/>
                    </w:rPr>
                    <w:t>P1</w:t>
                  </w:r>
                </w:p>
              </w:tc>
              <w:tc>
                <w:tcPr>
                  <w:tcW w:w="1575" w:type="dxa"/>
                  <w:noWrap w:val="0"/>
                  <w:vAlign w:val="center"/>
                </w:tcPr>
                <w:p w14:paraId="65C96F50">
                  <w:pPr>
                    <w:autoSpaceDE w:val="0"/>
                    <w:autoSpaceDN w:val="0"/>
                    <w:adjustRightInd w:val="0"/>
                    <w:snapToGrid w:val="0"/>
                    <w:jc w:val="center"/>
                    <w:rPr>
                      <w:snapToGrid w:val="0"/>
                      <w:color w:val="auto"/>
                      <w:kern w:val="0"/>
                      <w:szCs w:val="21"/>
                    </w:rPr>
                  </w:pPr>
                  <w:r>
                    <w:rPr>
                      <w:snapToGrid w:val="0"/>
                      <w:color w:val="auto"/>
                      <w:kern w:val="0"/>
                      <w:szCs w:val="21"/>
                    </w:rPr>
                    <w:t>P1</w:t>
                  </w:r>
                </w:p>
              </w:tc>
              <w:tc>
                <w:tcPr>
                  <w:tcW w:w="1541" w:type="dxa"/>
                  <w:noWrap w:val="0"/>
                  <w:vAlign w:val="center"/>
                </w:tcPr>
                <w:p w14:paraId="034783F9">
                  <w:pPr>
                    <w:autoSpaceDE w:val="0"/>
                    <w:autoSpaceDN w:val="0"/>
                    <w:adjustRightInd w:val="0"/>
                    <w:snapToGrid w:val="0"/>
                    <w:jc w:val="center"/>
                    <w:rPr>
                      <w:snapToGrid w:val="0"/>
                      <w:color w:val="auto"/>
                      <w:kern w:val="0"/>
                      <w:szCs w:val="21"/>
                    </w:rPr>
                  </w:pPr>
                  <w:r>
                    <w:rPr>
                      <w:snapToGrid w:val="0"/>
                      <w:color w:val="auto"/>
                      <w:kern w:val="0"/>
                      <w:szCs w:val="21"/>
                    </w:rPr>
                    <w:t>P2</w:t>
                  </w:r>
                </w:p>
              </w:tc>
              <w:tc>
                <w:tcPr>
                  <w:tcW w:w="1674" w:type="dxa"/>
                  <w:noWrap w:val="0"/>
                  <w:vAlign w:val="center"/>
                </w:tcPr>
                <w:p w14:paraId="0DA8B0B6">
                  <w:pPr>
                    <w:autoSpaceDE w:val="0"/>
                    <w:autoSpaceDN w:val="0"/>
                    <w:adjustRightInd w:val="0"/>
                    <w:snapToGrid w:val="0"/>
                    <w:jc w:val="center"/>
                    <w:rPr>
                      <w:snapToGrid w:val="0"/>
                      <w:color w:val="auto"/>
                      <w:kern w:val="0"/>
                      <w:szCs w:val="21"/>
                    </w:rPr>
                  </w:pPr>
                  <w:r>
                    <w:rPr>
                      <w:snapToGrid w:val="0"/>
                      <w:color w:val="auto"/>
                      <w:kern w:val="0"/>
                      <w:szCs w:val="21"/>
                    </w:rPr>
                    <w:t>P3</w:t>
                  </w:r>
                </w:p>
              </w:tc>
            </w:tr>
            <w:tr w14:paraId="217D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noWrap w:val="0"/>
                  <w:vAlign w:val="center"/>
                </w:tcPr>
                <w:p w14:paraId="5B40EA0F">
                  <w:pPr>
                    <w:autoSpaceDE w:val="0"/>
                    <w:autoSpaceDN w:val="0"/>
                    <w:adjustRightInd w:val="0"/>
                    <w:snapToGrid w:val="0"/>
                    <w:jc w:val="center"/>
                    <w:rPr>
                      <w:snapToGrid w:val="0"/>
                      <w:color w:val="auto"/>
                      <w:kern w:val="0"/>
                      <w:szCs w:val="21"/>
                    </w:rPr>
                  </w:pPr>
                  <w:r>
                    <w:rPr>
                      <w:snapToGrid w:val="0"/>
                      <w:color w:val="auto"/>
                      <w:kern w:val="0"/>
                      <w:szCs w:val="21"/>
                      <w:lang w:val="fr-FR"/>
                    </w:rPr>
                    <w:t>10≤Q</w:t>
                  </w:r>
                  <w:r>
                    <w:rPr>
                      <w:rFonts w:hAnsi="宋体"/>
                      <w:snapToGrid w:val="0"/>
                      <w:color w:val="auto"/>
                      <w:kern w:val="0"/>
                      <w:szCs w:val="21"/>
                      <w:lang w:val="fr-FR"/>
                    </w:rPr>
                    <w:t>＜</w:t>
                  </w:r>
                  <w:r>
                    <w:rPr>
                      <w:snapToGrid w:val="0"/>
                      <w:color w:val="auto"/>
                      <w:kern w:val="0"/>
                      <w:szCs w:val="21"/>
                      <w:lang w:val="fr-FR"/>
                    </w:rPr>
                    <w:t>100</w:t>
                  </w:r>
                </w:p>
              </w:tc>
              <w:tc>
                <w:tcPr>
                  <w:tcW w:w="1680" w:type="dxa"/>
                  <w:noWrap w:val="0"/>
                  <w:vAlign w:val="center"/>
                </w:tcPr>
                <w:p w14:paraId="65F74E0A">
                  <w:pPr>
                    <w:autoSpaceDE w:val="0"/>
                    <w:autoSpaceDN w:val="0"/>
                    <w:adjustRightInd w:val="0"/>
                    <w:snapToGrid w:val="0"/>
                    <w:jc w:val="center"/>
                    <w:rPr>
                      <w:snapToGrid w:val="0"/>
                      <w:color w:val="auto"/>
                      <w:kern w:val="0"/>
                      <w:szCs w:val="21"/>
                    </w:rPr>
                  </w:pPr>
                  <w:r>
                    <w:rPr>
                      <w:snapToGrid w:val="0"/>
                      <w:color w:val="auto"/>
                      <w:kern w:val="0"/>
                      <w:szCs w:val="21"/>
                    </w:rPr>
                    <w:t>P1</w:t>
                  </w:r>
                </w:p>
              </w:tc>
              <w:tc>
                <w:tcPr>
                  <w:tcW w:w="1575" w:type="dxa"/>
                  <w:noWrap w:val="0"/>
                  <w:vAlign w:val="center"/>
                </w:tcPr>
                <w:p w14:paraId="64A42A29">
                  <w:pPr>
                    <w:autoSpaceDE w:val="0"/>
                    <w:autoSpaceDN w:val="0"/>
                    <w:adjustRightInd w:val="0"/>
                    <w:snapToGrid w:val="0"/>
                    <w:jc w:val="center"/>
                    <w:rPr>
                      <w:snapToGrid w:val="0"/>
                      <w:color w:val="auto"/>
                      <w:kern w:val="0"/>
                      <w:szCs w:val="21"/>
                    </w:rPr>
                  </w:pPr>
                  <w:r>
                    <w:rPr>
                      <w:snapToGrid w:val="0"/>
                      <w:color w:val="auto"/>
                      <w:kern w:val="0"/>
                      <w:szCs w:val="21"/>
                    </w:rPr>
                    <w:t>P2</w:t>
                  </w:r>
                </w:p>
              </w:tc>
              <w:tc>
                <w:tcPr>
                  <w:tcW w:w="1541" w:type="dxa"/>
                  <w:noWrap w:val="0"/>
                  <w:vAlign w:val="center"/>
                </w:tcPr>
                <w:p w14:paraId="0E072945">
                  <w:pPr>
                    <w:autoSpaceDE w:val="0"/>
                    <w:autoSpaceDN w:val="0"/>
                    <w:adjustRightInd w:val="0"/>
                    <w:snapToGrid w:val="0"/>
                    <w:jc w:val="center"/>
                    <w:rPr>
                      <w:snapToGrid w:val="0"/>
                      <w:color w:val="auto"/>
                      <w:kern w:val="0"/>
                      <w:szCs w:val="21"/>
                    </w:rPr>
                  </w:pPr>
                  <w:r>
                    <w:rPr>
                      <w:snapToGrid w:val="0"/>
                      <w:color w:val="auto"/>
                      <w:kern w:val="0"/>
                      <w:szCs w:val="21"/>
                    </w:rPr>
                    <w:t>P3</w:t>
                  </w:r>
                </w:p>
              </w:tc>
              <w:tc>
                <w:tcPr>
                  <w:tcW w:w="1674" w:type="dxa"/>
                  <w:noWrap w:val="0"/>
                  <w:vAlign w:val="center"/>
                </w:tcPr>
                <w:p w14:paraId="259C1D2C">
                  <w:pPr>
                    <w:autoSpaceDE w:val="0"/>
                    <w:autoSpaceDN w:val="0"/>
                    <w:adjustRightInd w:val="0"/>
                    <w:snapToGrid w:val="0"/>
                    <w:jc w:val="center"/>
                    <w:rPr>
                      <w:snapToGrid w:val="0"/>
                      <w:color w:val="auto"/>
                      <w:kern w:val="0"/>
                      <w:szCs w:val="21"/>
                    </w:rPr>
                  </w:pPr>
                  <w:r>
                    <w:rPr>
                      <w:snapToGrid w:val="0"/>
                      <w:color w:val="auto"/>
                      <w:kern w:val="0"/>
                      <w:szCs w:val="21"/>
                    </w:rPr>
                    <w:t>P4</w:t>
                  </w:r>
                </w:p>
              </w:tc>
            </w:tr>
            <w:tr w14:paraId="5FDD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noWrap w:val="0"/>
                  <w:vAlign w:val="center"/>
                </w:tcPr>
                <w:p w14:paraId="4C037640">
                  <w:pPr>
                    <w:autoSpaceDE w:val="0"/>
                    <w:autoSpaceDN w:val="0"/>
                    <w:adjustRightInd w:val="0"/>
                    <w:snapToGrid w:val="0"/>
                    <w:jc w:val="center"/>
                    <w:rPr>
                      <w:b/>
                      <w:snapToGrid w:val="0"/>
                      <w:color w:val="auto"/>
                      <w:kern w:val="0"/>
                      <w:szCs w:val="21"/>
                      <w:lang w:val="fr-FR"/>
                    </w:rPr>
                  </w:pPr>
                  <w:r>
                    <w:rPr>
                      <w:b/>
                      <w:snapToGrid w:val="0"/>
                      <w:color w:val="auto"/>
                      <w:kern w:val="0"/>
                      <w:szCs w:val="21"/>
                      <w:lang w:val="fr-FR"/>
                    </w:rPr>
                    <w:t>1≤Q</w:t>
                  </w:r>
                  <w:r>
                    <w:rPr>
                      <w:rFonts w:hAnsi="宋体"/>
                      <w:b/>
                      <w:snapToGrid w:val="0"/>
                      <w:color w:val="auto"/>
                      <w:kern w:val="0"/>
                      <w:szCs w:val="21"/>
                      <w:lang w:val="fr-FR"/>
                    </w:rPr>
                    <w:t>＜</w:t>
                  </w:r>
                  <w:r>
                    <w:rPr>
                      <w:b/>
                      <w:snapToGrid w:val="0"/>
                      <w:color w:val="auto"/>
                      <w:kern w:val="0"/>
                      <w:szCs w:val="21"/>
                      <w:lang w:val="fr-FR"/>
                    </w:rPr>
                    <w:t>10</w:t>
                  </w:r>
                </w:p>
              </w:tc>
              <w:tc>
                <w:tcPr>
                  <w:tcW w:w="1680" w:type="dxa"/>
                  <w:noWrap w:val="0"/>
                  <w:vAlign w:val="center"/>
                </w:tcPr>
                <w:p w14:paraId="2B31642D">
                  <w:pPr>
                    <w:autoSpaceDE w:val="0"/>
                    <w:autoSpaceDN w:val="0"/>
                    <w:adjustRightInd w:val="0"/>
                    <w:snapToGrid w:val="0"/>
                    <w:jc w:val="center"/>
                    <w:rPr>
                      <w:snapToGrid w:val="0"/>
                      <w:color w:val="auto"/>
                      <w:kern w:val="0"/>
                      <w:szCs w:val="21"/>
                    </w:rPr>
                  </w:pPr>
                  <w:r>
                    <w:rPr>
                      <w:snapToGrid w:val="0"/>
                      <w:color w:val="auto"/>
                      <w:kern w:val="0"/>
                      <w:szCs w:val="21"/>
                    </w:rPr>
                    <w:t>P2</w:t>
                  </w:r>
                </w:p>
              </w:tc>
              <w:tc>
                <w:tcPr>
                  <w:tcW w:w="1575" w:type="dxa"/>
                  <w:noWrap w:val="0"/>
                  <w:vAlign w:val="center"/>
                </w:tcPr>
                <w:p w14:paraId="4F488677">
                  <w:pPr>
                    <w:autoSpaceDE w:val="0"/>
                    <w:autoSpaceDN w:val="0"/>
                    <w:adjustRightInd w:val="0"/>
                    <w:snapToGrid w:val="0"/>
                    <w:jc w:val="center"/>
                    <w:rPr>
                      <w:snapToGrid w:val="0"/>
                      <w:color w:val="auto"/>
                      <w:kern w:val="0"/>
                      <w:szCs w:val="21"/>
                    </w:rPr>
                  </w:pPr>
                  <w:r>
                    <w:rPr>
                      <w:b/>
                      <w:bCs/>
                      <w:snapToGrid w:val="0"/>
                      <w:color w:val="auto"/>
                      <w:kern w:val="0"/>
                      <w:szCs w:val="21"/>
                    </w:rPr>
                    <w:t>P3</w:t>
                  </w:r>
                </w:p>
              </w:tc>
              <w:tc>
                <w:tcPr>
                  <w:tcW w:w="1541" w:type="dxa"/>
                  <w:noWrap w:val="0"/>
                  <w:vAlign w:val="center"/>
                </w:tcPr>
                <w:p w14:paraId="5FC5C956">
                  <w:pPr>
                    <w:autoSpaceDE w:val="0"/>
                    <w:autoSpaceDN w:val="0"/>
                    <w:adjustRightInd w:val="0"/>
                    <w:snapToGrid w:val="0"/>
                    <w:jc w:val="center"/>
                    <w:rPr>
                      <w:snapToGrid w:val="0"/>
                      <w:color w:val="auto"/>
                      <w:kern w:val="0"/>
                      <w:szCs w:val="21"/>
                    </w:rPr>
                  </w:pPr>
                  <w:r>
                    <w:rPr>
                      <w:b w:val="0"/>
                      <w:bCs w:val="0"/>
                      <w:snapToGrid w:val="0"/>
                      <w:color w:val="auto"/>
                      <w:kern w:val="0"/>
                      <w:szCs w:val="21"/>
                    </w:rPr>
                    <w:t>P4</w:t>
                  </w:r>
                </w:p>
              </w:tc>
              <w:tc>
                <w:tcPr>
                  <w:tcW w:w="1674" w:type="dxa"/>
                  <w:noWrap w:val="0"/>
                  <w:vAlign w:val="center"/>
                </w:tcPr>
                <w:p w14:paraId="70D5E448">
                  <w:pPr>
                    <w:autoSpaceDE w:val="0"/>
                    <w:autoSpaceDN w:val="0"/>
                    <w:adjustRightInd w:val="0"/>
                    <w:snapToGrid w:val="0"/>
                    <w:jc w:val="center"/>
                    <w:rPr>
                      <w:b/>
                      <w:snapToGrid w:val="0"/>
                      <w:color w:val="auto"/>
                      <w:kern w:val="0"/>
                      <w:szCs w:val="21"/>
                    </w:rPr>
                  </w:pPr>
                  <w:r>
                    <w:rPr>
                      <w:b w:val="0"/>
                      <w:bCs/>
                      <w:snapToGrid w:val="0"/>
                      <w:color w:val="auto"/>
                      <w:kern w:val="0"/>
                      <w:szCs w:val="21"/>
                    </w:rPr>
                    <w:t>P4</w:t>
                  </w:r>
                </w:p>
              </w:tc>
            </w:tr>
          </w:tbl>
          <w:p w14:paraId="5FAB0852">
            <w:pPr>
              <w:adjustRightInd w:val="0"/>
              <w:snapToGrid w:val="0"/>
              <w:spacing w:line="360" w:lineRule="auto"/>
              <w:rPr>
                <w:rFonts w:eastAsia="黑体"/>
                <w:snapToGrid w:val="0"/>
                <w:color w:val="auto"/>
                <w:kern w:val="0"/>
                <w:sz w:val="18"/>
                <w:szCs w:val="18"/>
              </w:rPr>
            </w:pPr>
            <w:r>
              <w:rPr>
                <w:rFonts w:hAnsi="黑体" w:eastAsia="黑体"/>
                <w:snapToGrid w:val="0"/>
                <w:color w:val="auto"/>
                <w:kern w:val="0"/>
                <w:sz w:val="18"/>
                <w:szCs w:val="18"/>
              </w:rPr>
              <w:t>备注：将</w:t>
            </w:r>
            <w:r>
              <w:rPr>
                <w:rFonts w:eastAsia="黑体"/>
                <w:snapToGrid w:val="0"/>
                <w:color w:val="auto"/>
                <w:kern w:val="0"/>
                <w:sz w:val="18"/>
                <w:szCs w:val="18"/>
              </w:rPr>
              <w:t>M</w:t>
            </w:r>
            <w:r>
              <w:rPr>
                <w:rFonts w:hAnsi="黑体" w:eastAsia="黑体"/>
                <w:snapToGrid w:val="0"/>
                <w:color w:val="auto"/>
                <w:kern w:val="0"/>
                <w:sz w:val="18"/>
                <w:szCs w:val="18"/>
              </w:rPr>
              <w:t>划分为（</w:t>
            </w:r>
            <w:r>
              <w:rPr>
                <w:rFonts w:eastAsia="黑体"/>
                <w:snapToGrid w:val="0"/>
                <w:color w:val="auto"/>
                <w:kern w:val="0"/>
                <w:sz w:val="18"/>
                <w:szCs w:val="18"/>
              </w:rPr>
              <w:t>1</w:t>
            </w:r>
            <w:r>
              <w:rPr>
                <w:rFonts w:hAnsi="黑体" w:eastAsia="黑体"/>
                <w:snapToGrid w:val="0"/>
                <w:color w:val="auto"/>
                <w:kern w:val="0"/>
                <w:sz w:val="18"/>
                <w:szCs w:val="18"/>
              </w:rPr>
              <w:t>）</w:t>
            </w:r>
            <w:r>
              <w:rPr>
                <w:rFonts w:eastAsia="黑体"/>
                <w:snapToGrid w:val="0"/>
                <w:color w:val="auto"/>
                <w:kern w:val="0"/>
                <w:sz w:val="18"/>
                <w:szCs w:val="18"/>
              </w:rPr>
              <w:t>M</w:t>
            </w:r>
            <w:r>
              <w:rPr>
                <w:rFonts w:hAnsi="黑体" w:eastAsia="黑体"/>
                <w:snapToGrid w:val="0"/>
                <w:color w:val="auto"/>
                <w:kern w:val="0"/>
                <w:sz w:val="18"/>
                <w:szCs w:val="18"/>
              </w:rPr>
              <w:t>＞</w:t>
            </w:r>
            <w:r>
              <w:rPr>
                <w:rFonts w:eastAsia="黑体"/>
                <w:snapToGrid w:val="0"/>
                <w:color w:val="auto"/>
                <w:kern w:val="0"/>
                <w:sz w:val="18"/>
                <w:szCs w:val="18"/>
              </w:rPr>
              <w:t>20</w:t>
            </w:r>
            <w:r>
              <w:rPr>
                <w:rFonts w:hAnsi="黑体" w:eastAsia="黑体"/>
                <w:snapToGrid w:val="0"/>
                <w:color w:val="auto"/>
                <w:kern w:val="0"/>
                <w:sz w:val="18"/>
                <w:szCs w:val="18"/>
              </w:rPr>
              <w:t>；（</w:t>
            </w:r>
            <w:r>
              <w:rPr>
                <w:rFonts w:eastAsia="黑体"/>
                <w:snapToGrid w:val="0"/>
                <w:color w:val="auto"/>
                <w:kern w:val="0"/>
                <w:sz w:val="18"/>
                <w:szCs w:val="18"/>
              </w:rPr>
              <w:t>2</w:t>
            </w:r>
            <w:r>
              <w:rPr>
                <w:rFonts w:hAnsi="黑体" w:eastAsia="黑体"/>
                <w:snapToGrid w:val="0"/>
                <w:color w:val="auto"/>
                <w:kern w:val="0"/>
                <w:sz w:val="18"/>
                <w:szCs w:val="18"/>
              </w:rPr>
              <w:t>）</w:t>
            </w:r>
            <w:r>
              <w:rPr>
                <w:rFonts w:eastAsia="黑体"/>
                <w:snapToGrid w:val="0"/>
                <w:color w:val="auto"/>
                <w:kern w:val="0"/>
                <w:sz w:val="18"/>
                <w:szCs w:val="18"/>
              </w:rPr>
              <w:t>10&lt;M≤20</w:t>
            </w:r>
            <w:r>
              <w:rPr>
                <w:rFonts w:hAnsi="黑体" w:eastAsia="黑体"/>
                <w:snapToGrid w:val="0"/>
                <w:color w:val="auto"/>
                <w:kern w:val="0"/>
                <w:sz w:val="18"/>
                <w:szCs w:val="18"/>
              </w:rPr>
              <w:t>；（</w:t>
            </w:r>
            <w:r>
              <w:rPr>
                <w:rFonts w:eastAsia="黑体"/>
                <w:snapToGrid w:val="0"/>
                <w:color w:val="auto"/>
                <w:kern w:val="0"/>
                <w:sz w:val="18"/>
                <w:szCs w:val="18"/>
              </w:rPr>
              <w:t>3</w:t>
            </w:r>
            <w:r>
              <w:rPr>
                <w:rFonts w:hAnsi="黑体" w:eastAsia="黑体"/>
                <w:snapToGrid w:val="0"/>
                <w:color w:val="auto"/>
                <w:kern w:val="0"/>
                <w:sz w:val="18"/>
                <w:szCs w:val="18"/>
              </w:rPr>
              <w:t>）</w:t>
            </w:r>
            <w:r>
              <w:rPr>
                <w:rFonts w:eastAsia="黑体"/>
                <w:snapToGrid w:val="0"/>
                <w:color w:val="auto"/>
                <w:kern w:val="0"/>
                <w:sz w:val="18"/>
                <w:szCs w:val="18"/>
              </w:rPr>
              <w:t>5&lt;M≤10</w:t>
            </w:r>
            <w:r>
              <w:rPr>
                <w:rFonts w:hAnsi="黑体" w:eastAsia="黑体"/>
                <w:snapToGrid w:val="0"/>
                <w:color w:val="auto"/>
                <w:kern w:val="0"/>
                <w:sz w:val="18"/>
                <w:szCs w:val="18"/>
              </w:rPr>
              <w:t>；（</w:t>
            </w:r>
            <w:r>
              <w:rPr>
                <w:rFonts w:eastAsia="黑体"/>
                <w:snapToGrid w:val="0"/>
                <w:color w:val="auto"/>
                <w:kern w:val="0"/>
                <w:sz w:val="18"/>
                <w:szCs w:val="18"/>
              </w:rPr>
              <w:t>4</w:t>
            </w:r>
            <w:r>
              <w:rPr>
                <w:rFonts w:hAnsi="黑体" w:eastAsia="黑体"/>
                <w:snapToGrid w:val="0"/>
                <w:color w:val="auto"/>
                <w:kern w:val="0"/>
                <w:sz w:val="18"/>
                <w:szCs w:val="18"/>
              </w:rPr>
              <w:t>）</w:t>
            </w:r>
            <w:r>
              <w:rPr>
                <w:rFonts w:eastAsia="黑体"/>
                <w:snapToGrid w:val="0"/>
                <w:color w:val="auto"/>
                <w:kern w:val="0"/>
                <w:sz w:val="18"/>
                <w:szCs w:val="18"/>
              </w:rPr>
              <w:t>M=5</w:t>
            </w:r>
            <w:r>
              <w:rPr>
                <w:rFonts w:hAnsi="黑体" w:eastAsia="黑体"/>
                <w:snapToGrid w:val="0"/>
                <w:color w:val="auto"/>
                <w:kern w:val="0"/>
                <w:sz w:val="18"/>
                <w:szCs w:val="18"/>
              </w:rPr>
              <w:t>，分别以</w:t>
            </w:r>
            <w:r>
              <w:rPr>
                <w:rFonts w:eastAsia="黑体"/>
                <w:snapToGrid w:val="0"/>
                <w:color w:val="auto"/>
                <w:kern w:val="0"/>
                <w:sz w:val="18"/>
                <w:szCs w:val="18"/>
              </w:rPr>
              <w:t>M1</w:t>
            </w:r>
            <w:r>
              <w:rPr>
                <w:rFonts w:hAnsi="黑体" w:eastAsia="黑体"/>
                <w:snapToGrid w:val="0"/>
                <w:color w:val="auto"/>
                <w:kern w:val="0"/>
                <w:sz w:val="18"/>
                <w:szCs w:val="18"/>
              </w:rPr>
              <w:t>、</w:t>
            </w:r>
            <w:r>
              <w:rPr>
                <w:rFonts w:eastAsia="黑体"/>
                <w:snapToGrid w:val="0"/>
                <w:color w:val="auto"/>
                <w:kern w:val="0"/>
                <w:sz w:val="18"/>
                <w:szCs w:val="18"/>
              </w:rPr>
              <w:t>M2</w:t>
            </w:r>
            <w:r>
              <w:rPr>
                <w:rFonts w:hAnsi="黑体" w:eastAsia="黑体"/>
                <w:snapToGrid w:val="0"/>
                <w:color w:val="auto"/>
                <w:kern w:val="0"/>
                <w:sz w:val="18"/>
                <w:szCs w:val="18"/>
              </w:rPr>
              <w:t>、</w:t>
            </w:r>
            <w:r>
              <w:rPr>
                <w:rFonts w:eastAsia="黑体"/>
                <w:snapToGrid w:val="0"/>
                <w:color w:val="auto"/>
                <w:kern w:val="0"/>
                <w:sz w:val="18"/>
                <w:szCs w:val="18"/>
              </w:rPr>
              <w:t>M3</w:t>
            </w:r>
            <w:r>
              <w:rPr>
                <w:rFonts w:hAnsi="黑体" w:eastAsia="黑体"/>
                <w:snapToGrid w:val="0"/>
                <w:color w:val="auto"/>
                <w:kern w:val="0"/>
                <w:sz w:val="18"/>
                <w:szCs w:val="18"/>
              </w:rPr>
              <w:t>和</w:t>
            </w:r>
            <w:r>
              <w:rPr>
                <w:rFonts w:eastAsia="黑体"/>
                <w:snapToGrid w:val="0"/>
                <w:color w:val="auto"/>
                <w:kern w:val="0"/>
                <w:sz w:val="18"/>
                <w:szCs w:val="18"/>
              </w:rPr>
              <w:t>M4</w:t>
            </w:r>
            <w:r>
              <w:rPr>
                <w:rFonts w:hAnsi="黑体" w:eastAsia="黑体"/>
                <w:snapToGrid w:val="0"/>
                <w:color w:val="auto"/>
                <w:kern w:val="0"/>
                <w:sz w:val="18"/>
                <w:szCs w:val="18"/>
              </w:rPr>
              <w:t>表示。</w:t>
            </w:r>
          </w:p>
          <w:p w14:paraId="0481689E">
            <w:pPr>
              <w:adjustRightInd w:val="0"/>
              <w:snapToGrid w:val="0"/>
              <w:spacing w:line="360" w:lineRule="auto"/>
              <w:ind w:firstLine="420" w:firstLineChars="200"/>
              <w:jc w:val="left"/>
              <w:rPr>
                <w:rFonts w:hAnsi="宋体"/>
                <w:color w:val="auto"/>
                <w:kern w:val="0"/>
                <w:szCs w:val="21"/>
              </w:rPr>
            </w:pPr>
            <w:r>
              <w:rPr>
                <w:rFonts w:hint="eastAsia" w:hAnsi="宋体"/>
                <w:color w:val="auto"/>
                <w:kern w:val="0"/>
                <w:szCs w:val="21"/>
              </w:rPr>
              <w:t>综上分析，</w:t>
            </w:r>
            <w:r>
              <w:rPr>
                <w:rFonts w:hAnsi="宋体"/>
                <w:color w:val="auto"/>
                <w:kern w:val="0"/>
                <w:szCs w:val="21"/>
              </w:rPr>
              <w:t>项目评价等级评价结果见表</w:t>
            </w:r>
            <w:r>
              <w:rPr>
                <w:rFonts w:hint="eastAsia" w:hAnsi="宋体"/>
                <w:color w:val="auto"/>
                <w:kern w:val="0"/>
                <w:szCs w:val="21"/>
              </w:rPr>
              <w:t>7-1</w:t>
            </w:r>
            <w:r>
              <w:rPr>
                <w:rFonts w:hint="eastAsia" w:hAnsi="宋体"/>
                <w:color w:val="auto"/>
                <w:kern w:val="0"/>
                <w:szCs w:val="21"/>
                <w:lang w:val="en-US" w:eastAsia="zh-CN"/>
              </w:rPr>
              <w:t>1</w:t>
            </w:r>
            <w:r>
              <w:rPr>
                <w:rFonts w:hAnsi="宋体"/>
                <w:color w:val="auto"/>
                <w:kern w:val="0"/>
                <w:szCs w:val="21"/>
              </w:rPr>
              <w:t>。</w:t>
            </w:r>
          </w:p>
          <w:p w14:paraId="1EDEFF8F">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7-1</w:t>
            </w:r>
            <w:r>
              <w:rPr>
                <w:rFonts w:hint="eastAsia" w:hAnsi="宋体"/>
                <w:b/>
                <w:color w:val="auto"/>
                <w:kern w:val="0"/>
                <w:szCs w:val="21"/>
                <w:lang w:val="en-US" w:eastAsia="zh-CN"/>
              </w:rPr>
              <w:t>1</w:t>
            </w:r>
            <w:r>
              <w:rPr>
                <w:rFonts w:hAnsi="宋体"/>
                <w:b/>
                <w:color w:val="auto"/>
                <w:kern w:val="0"/>
                <w:szCs w:val="21"/>
              </w:rPr>
              <w:t xml:space="preserve">   环境风险评价等级结果表</w:t>
            </w:r>
          </w:p>
          <w:tbl>
            <w:tblPr>
              <w:tblStyle w:val="35"/>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2899"/>
              <w:gridCol w:w="2827"/>
            </w:tblGrid>
            <w:tr w14:paraId="31E0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8" w:type="dxa"/>
                  <w:noWrap w:val="0"/>
                  <w:vAlign w:val="center"/>
                </w:tcPr>
                <w:p w14:paraId="4967E541">
                  <w:pPr>
                    <w:autoSpaceDE w:val="0"/>
                    <w:autoSpaceDN w:val="0"/>
                    <w:adjustRightInd w:val="0"/>
                    <w:spacing w:line="360" w:lineRule="auto"/>
                    <w:jc w:val="center"/>
                    <w:rPr>
                      <w:rFonts w:hAnsi="宋体"/>
                      <w:b/>
                      <w:color w:val="auto"/>
                      <w:kern w:val="0"/>
                      <w:szCs w:val="21"/>
                    </w:rPr>
                  </w:pPr>
                  <w:r>
                    <w:rPr>
                      <w:rFonts w:hAnsi="宋体"/>
                      <w:b/>
                      <w:color w:val="auto"/>
                      <w:kern w:val="0"/>
                      <w:szCs w:val="21"/>
                    </w:rPr>
                    <w:t>环境要素</w:t>
                  </w:r>
                </w:p>
              </w:tc>
              <w:tc>
                <w:tcPr>
                  <w:tcW w:w="2899" w:type="dxa"/>
                  <w:noWrap w:val="0"/>
                  <w:vAlign w:val="center"/>
                </w:tcPr>
                <w:p w14:paraId="3392588F">
                  <w:pPr>
                    <w:autoSpaceDE w:val="0"/>
                    <w:autoSpaceDN w:val="0"/>
                    <w:adjustRightInd w:val="0"/>
                    <w:spacing w:line="360" w:lineRule="auto"/>
                    <w:jc w:val="center"/>
                    <w:rPr>
                      <w:rFonts w:hAnsi="宋体"/>
                      <w:b/>
                      <w:color w:val="auto"/>
                      <w:kern w:val="0"/>
                      <w:szCs w:val="21"/>
                    </w:rPr>
                  </w:pPr>
                  <w:r>
                    <w:rPr>
                      <w:rFonts w:hAnsi="宋体"/>
                      <w:b/>
                      <w:color w:val="auto"/>
                      <w:kern w:val="0"/>
                      <w:szCs w:val="21"/>
                    </w:rPr>
                    <w:t>环境风险潜势划分</w:t>
                  </w:r>
                </w:p>
              </w:tc>
              <w:tc>
                <w:tcPr>
                  <w:tcW w:w="2827" w:type="dxa"/>
                  <w:noWrap w:val="0"/>
                  <w:vAlign w:val="center"/>
                </w:tcPr>
                <w:p w14:paraId="01B70F04">
                  <w:pPr>
                    <w:autoSpaceDE w:val="0"/>
                    <w:autoSpaceDN w:val="0"/>
                    <w:adjustRightInd w:val="0"/>
                    <w:spacing w:line="360" w:lineRule="auto"/>
                    <w:jc w:val="center"/>
                    <w:rPr>
                      <w:rFonts w:hAnsi="宋体"/>
                      <w:b/>
                      <w:color w:val="auto"/>
                      <w:kern w:val="0"/>
                      <w:szCs w:val="21"/>
                    </w:rPr>
                  </w:pPr>
                  <w:r>
                    <w:rPr>
                      <w:rFonts w:hAnsi="宋体"/>
                      <w:b/>
                      <w:color w:val="auto"/>
                      <w:kern w:val="0"/>
                      <w:szCs w:val="21"/>
                    </w:rPr>
                    <w:t>评级等级</w:t>
                  </w:r>
                </w:p>
              </w:tc>
            </w:tr>
            <w:tr w14:paraId="2201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8" w:type="dxa"/>
                  <w:noWrap w:val="0"/>
                  <w:vAlign w:val="center"/>
                </w:tcPr>
                <w:p w14:paraId="4094A6C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w:t>
                  </w:r>
                </w:p>
              </w:tc>
              <w:tc>
                <w:tcPr>
                  <w:tcW w:w="2899" w:type="dxa"/>
                  <w:noWrap w:val="0"/>
                  <w:vAlign w:val="center"/>
                </w:tcPr>
                <w:p w14:paraId="414EFF5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Ⅲ</w:t>
                  </w:r>
                </w:p>
              </w:tc>
              <w:tc>
                <w:tcPr>
                  <w:tcW w:w="2827" w:type="dxa"/>
                  <w:noWrap w:val="0"/>
                  <w:vAlign w:val="center"/>
                </w:tcPr>
                <w:p w14:paraId="2A3EDE8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二级</w:t>
                  </w:r>
                </w:p>
              </w:tc>
            </w:tr>
            <w:tr w14:paraId="7279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8" w:type="dxa"/>
                  <w:noWrap w:val="0"/>
                  <w:vAlign w:val="center"/>
                </w:tcPr>
                <w:p w14:paraId="4F8B18C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地表水</w:t>
                  </w:r>
                </w:p>
              </w:tc>
              <w:tc>
                <w:tcPr>
                  <w:tcW w:w="2899" w:type="dxa"/>
                  <w:noWrap w:val="0"/>
                  <w:vAlign w:val="center"/>
                </w:tcPr>
                <w:p w14:paraId="77F6F8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Ⅲ</w:t>
                  </w:r>
                </w:p>
              </w:tc>
              <w:tc>
                <w:tcPr>
                  <w:tcW w:w="2827" w:type="dxa"/>
                  <w:noWrap w:val="0"/>
                  <w:vAlign w:val="center"/>
                </w:tcPr>
                <w:p w14:paraId="35C9229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二级</w:t>
                  </w:r>
                </w:p>
              </w:tc>
            </w:tr>
            <w:tr w14:paraId="7EA2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8" w:type="dxa"/>
                  <w:noWrap w:val="0"/>
                  <w:vAlign w:val="center"/>
                </w:tcPr>
                <w:p w14:paraId="0E8CD55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地下水</w:t>
                  </w:r>
                </w:p>
              </w:tc>
              <w:tc>
                <w:tcPr>
                  <w:tcW w:w="2899" w:type="dxa"/>
                  <w:noWrap w:val="0"/>
                  <w:vAlign w:val="center"/>
                </w:tcPr>
                <w:p w14:paraId="2CCF5BA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Ⅱ</w:t>
                  </w:r>
                </w:p>
              </w:tc>
              <w:tc>
                <w:tcPr>
                  <w:tcW w:w="2827" w:type="dxa"/>
                  <w:noWrap w:val="0"/>
                  <w:vAlign w:val="center"/>
                </w:tcPr>
                <w:p w14:paraId="0AE3B10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三级</w:t>
                  </w:r>
                </w:p>
              </w:tc>
            </w:tr>
          </w:tbl>
          <w:p w14:paraId="6A6D21E8">
            <w:pPr>
              <w:pStyle w:val="140"/>
              <w:ind w:firstLine="420"/>
              <w:jc w:val="both"/>
              <w:rPr>
                <w:rFonts w:hint="eastAsia"/>
                <w:color w:val="auto"/>
                <w:sz w:val="21"/>
                <w:szCs w:val="21"/>
              </w:rPr>
            </w:pPr>
            <w:r>
              <w:rPr>
                <w:rFonts w:hint="eastAsia"/>
                <w:color w:val="auto"/>
                <w:sz w:val="21"/>
                <w:szCs w:val="21"/>
              </w:rPr>
              <w:t>根据风险导则，大气风险预测二级评价需选取最不利气象条件，选择适用的数值方法进行分析预测，给出风险事故情形下危险物质释放可能造成的大气环境影响范围与程度。一级、二级评价应选择适用的数值方法预测地表水环境风险，给出风险事故情形下可能造成的影响范围与程度，本项目正常工况下无生产废水，生活污水均经过厂内处理达标后排入市政污水管网，不会对区域地表水造成影响</w:t>
            </w:r>
            <w:r>
              <w:rPr>
                <w:color w:val="auto"/>
                <w:sz w:val="21"/>
                <w:szCs w:val="21"/>
              </w:rPr>
              <w:t>，同时事故状态下设置事故池收集事故废水</w:t>
            </w:r>
            <w:r>
              <w:rPr>
                <w:rFonts w:hint="eastAsia"/>
                <w:color w:val="auto"/>
                <w:sz w:val="21"/>
                <w:szCs w:val="21"/>
                <w:lang w:eastAsia="zh-CN"/>
              </w:rPr>
              <w:t>，</w:t>
            </w:r>
            <w:r>
              <w:rPr>
                <w:rFonts w:hint="eastAsia"/>
                <w:color w:val="auto"/>
                <w:sz w:val="21"/>
                <w:szCs w:val="21"/>
                <w:lang w:val="en-US" w:eastAsia="zh-CN"/>
              </w:rPr>
              <w:t>厂区内设置拦截设施及物料</w:t>
            </w:r>
            <w:r>
              <w:rPr>
                <w:rFonts w:hint="eastAsia"/>
                <w:color w:val="auto"/>
                <w:sz w:val="21"/>
                <w:szCs w:val="21"/>
              </w:rPr>
              <w:t>。</w:t>
            </w:r>
            <w:r>
              <w:rPr>
                <w:color w:val="auto"/>
                <w:sz w:val="21"/>
                <w:szCs w:val="21"/>
              </w:rPr>
              <w:t>事故水采取“单元、厂区、园区”三级联控，并在废水总排口设置切断设施，在雨水排口设置切断设施，可确保一般事故状态事故废水不外排。</w:t>
            </w:r>
            <w:r>
              <w:rPr>
                <w:rFonts w:hint="eastAsia"/>
                <w:bCs/>
                <w:color w:val="auto"/>
                <w:kern w:val="24"/>
                <w:sz w:val="21"/>
                <w:szCs w:val="21"/>
              </w:rPr>
              <w:t>当发生事故时，事故废水进入事故水池收集暂存，事故状态下，项目废水和泄漏的物料不会直接外排进入地表水体</w:t>
            </w:r>
            <w:r>
              <w:rPr>
                <w:rFonts w:hint="eastAsia"/>
                <w:bCs/>
                <w:color w:val="auto"/>
                <w:kern w:val="24"/>
                <w:sz w:val="21"/>
                <w:szCs w:val="21"/>
                <w:lang w:val="en-US" w:eastAsia="zh-CN"/>
              </w:rPr>
              <w:t>淮河</w:t>
            </w:r>
            <w:r>
              <w:rPr>
                <w:rFonts w:hint="eastAsia"/>
                <w:bCs/>
                <w:color w:val="auto"/>
                <w:kern w:val="24"/>
                <w:sz w:val="21"/>
                <w:szCs w:val="21"/>
              </w:rPr>
              <w:t>而引发水环境污染事故，拟建项目不再单独考虑地表水环境风险。</w:t>
            </w:r>
            <w:r>
              <w:rPr>
                <w:rFonts w:hint="eastAsia"/>
                <w:color w:val="auto"/>
                <w:sz w:val="21"/>
                <w:szCs w:val="21"/>
              </w:rPr>
              <w:t>地下水环境风险预测，低于一级评价的，风险预测分析与评价要求参照HJ610执行。</w:t>
            </w:r>
          </w:p>
          <w:p w14:paraId="27728925">
            <w:pPr>
              <w:pStyle w:val="4"/>
              <w:numPr>
                <w:ilvl w:val="0"/>
                <w:numId w:val="0"/>
              </w:numPr>
              <w:spacing w:before="120" w:after="120" w:line="360" w:lineRule="auto"/>
              <w:ind w:leftChars="0"/>
              <w:rPr>
                <w:rFonts w:hint="eastAsia"/>
                <w:color w:val="auto"/>
                <w:sz w:val="21"/>
                <w:szCs w:val="21"/>
                <w:lang w:eastAsia="zh-CN"/>
              </w:rPr>
            </w:pPr>
            <w:r>
              <w:rPr>
                <w:rFonts w:hint="eastAsia"/>
                <w:color w:val="auto"/>
                <w:sz w:val="21"/>
                <w:szCs w:val="21"/>
                <w:lang w:eastAsia="zh-CN"/>
              </w:rPr>
              <w:t>6</w:t>
            </w:r>
            <w:r>
              <w:rPr>
                <w:color w:val="auto"/>
                <w:sz w:val="21"/>
                <w:szCs w:val="21"/>
                <w:lang w:eastAsia="zh-CN"/>
              </w:rPr>
              <w:t>.</w:t>
            </w:r>
            <w:r>
              <w:rPr>
                <w:rFonts w:hint="eastAsia"/>
                <w:color w:val="auto"/>
                <w:sz w:val="21"/>
                <w:szCs w:val="21"/>
                <w:lang w:eastAsia="zh-CN"/>
              </w:rPr>
              <w:t>2</w:t>
            </w:r>
            <w:r>
              <w:rPr>
                <w:color w:val="auto"/>
                <w:sz w:val="21"/>
                <w:szCs w:val="21"/>
                <w:lang w:eastAsia="zh-CN"/>
              </w:rPr>
              <w:t>评价范围</w:t>
            </w:r>
          </w:p>
          <w:p w14:paraId="6E847AB0">
            <w:pPr>
              <w:spacing w:line="360" w:lineRule="auto"/>
              <w:ind w:firstLine="420" w:firstLineChars="200"/>
              <w:rPr>
                <w:rFonts w:hAnsi="宋体"/>
                <w:color w:val="auto"/>
                <w:kern w:val="0"/>
                <w:szCs w:val="21"/>
              </w:rPr>
            </w:pPr>
            <w:r>
              <w:rPr>
                <w:color w:val="auto"/>
              </w:rPr>
              <w:t>根据《建设项目环境风险评价技术导则》（HJ169-2018），结合实际情况，判定本项目环境空气风险评价工作等级为</w:t>
            </w:r>
            <w:r>
              <w:rPr>
                <w:rFonts w:hint="eastAsia"/>
                <w:color w:val="auto"/>
                <w:lang w:val="en-US" w:eastAsia="zh-CN"/>
              </w:rPr>
              <w:t>二</w:t>
            </w:r>
            <w:r>
              <w:rPr>
                <w:rFonts w:hint="eastAsia"/>
                <w:color w:val="auto"/>
              </w:rPr>
              <w:t>级</w:t>
            </w:r>
            <w:r>
              <w:rPr>
                <w:color w:val="auto"/>
              </w:rPr>
              <w:t>，地表水环境风险和地下水环境风险不再单独评价。具体判定结果见下表所示。</w:t>
            </w:r>
          </w:p>
          <w:p w14:paraId="030B6BF2">
            <w:pPr>
              <w:autoSpaceDE w:val="0"/>
              <w:autoSpaceDN w:val="0"/>
              <w:adjustRightInd w:val="0"/>
              <w:spacing w:line="360" w:lineRule="auto"/>
              <w:jc w:val="center"/>
              <w:rPr>
                <w:rFonts w:hAnsi="宋体"/>
                <w:b/>
                <w:color w:val="auto"/>
                <w:kern w:val="0"/>
                <w:szCs w:val="21"/>
              </w:rPr>
            </w:pPr>
            <w:r>
              <w:rPr>
                <w:rFonts w:hAnsi="宋体"/>
                <w:b/>
                <w:color w:val="auto"/>
                <w:kern w:val="0"/>
                <w:szCs w:val="21"/>
              </w:rPr>
              <w:t>表</w:t>
            </w:r>
            <w:r>
              <w:rPr>
                <w:rFonts w:hint="eastAsia" w:hAnsi="宋体"/>
                <w:b/>
                <w:color w:val="auto"/>
                <w:kern w:val="0"/>
                <w:szCs w:val="21"/>
              </w:rPr>
              <w:t>7-1</w:t>
            </w:r>
            <w:r>
              <w:rPr>
                <w:rFonts w:hint="eastAsia" w:hAnsi="宋体"/>
                <w:b/>
                <w:color w:val="auto"/>
                <w:kern w:val="0"/>
                <w:szCs w:val="21"/>
                <w:lang w:val="en-US" w:eastAsia="zh-CN"/>
              </w:rPr>
              <w:t>2</w:t>
            </w:r>
            <w:r>
              <w:rPr>
                <w:rFonts w:hAnsi="宋体"/>
                <w:b/>
                <w:color w:val="auto"/>
                <w:kern w:val="0"/>
                <w:szCs w:val="21"/>
              </w:rPr>
              <w:t xml:space="preserve">   环境风险评价范围一览表</w:t>
            </w:r>
          </w:p>
          <w:tbl>
            <w:tblPr>
              <w:tblStyle w:val="35"/>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80"/>
              <w:gridCol w:w="5315"/>
            </w:tblGrid>
            <w:tr w14:paraId="4873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14:paraId="3B988AC0">
                  <w:pPr>
                    <w:adjustRightInd w:val="0"/>
                    <w:snapToGrid w:val="0"/>
                    <w:jc w:val="center"/>
                    <w:rPr>
                      <w:color w:val="auto"/>
                      <w:kern w:val="0"/>
                      <w:szCs w:val="21"/>
                    </w:rPr>
                  </w:pPr>
                  <w:r>
                    <w:rPr>
                      <w:rFonts w:hAnsi="宋体"/>
                      <w:color w:val="auto"/>
                      <w:kern w:val="0"/>
                      <w:szCs w:val="21"/>
                    </w:rPr>
                    <w:t>环境要素</w:t>
                  </w:r>
                </w:p>
              </w:tc>
              <w:tc>
                <w:tcPr>
                  <w:tcW w:w="1680" w:type="dxa"/>
                  <w:noWrap w:val="0"/>
                  <w:vAlign w:val="center"/>
                </w:tcPr>
                <w:p w14:paraId="34381FA5">
                  <w:pPr>
                    <w:adjustRightInd w:val="0"/>
                    <w:snapToGrid w:val="0"/>
                    <w:jc w:val="center"/>
                    <w:rPr>
                      <w:color w:val="auto"/>
                      <w:kern w:val="0"/>
                      <w:szCs w:val="21"/>
                    </w:rPr>
                  </w:pPr>
                  <w:r>
                    <w:rPr>
                      <w:rFonts w:hAnsi="宋体"/>
                      <w:color w:val="auto"/>
                      <w:kern w:val="0"/>
                      <w:szCs w:val="21"/>
                    </w:rPr>
                    <w:t>评级等级</w:t>
                  </w:r>
                </w:p>
              </w:tc>
              <w:tc>
                <w:tcPr>
                  <w:tcW w:w="5315" w:type="dxa"/>
                  <w:noWrap w:val="0"/>
                  <w:vAlign w:val="center"/>
                </w:tcPr>
                <w:p w14:paraId="36EC0A7D">
                  <w:pPr>
                    <w:adjustRightInd w:val="0"/>
                    <w:snapToGrid w:val="0"/>
                    <w:jc w:val="center"/>
                    <w:rPr>
                      <w:color w:val="auto"/>
                      <w:kern w:val="0"/>
                      <w:szCs w:val="21"/>
                    </w:rPr>
                  </w:pPr>
                  <w:r>
                    <w:rPr>
                      <w:rFonts w:hAnsi="宋体"/>
                      <w:color w:val="auto"/>
                      <w:kern w:val="0"/>
                      <w:szCs w:val="21"/>
                    </w:rPr>
                    <w:t>评价范围</w:t>
                  </w:r>
                </w:p>
              </w:tc>
            </w:tr>
            <w:tr w14:paraId="0FA2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14:paraId="1624D525">
                  <w:pPr>
                    <w:adjustRightInd w:val="0"/>
                    <w:snapToGrid w:val="0"/>
                    <w:jc w:val="center"/>
                    <w:rPr>
                      <w:color w:val="auto"/>
                      <w:kern w:val="0"/>
                      <w:szCs w:val="21"/>
                    </w:rPr>
                  </w:pPr>
                  <w:r>
                    <w:rPr>
                      <w:rFonts w:hAnsi="宋体"/>
                      <w:color w:val="auto"/>
                      <w:kern w:val="0"/>
                      <w:szCs w:val="21"/>
                    </w:rPr>
                    <w:t>大气</w:t>
                  </w:r>
                </w:p>
              </w:tc>
              <w:tc>
                <w:tcPr>
                  <w:tcW w:w="1680" w:type="dxa"/>
                  <w:noWrap w:val="0"/>
                  <w:vAlign w:val="center"/>
                </w:tcPr>
                <w:p w14:paraId="08BDA283">
                  <w:pPr>
                    <w:adjustRightInd w:val="0"/>
                    <w:snapToGrid w:val="0"/>
                    <w:jc w:val="center"/>
                    <w:rPr>
                      <w:color w:val="auto"/>
                      <w:kern w:val="0"/>
                      <w:szCs w:val="21"/>
                    </w:rPr>
                  </w:pPr>
                  <w:r>
                    <w:rPr>
                      <w:rFonts w:hint="eastAsia" w:hAnsi="宋体"/>
                      <w:color w:val="auto"/>
                      <w:kern w:val="0"/>
                      <w:szCs w:val="21"/>
                      <w:lang w:val="en-US" w:eastAsia="zh-CN"/>
                    </w:rPr>
                    <w:t>二</w:t>
                  </w:r>
                  <w:r>
                    <w:rPr>
                      <w:rFonts w:hAnsi="宋体"/>
                      <w:color w:val="auto"/>
                      <w:kern w:val="0"/>
                      <w:szCs w:val="21"/>
                    </w:rPr>
                    <w:t>级</w:t>
                  </w:r>
                </w:p>
              </w:tc>
              <w:tc>
                <w:tcPr>
                  <w:tcW w:w="5315" w:type="dxa"/>
                  <w:noWrap w:val="0"/>
                  <w:vAlign w:val="center"/>
                </w:tcPr>
                <w:p w14:paraId="5C63C1FE">
                  <w:pPr>
                    <w:adjustRightInd w:val="0"/>
                    <w:snapToGrid w:val="0"/>
                    <w:jc w:val="center"/>
                    <w:rPr>
                      <w:color w:val="auto"/>
                      <w:kern w:val="0"/>
                      <w:szCs w:val="21"/>
                    </w:rPr>
                  </w:pPr>
                  <w:r>
                    <w:rPr>
                      <w:rFonts w:hAnsi="宋体"/>
                      <w:color w:val="auto"/>
                      <w:kern w:val="0"/>
                      <w:szCs w:val="21"/>
                    </w:rPr>
                    <w:t>自厂界外延边长为</w:t>
                  </w:r>
                  <w:r>
                    <w:rPr>
                      <w:color w:val="auto"/>
                      <w:kern w:val="0"/>
                      <w:szCs w:val="21"/>
                    </w:rPr>
                    <w:t>5km</w:t>
                  </w:r>
                  <w:r>
                    <w:rPr>
                      <w:rFonts w:hAnsi="宋体"/>
                      <w:color w:val="auto"/>
                      <w:kern w:val="0"/>
                      <w:szCs w:val="21"/>
                    </w:rPr>
                    <w:t>的范围</w:t>
                  </w:r>
                </w:p>
              </w:tc>
            </w:tr>
            <w:tr w14:paraId="243C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14:paraId="1496951E">
                  <w:pPr>
                    <w:adjustRightInd w:val="0"/>
                    <w:snapToGrid w:val="0"/>
                    <w:jc w:val="center"/>
                    <w:rPr>
                      <w:color w:val="auto"/>
                      <w:kern w:val="0"/>
                      <w:szCs w:val="21"/>
                    </w:rPr>
                  </w:pPr>
                  <w:r>
                    <w:rPr>
                      <w:rFonts w:hAnsi="宋体"/>
                      <w:color w:val="auto"/>
                      <w:kern w:val="0"/>
                      <w:szCs w:val="21"/>
                    </w:rPr>
                    <w:t>地表水</w:t>
                  </w:r>
                </w:p>
              </w:tc>
              <w:tc>
                <w:tcPr>
                  <w:tcW w:w="1680" w:type="dxa"/>
                  <w:noWrap w:val="0"/>
                  <w:vAlign w:val="center"/>
                </w:tcPr>
                <w:p w14:paraId="463BC7A7">
                  <w:pPr>
                    <w:adjustRightInd w:val="0"/>
                    <w:snapToGrid w:val="0"/>
                    <w:jc w:val="center"/>
                    <w:rPr>
                      <w:color w:val="auto"/>
                      <w:kern w:val="0"/>
                      <w:szCs w:val="21"/>
                    </w:rPr>
                  </w:pPr>
                  <w:r>
                    <w:rPr>
                      <w:rFonts w:hint="eastAsia" w:hAnsi="宋体"/>
                      <w:color w:val="auto"/>
                      <w:szCs w:val="21"/>
                    </w:rPr>
                    <w:t>二级</w:t>
                  </w:r>
                </w:p>
              </w:tc>
              <w:tc>
                <w:tcPr>
                  <w:tcW w:w="5315" w:type="dxa"/>
                  <w:noWrap w:val="0"/>
                  <w:vAlign w:val="center"/>
                </w:tcPr>
                <w:p w14:paraId="49C26CDC">
                  <w:pPr>
                    <w:adjustRightInd w:val="0"/>
                    <w:snapToGrid w:val="0"/>
                    <w:jc w:val="center"/>
                    <w:rPr>
                      <w:color w:val="auto"/>
                      <w:kern w:val="0"/>
                      <w:szCs w:val="21"/>
                    </w:rPr>
                  </w:pPr>
                  <w:r>
                    <w:rPr>
                      <w:rFonts w:hint="eastAsia" w:hAnsi="宋体"/>
                      <w:color w:val="auto"/>
                      <w:kern w:val="0"/>
                      <w:szCs w:val="21"/>
                    </w:rPr>
                    <w:t>/</w:t>
                  </w:r>
                </w:p>
              </w:tc>
            </w:tr>
            <w:tr w14:paraId="04A2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14:paraId="41BDEAC0">
                  <w:pPr>
                    <w:adjustRightInd w:val="0"/>
                    <w:snapToGrid w:val="0"/>
                    <w:jc w:val="center"/>
                    <w:rPr>
                      <w:color w:val="auto"/>
                      <w:kern w:val="0"/>
                      <w:szCs w:val="21"/>
                    </w:rPr>
                  </w:pPr>
                  <w:r>
                    <w:rPr>
                      <w:rFonts w:hAnsi="宋体"/>
                      <w:color w:val="auto"/>
                      <w:kern w:val="0"/>
                      <w:szCs w:val="21"/>
                    </w:rPr>
                    <w:t>地下水</w:t>
                  </w:r>
                </w:p>
              </w:tc>
              <w:tc>
                <w:tcPr>
                  <w:tcW w:w="1680" w:type="dxa"/>
                  <w:noWrap w:val="0"/>
                  <w:vAlign w:val="center"/>
                </w:tcPr>
                <w:p w14:paraId="49A4EC6C">
                  <w:pPr>
                    <w:adjustRightInd w:val="0"/>
                    <w:snapToGrid w:val="0"/>
                    <w:jc w:val="center"/>
                    <w:rPr>
                      <w:color w:val="auto"/>
                      <w:kern w:val="0"/>
                      <w:szCs w:val="21"/>
                    </w:rPr>
                  </w:pPr>
                  <w:r>
                    <w:rPr>
                      <w:rFonts w:hAnsi="宋体"/>
                      <w:color w:val="auto"/>
                      <w:szCs w:val="21"/>
                    </w:rPr>
                    <w:t>简单分析</w:t>
                  </w:r>
                </w:p>
              </w:tc>
              <w:tc>
                <w:tcPr>
                  <w:tcW w:w="5315" w:type="dxa"/>
                  <w:noWrap w:val="0"/>
                  <w:vAlign w:val="center"/>
                </w:tcPr>
                <w:p w14:paraId="126EEEAC">
                  <w:pPr>
                    <w:adjustRightInd w:val="0"/>
                    <w:snapToGrid w:val="0"/>
                    <w:jc w:val="center"/>
                    <w:rPr>
                      <w:color w:val="auto"/>
                      <w:kern w:val="0"/>
                      <w:szCs w:val="21"/>
                    </w:rPr>
                  </w:pPr>
                  <w:r>
                    <w:rPr>
                      <w:rFonts w:hint="eastAsia" w:hAnsi="宋体"/>
                      <w:color w:val="auto"/>
                      <w:kern w:val="0"/>
                      <w:szCs w:val="21"/>
                    </w:rPr>
                    <w:t>/</w:t>
                  </w:r>
                </w:p>
              </w:tc>
            </w:tr>
          </w:tbl>
          <w:p w14:paraId="2C337268">
            <w:pPr>
              <w:pStyle w:val="4"/>
              <w:numPr>
                <w:ilvl w:val="0"/>
                <w:numId w:val="0"/>
              </w:numPr>
              <w:spacing w:before="0" w:after="0" w:line="360" w:lineRule="auto"/>
              <w:ind w:leftChars="0"/>
              <w:rPr>
                <w:rFonts w:hint="eastAsia"/>
                <w:color w:val="auto"/>
                <w:sz w:val="21"/>
                <w:szCs w:val="21"/>
                <w:lang w:eastAsia="zh-CN"/>
              </w:rPr>
            </w:pPr>
            <w:bookmarkStart w:id="30" w:name="_Toc33034483"/>
            <w:r>
              <w:rPr>
                <w:rFonts w:hint="eastAsia"/>
                <w:color w:val="auto"/>
                <w:sz w:val="21"/>
                <w:szCs w:val="21"/>
                <w:lang w:eastAsia="zh-CN"/>
              </w:rPr>
              <w:t>7、风险识别</w:t>
            </w:r>
            <w:bookmarkEnd w:id="30"/>
          </w:p>
          <w:p w14:paraId="2D4F3714">
            <w:pPr>
              <w:adjustRightInd w:val="0"/>
              <w:snapToGrid w:val="0"/>
              <w:spacing w:line="360" w:lineRule="auto"/>
              <w:ind w:firstLine="420" w:firstLineChars="200"/>
              <w:outlineLvl w:val="2"/>
              <w:rPr>
                <w:rFonts w:hAnsi="宋体"/>
                <w:color w:val="auto"/>
                <w:kern w:val="0"/>
                <w:szCs w:val="21"/>
              </w:rPr>
            </w:pPr>
            <w:r>
              <w:rPr>
                <w:rFonts w:hAnsi="宋体"/>
                <w:color w:val="auto"/>
                <w:kern w:val="0"/>
                <w:szCs w:val="21"/>
              </w:rPr>
              <w:t>风险识别内容包括物质危险性识别、生产系统危险性识别及危险物质向环境转移的途径识别。</w:t>
            </w:r>
          </w:p>
          <w:p w14:paraId="25178B59">
            <w:pPr>
              <w:adjustRightInd w:val="0"/>
              <w:snapToGrid w:val="0"/>
              <w:spacing w:line="360" w:lineRule="auto"/>
              <w:ind w:firstLine="420" w:firstLineChars="200"/>
              <w:rPr>
                <w:rFonts w:hAnsi="宋体"/>
                <w:color w:val="auto"/>
                <w:kern w:val="0"/>
                <w:szCs w:val="21"/>
              </w:rPr>
            </w:pPr>
            <w:r>
              <w:rPr>
                <w:rFonts w:hAnsi="宋体"/>
                <w:color w:val="auto"/>
                <w:kern w:val="0"/>
                <w:szCs w:val="21"/>
              </w:rPr>
              <w:t>物质风险识别范围：包括主要原材料及辅助材料、燃料、中间产品、副产品、最终产品、污染物、火灾和爆炸伴生/次生物等。</w:t>
            </w:r>
          </w:p>
          <w:p w14:paraId="3EB69A2F">
            <w:pPr>
              <w:adjustRightInd w:val="0"/>
              <w:snapToGrid w:val="0"/>
              <w:spacing w:line="360" w:lineRule="auto"/>
              <w:ind w:firstLine="420" w:firstLineChars="200"/>
              <w:rPr>
                <w:rFonts w:hAnsi="宋体"/>
                <w:color w:val="auto"/>
                <w:kern w:val="0"/>
                <w:szCs w:val="21"/>
              </w:rPr>
            </w:pPr>
            <w:r>
              <w:rPr>
                <w:rFonts w:hAnsi="宋体"/>
                <w:color w:val="auto"/>
                <w:kern w:val="0"/>
                <w:szCs w:val="21"/>
              </w:rPr>
              <w:t>生产设施风险识别范围：包括主要生产装置、储运系统、公用工程和辅助生产设施，以及环境保护设施等。</w:t>
            </w:r>
          </w:p>
          <w:p w14:paraId="7DF3BF45">
            <w:pPr>
              <w:adjustRightInd w:val="0"/>
              <w:snapToGrid w:val="0"/>
              <w:spacing w:line="360" w:lineRule="auto"/>
              <w:ind w:firstLine="420" w:firstLineChars="200"/>
              <w:rPr>
                <w:rFonts w:hint="eastAsia" w:hAnsi="宋体"/>
                <w:color w:val="auto"/>
                <w:kern w:val="0"/>
                <w:szCs w:val="21"/>
              </w:rPr>
            </w:pPr>
            <w:r>
              <w:rPr>
                <w:rFonts w:hAnsi="宋体"/>
                <w:color w:val="auto"/>
                <w:kern w:val="0"/>
                <w:szCs w:val="21"/>
              </w:rPr>
              <w:t>危险物质向环境转移的途径识别：包括分析危险物质特性及可能的环境风险类型，识别危险物质影响环境的途径，分析可能影响的环境敏感目标</w:t>
            </w:r>
            <w:r>
              <w:rPr>
                <w:rFonts w:hint="eastAsia" w:hAnsi="宋体"/>
                <w:color w:val="auto"/>
                <w:kern w:val="0"/>
                <w:szCs w:val="21"/>
              </w:rPr>
              <w:t>。</w:t>
            </w:r>
          </w:p>
          <w:p w14:paraId="7965F46C">
            <w:pPr>
              <w:spacing w:line="360" w:lineRule="auto"/>
              <w:ind w:firstLine="422" w:firstLineChars="200"/>
              <w:jc w:val="left"/>
              <w:rPr>
                <w:rFonts w:hint="eastAsia"/>
                <w:b/>
                <w:color w:val="auto"/>
                <w:szCs w:val="21"/>
              </w:rPr>
            </w:pPr>
            <w:r>
              <w:rPr>
                <w:rFonts w:hint="eastAsia" w:ascii="宋体"/>
                <w:b/>
                <w:color w:val="auto"/>
                <w:szCs w:val="21"/>
              </w:rPr>
              <w:t>（1）风险物质识别</w:t>
            </w:r>
          </w:p>
          <w:p w14:paraId="12C5609F">
            <w:pPr>
              <w:adjustRightInd w:val="0"/>
              <w:snapToGrid w:val="0"/>
              <w:spacing w:line="360" w:lineRule="auto"/>
              <w:ind w:firstLine="420" w:firstLineChars="200"/>
              <w:jc w:val="left"/>
              <w:rPr>
                <w:color w:val="auto"/>
                <w:kern w:val="0"/>
                <w:szCs w:val="21"/>
              </w:rPr>
            </w:pPr>
            <w:r>
              <w:rPr>
                <w:rFonts w:hAnsi="宋体"/>
                <w:color w:val="auto"/>
                <w:szCs w:val="21"/>
              </w:rPr>
              <w:t>从企业生产全过程识别环境风险物质，包括原辅材料、能源、中间体、产品等，对企业的环境风险物质进行识别。根据《建设项目环境风险评价技术导则》（</w:t>
            </w:r>
            <w:r>
              <w:rPr>
                <w:color w:val="auto"/>
                <w:szCs w:val="21"/>
              </w:rPr>
              <w:t>HJ169-2018</w:t>
            </w:r>
            <w:r>
              <w:rPr>
                <w:rFonts w:hAnsi="宋体"/>
                <w:color w:val="auto"/>
                <w:szCs w:val="21"/>
              </w:rPr>
              <w:t>）中附录</w:t>
            </w:r>
            <w:r>
              <w:rPr>
                <w:color w:val="auto"/>
                <w:szCs w:val="21"/>
              </w:rPr>
              <w:t>B</w:t>
            </w:r>
            <w:r>
              <w:rPr>
                <w:rFonts w:hAnsi="宋体"/>
                <w:color w:val="auto"/>
                <w:szCs w:val="21"/>
              </w:rPr>
              <w:t>中规定的突发环境事件风险物质可知，项目</w:t>
            </w:r>
            <w:r>
              <w:rPr>
                <w:rFonts w:hint="eastAsia" w:hAnsi="宋体"/>
                <w:color w:val="auto"/>
                <w:szCs w:val="21"/>
                <w:lang w:val="en-US" w:eastAsia="zh-CN"/>
              </w:rPr>
              <w:t>燃料液化石油气（丙烷）、液化天然气（甲烷）、管道天然气（甲烷）、辅料机油、废气（</w:t>
            </w:r>
            <w:r>
              <w:rPr>
                <w:rFonts w:hint="eastAsia" w:hAnsi="宋体"/>
                <w:color w:val="auto"/>
                <w:szCs w:val="21"/>
                <w:lang w:val="en-US" w:eastAsia="zh-CN"/>
              </w:rPr>
              <w:t>二氧化硫、氮氧化物、氨气</w:t>
            </w:r>
            <w:r>
              <w:rPr>
                <w:rFonts w:hint="eastAsia" w:hAnsi="宋体"/>
                <w:color w:val="auto"/>
                <w:szCs w:val="21"/>
                <w:lang w:val="en-US" w:eastAsia="zh-CN"/>
              </w:rPr>
              <w:t>）、危废废机油</w:t>
            </w:r>
            <w:r>
              <w:rPr>
                <w:rFonts w:hAnsi="宋体"/>
                <w:color w:val="auto"/>
                <w:szCs w:val="21"/>
              </w:rPr>
              <w:t>等属于风险物质，风险物质识别结果表详见表</w:t>
            </w:r>
            <w:r>
              <w:rPr>
                <w:rFonts w:hint="eastAsia"/>
                <w:color w:val="auto"/>
                <w:szCs w:val="21"/>
              </w:rPr>
              <w:t>7-6</w:t>
            </w:r>
            <w:r>
              <w:rPr>
                <w:rFonts w:hAnsi="宋体"/>
                <w:color w:val="auto"/>
                <w:kern w:val="0"/>
                <w:szCs w:val="21"/>
              </w:rPr>
              <w:t>，各风险物质的理化性质见表</w:t>
            </w:r>
            <w:r>
              <w:rPr>
                <w:rFonts w:hint="eastAsia" w:hAnsi="宋体"/>
                <w:color w:val="auto"/>
                <w:kern w:val="0"/>
                <w:szCs w:val="21"/>
              </w:rPr>
              <w:t>7-1</w:t>
            </w:r>
            <w:r>
              <w:rPr>
                <w:rFonts w:hint="eastAsia" w:hAnsi="宋体"/>
                <w:color w:val="auto"/>
                <w:kern w:val="0"/>
                <w:szCs w:val="21"/>
                <w:lang w:val="en-US" w:eastAsia="zh-CN"/>
              </w:rPr>
              <w:t>3</w:t>
            </w:r>
            <w:r>
              <w:rPr>
                <w:rFonts w:hint="eastAsia" w:hAnsi="宋体"/>
                <w:color w:val="auto"/>
                <w:kern w:val="0"/>
                <w:szCs w:val="21"/>
              </w:rPr>
              <w:t>~7-</w:t>
            </w:r>
            <w:r>
              <w:rPr>
                <w:rFonts w:hint="eastAsia" w:hAnsi="宋体"/>
                <w:color w:val="auto"/>
                <w:kern w:val="0"/>
                <w:szCs w:val="21"/>
                <w:lang w:val="en-US" w:eastAsia="zh-CN"/>
              </w:rPr>
              <w:t>18</w:t>
            </w:r>
            <w:r>
              <w:rPr>
                <w:rFonts w:hint="eastAsia" w:hAnsi="宋体"/>
                <w:color w:val="auto"/>
                <w:kern w:val="0"/>
                <w:szCs w:val="21"/>
              </w:rPr>
              <w:t>。</w:t>
            </w:r>
          </w:p>
          <w:p w14:paraId="4C8CF118">
            <w:pPr>
              <w:autoSpaceDE w:val="0"/>
              <w:autoSpaceDN w:val="0"/>
              <w:adjustRightInd w:val="0"/>
              <w:spacing w:line="360" w:lineRule="auto"/>
              <w:jc w:val="center"/>
              <w:rPr>
                <w:b/>
                <w:color w:val="auto"/>
                <w:szCs w:val="21"/>
              </w:rPr>
            </w:pPr>
            <w:r>
              <w:rPr>
                <w:b/>
                <w:color w:val="auto"/>
                <w:szCs w:val="21"/>
              </w:rPr>
              <w:t>表</w:t>
            </w:r>
            <w:r>
              <w:rPr>
                <w:rFonts w:hint="eastAsia"/>
                <w:b/>
                <w:color w:val="auto"/>
                <w:szCs w:val="21"/>
              </w:rPr>
              <w:t>7-1</w:t>
            </w:r>
            <w:r>
              <w:rPr>
                <w:rFonts w:hint="eastAsia"/>
                <w:b/>
                <w:color w:val="auto"/>
                <w:szCs w:val="21"/>
                <w:lang w:val="en-US" w:eastAsia="zh-CN"/>
              </w:rPr>
              <w:t>3</w:t>
            </w:r>
            <w:r>
              <w:rPr>
                <w:b/>
                <w:color w:val="auto"/>
                <w:szCs w:val="21"/>
              </w:rPr>
              <w:t xml:space="preserve">  </w:t>
            </w:r>
            <w:r>
              <w:rPr>
                <w:rFonts w:hint="eastAsia"/>
                <w:b/>
                <w:color w:val="auto"/>
                <w:szCs w:val="21"/>
                <w:lang w:val="en-US" w:eastAsia="zh-CN"/>
              </w:rPr>
              <w:t>丙烷</w:t>
            </w:r>
            <w:r>
              <w:rPr>
                <w:b/>
                <w:color w:val="auto"/>
                <w:szCs w:val="21"/>
              </w:rPr>
              <w:t>理化性质</w:t>
            </w:r>
            <w:r>
              <w:rPr>
                <w:rFonts w:hint="eastAsia"/>
                <w:b/>
                <w:color w:val="auto"/>
                <w:kern w:val="0"/>
                <w:szCs w:val="21"/>
              </w:rPr>
              <w:t>及危险特性表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382"/>
              <w:gridCol w:w="1887"/>
              <w:gridCol w:w="3201"/>
            </w:tblGrid>
            <w:tr w14:paraId="5C45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8DC33D6">
                  <w:pPr>
                    <w:widowControl/>
                    <w:snapToGrid w:val="0"/>
                    <w:jc w:val="center"/>
                    <w:rPr>
                      <w:rFonts w:hint="eastAsia"/>
                      <w:color w:val="auto"/>
                      <w:kern w:val="0"/>
                      <w:szCs w:val="21"/>
                    </w:rPr>
                  </w:pPr>
                  <w:r>
                    <w:rPr>
                      <w:rFonts w:hint="eastAsia"/>
                      <w:color w:val="auto"/>
                      <w:kern w:val="0"/>
                      <w:szCs w:val="21"/>
                    </w:rPr>
                    <w:t>物品名称</w:t>
                  </w:r>
                </w:p>
              </w:tc>
              <w:tc>
                <w:tcPr>
                  <w:tcW w:w="4228" w:type="pct"/>
                  <w:gridSpan w:val="3"/>
                  <w:noWrap w:val="0"/>
                  <w:vAlign w:val="center"/>
                </w:tcPr>
                <w:p w14:paraId="061C67A3">
                  <w:pPr>
                    <w:widowControl/>
                    <w:snapToGrid w:val="0"/>
                    <w:jc w:val="center"/>
                    <w:rPr>
                      <w:color w:val="auto"/>
                      <w:kern w:val="0"/>
                      <w:szCs w:val="21"/>
                    </w:rPr>
                  </w:pPr>
                  <w:r>
                    <w:rPr>
                      <w:rFonts w:hint="eastAsia"/>
                      <w:b/>
                      <w:color w:val="auto"/>
                      <w:szCs w:val="21"/>
                      <w:lang w:val="en-US" w:eastAsia="zh-CN"/>
                    </w:rPr>
                    <w:t>丙烷</w:t>
                  </w:r>
                </w:p>
              </w:tc>
            </w:tr>
            <w:tr w14:paraId="6F69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0B7590B3">
                  <w:pPr>
                    <w:widowControl/>
                    <w:snapToGrid w:val="0"/>
                    <w:jc w:val="center"/>
                    <w:rPr>
                      <w:color w:val="auto"/>
                      <w:kern w:val="0"/>
                      <w:szCs w:val="21"/>
                    </w:rPr>
                  </w:pPr>
                  <w:r>
                    <w:rPr>
                      <w:rFonts w:hint="eastAsia"/>
                      <w:color w:val="auto"/>
                      <w:kern w:val="0"/>
                      <w:szCs w:val="21"/>
                    </w:rPr>
                    <w:t>化学式</w:t>
                  </w:r>
                </w:p>
              </w:tc>
              <w:tc>
                <w:tcPr>
                  <w:tcW w:w="1348" w:type="pct"/>
                  <w:noWrap w:val="0"/>
                  <w:vAlign w:val="center"/>
                </w:tcPr>
                <w:p w14:paraId="06B371F9">
                  <w:pPr>
                    <w:widowControl/>
                    <w:snapToGrid w:val="0"/>
                    <w:ind w:left="-105" w:leftChars="-50" w:right="-105" w:rightChars="-50"/>
                    <w:jc w:val="center"/>
                    <w:rPr>
                      <w:color w:val="auto"/>
                      <w:kern w:val="0"/>
                      <w:szCs w:val="21"/>
                    </w:rPr>
                  </w:pPr>
                  <w:r>
                    <w:rPr>
                      <w:rFonts w:hint="eastAsia"/>
                      <w:color w:val="auto"/>
                      <w:sz w:val="22"/>
                      <w:szCs w:val="22"/>
                      <w:shd w:val="clear" w:color="auto" w:fill="FFFFFF"/>
                    </w:rPr>
                    <w:t>C</w:t>
                  </w:r>
                  <w:r>
                    <w:rPr>
                      <w:rFonts w:hint="eastAsia"/>
                      <w:color w:val="auto"/>
                      <w:sz w:val="22"/>
                      <w:szCs w:val="22"/>
                      <w:shd w:val="clear" w:color="auto" w:fill="FFFFFF"/>
                      <w:vertAlign w:val="subscript"/>
                    </w:rPr>
                    <w:t>3</w:t>
                  </w:r>
                  <w:r>
                    <w:rPr>
                      <w:rFonts w:hint="eastAsia"/>
                      <w:color w:val="auto"/>
                      <w:sz w:val="22"/>
                      <w:szCs w:val="22"/>
                      <w:shd w:val="clear" w:color="auto" w:fill="FFFFFF"/>
                    </w:rPr>
                    <w:t>H</w:t>
                  </w:r>
                  <w:r>
                    <w:rPr>
                      <w:rFonts w:hint="eastAsia"/>
                      <w:color w:val="auto"/>
                      <w:sz w:val="22"/>
                      <w:szCs w:val="22"/>
                      <w:shd w:val="clear" w:color="auto" w:fill="FFFFFF"/>
                      <w:vertAlign w:val="subscript"/>
                    </w:rPr>
                    <w:t>8</w:t>
                  </w:r>
                </w:p>
              </w:tc>
              <w:tc>
                <w:tcPr>
                  <w:tcW w:w="1068" w:type="pct"/>
                  <w:noWrap w:val="0"/>
                  <w:vAlign w:val="center"/>
                </w:tcPr>
                <w:p w14:paraId="5081F3EC">
                  <w:pPr>
                    <w:widowControl/>
                    <w:snapToGrid w:val="0"/>
                    <w:jc w:val="center"/>
                    <w:rPr>
                      <w:color w:val="auto"/>
                      <w:kern w:val="0"/>
                      <w:szCs w:val="21"/>
                    </w:rPr>
                  </w:pPr>
                  <w:r>
                    <w:rPr>
                      <w:color w:val="auto"/>
                      <w:kern w:val="0"/>
                      <w:szCs w:val="21"/>
                    </w:rPr>
                    <w:t>外观与性状</w:t>
                  </w:r>
                </w:p>
              </w:tc>
              <w:tc>
                <w:tcPr>
                  <w:tcW w:w="1812" w:type="pct"/>
                  <w:noWrap w:val="0"/>
                  <w:vAlign w:val="center"/>
                </w:tcPr>
                <w:p w14:paraId="443EE3FE">
                  <w:pPr>
                    <w:spacing w:line="240" w:lineRule="atLeast"/>
                    <w:jc w:val="center"/>
                    <w:rPr>
                      <w:rFonts w:ascii="Arial" w:hAnsi="Arial"/>
                      <w:color w:val="auto"/>
                    </w:rPr>
                  </w:pPr>
                  <w:r>
                    <w:rPr>
                      <w:rFonts w:hint="eastAsia" w:ascii="Arial" w:hAnsi="Arial"/>
                      <w:color w:val="auto"/>
                    </w:rPr>
                    <w:t>无色气体，纯品无臭</w:t>
                  </w:r>
                </w:p>
              </w:tc>
            </w:tr>
            <w:tr w14:paraId="344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72" w:type="pct"/>
                  <w:noWrap w:val="0"/>
                  <w:vAlign w:val="center"/>
                </w:tcPr>
                <w:p w14:paraId="0D6E1C95">
                  <w:pPr>
                    <w:widowControl/>
                    <w:snapToGrid w:val="0"/>
                    <w:jc w:val="center"/>
                    <w:rPr>
                      <w:color w:val="auto"/>
                      <w:kern w:val="0"/>
                      <w:szCs w:val="21"/>
                    </w:rPr>
                  </w:pPr>
                  <w:r>
                    <w:rPr>
                      <w:color w:val="auto"/>
                      <w:kern w:val="0"/>
                      <w:szCs w:val="21"/>
                    </w:rPr>
                    <w:t>闪点</w:t>
                  </w:r>
                </w:p>
              </w:tc>
              <w:tc>
                <w:tcPr>
                  <w:tcW w:w="1348" w:type="pct"/>
                  <w:noWrap w:val="0"/>
                  <w:vAlign w:val="center"/>
                </w:tcPr>
                <w:p w14:paraId="2445CB54">
                  <w:pPr>
                    <w:widowControl/>
                    <w:snapToGrid w:val="0"/>
                    <w:jc w:val="center"/>
                    <w:rPr>
                      <w:color w:val="auto"/>
                      <w:kern w:val="0"/>
                      <w:szCs w:val="21"/>
                    </w:rPr>
                  </w:pPr>
                  <w:r>
                    <w:rPr>
                      <w:rFonts w:hint="eastAsia"/>
                      <w:color w:val="auto"/>
                      <w:kern w:val="0"/>
                      <w:szCs w:val="21"/>
                      <w:lang w:val="en-US" w:eastAsia="zh-CN"/>
                    </w:rPr>
                    <w:t>-104</w:t>
                  </w:r>
                  <w:r>
                    <w:rPr>
                      <w:rFonts w:hint="eastAsia"/>
                      <w:color w:val="auto"/>
                      <w:kern w:val="0"/>
                      <w:szCs w:val="21"/>
                    </w:rPr>
                    <w:t>℃</w:t>
                  </w:r>
                </w:p>
              </w:tc>
              <w:tc>
                <w:tcPr>
                  <w:tcW w:w="1068" w:type="pct"/>
                  <w:noWrap w:val="0"/>
                  <w:vAlign w:val="center"/>
                </w:tcPr>
                <w:p w14:paraId="387452CD">
                  <w:pPr>
                    <w:widowControl/>
                    <w:snapToGrid w:val="0"/>
                    <w:jc w:val="center"/>
                    <w:rPr>
                      <w:rFonts w:hint="eastAsia" w:eastAsia="宋体"/>
                      <w:color w:val="auto"/>
                      <w:kern w:val="0"/>
                      <w:szCs w:val="21"/>
                      <w:lang w:eastAsia="zh-CN"/>
                    </w:rPr>
                  </w:pPr>
                  <w:r>
                    <w:rPr>
                      <w:rFonts w:hint="eastAsia"/>
                      <w:color w:val="auto"/>
                      <w:kern w:val="0"/>
                      <w:szCs w:val="21"/>
                      <w:lang w:val="en-US" w:eastAsia="zh-CN"/>
                    </w:rPr>
                    <w:t>燃点</w:t>
                  </w:r>
                </w:p>
              </w:tc>
              <w:tc>
                <w:tcPr>
                  <w:tcW w:w="1812" w:type="pct"/>
                  <w:noWrap w:val="0"/>
                  <w:vAlign w:val="center"/>
                </w:tcPr>
                <w:p w14:paraId="27E4DA43">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450℃（易燃）</w:t>
                  </w:r>
                </w:p>
              </w:tc>
            </w:tr>
            <w:tr w14:paraId="2855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06DFDC3">
                  <w:pPr>
                    <w:widowControl/>
                    <w:snapToGrid w:val="0"/>
                    <w:jc w:val="center"/>
                    <w:rPr>
                      <w:color w:val="auto"/>
                      <w:kern w:val="0"/>
                      <w:szCs w:val="21"/>
                    </w:rPr>
                  </w:pPr>
                  <w:r>
                    <w:rPr>
                      <w:color w:val="auto"/>
                      <w:kern w:val="0"/>
                      <w:szCs w:val="21"/>
                    </w:rPr>
                    <w:t>沸点</w:t>
                  </w:r>
                </w:p>
              </w:tc>
              <w:tc>
                <w:tcPr>
                  <w:tcW w:w="1348" w:type="pct"/>
                  <w:noWrap w:val="0"/>
                  <w:vAlign w:val="center"/>
                </w:tcPr>
                <w:p w14:paraId="24E29C02">
                  <w:pPr>
                    <w:widowControl/>
                    <w:snapToGrid w:val="0"/>
                    <w:jc w:val="center"/>
                    <w:rPr>
                      <w:rFonts w:hint="eastAsia"/>
                      <w:color w:val="auto"/>
                      <w:kern w:val="0"/>
                      <w:szCs w:val="21"/>
                    </w:rPr>
                  </w:pPr>
                  <w:r>
                    <w:rPr>
                      <w:rFonts w:hint="eastAsia"/>
                      <w:color w:val="auto"/>
                      <w:kern w:val="0"/>
                      <w:szCs w:val="21"/>
                      <w:lang w:val="en-US" w:eastAsia="zh-CN"/>
                    </w:rPr>
                    <w:t>-42.09</w:t>
                  </w:r>
                  <w:r>
                    <w:rPr>
                      <w:rFonts w:hint="eastAsia"/>
                      <w:color w:val="auto"/>
                      <w:kern w:val="0"/>
                      <w:szCs w:val="21"/>
                    </w:rPr>
                    <w:t>℃</w:t>
                  </w:r>
                </w:p>
              </w:tc>
              <w:tc>
                <w:tcPr>
                  <w:tcW w:w="1068" w:type="pct"/>
                  <w:noWrap w:val="0"/>
                  <w:vAlign w:val="center"/>
                </w:tcPr>
                <w:p w14:paraId="2EC6EB99">
                  <w:pPr>
                    <w:widowControl/>
                    <w:snapToGrid w:val="0"/>
                    <w:jc w:val="center"/>
                    <w:rPr>
                      <w:rFonts w:hint="eastAsia" w:eastAsia="宋体"/>
                      <w:color w:val="auto"/>
                      <w:kern w:val="0"/>
                      <w:szCs w:val="21"/>
                      <w:lang w:eastAsia="zh-CN"/>
                    </w:rPr>
                  </w:pPr>
                  <w:r>
                    <w:rPr>
                      <w:rFonts w:hint="eastAsia"/>
                      <w:color w:val="auto"/>
                      <w:kern w:val="0"/>
                      <w:szCs w:val="21"/>
                      <w:lang w:val="en-US" w:eastAsia="zh-CN"/>
                    </w:rPr>
                    <w:t>饱和蒸气压</w:t>
                  </w:r>
                </w:p>
              </w:tc>
              <w:tc>
                <w:tcPr>
                  <w:tcW w:w="1812" w:type="pct"/>
                  <w:noWrap w:val="0"/>
                  <w:vAlign w:val="center"/>
                </w:tcPr>
                <w:p w14:paraId="2F8B5102">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53.32kPa</w:t>
                  </w:r>
                </w:p>
              </w:tc>
            </w:tr>
            <w:tr w14:paraId="29BC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36C41C23">
                  <w:pPr>
                    <w:widowControl/>
                    <w:snapToGrid w:val="0"/>
                    <w:jc w:val="center"/>
                    <w:rPr>
                      <w:color w:val="auto"/>
                      <w:kern w:val="0"/>
                      <w:szCs w:val="21"/>
                    </w:rPr>
                  </w:pPr>
                  <w:r>
                    <w:rPr>
                      <w:rFonts w:hint="eastAsia"/>
                      <w:color w:val="auto"/>
                      <w:kern w:val="0"/>
                      <w:szCs w:val="21"/>
                    </w:rPr>
                    <w:t>密度</w:t>
                  </w:r>
                </w:p>
              </w:tc>
              <w:tc>
                <w:tcPr>
                  <w:tcW w:w="1348" w:type="pct"/>
                  <w:noWrap w:val="0"/>
                  <w:vAlign w:val="center"/>
                </w:tcPr>
                <w:p w14:paraId="15DD4D0C">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1.56（空气=1）</w:t>
                  </w:r>
                </w:p>
              </w:tc>
              <w:tc>
                <w:tcPr>
                  <w:tcW w:w="1068" w:type="pct"/>
                  <w:noWrap w:val="0"/>
                  <w:vAlign w:val="center"/>
                </w:tcPr>
                <w:p w14:paraId="1B453800">
                  <w:pPr>
                    <w:widowControl/>
                    <w:snapToGrid w:val="0"/>
                    <w:jc w:val="center"/>
                    <w:rPr>
                      <w:rFonts w:hint="eastAsia" w:eastAsia="宋体"/>
                      <w:color w:val="auto"/>
                      <w:kern w:val="0"/>
                      <w:szCs w:val="21"/>
                      <w:lang w:eastAsia="zh-CN"/>
                    </w:rPr>
                  </w:pPr>
                  <w:r>
                    <w:rPr>
                      <w:rFonts w:hint="eastAsia"/>
                      <w:color w:val="auto"/>
                      <w:kern w:val="0"/>
                      <w:szCs w:val="21"/>
                      <w:lang w:val="en-US" w:eastAsia="zh-CN"/>
                    </w:rPr>
                    <w:t>临界温度</w:t>
                  </w:r>
                </w:p>
              </w:tc>
              <w:tc>
                <w:tcPr>
                  <w:tcW w:w="1812" w:type="pct"/>
                  <w:noWrap w:val="0"/>
                  <w:vAlign w:val="center"/>
                </w:tcPr>
                <w:p w14:paraId="626B0D69">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96.8℃</w:t>
                  </w:r>
                </w:p>
              </w:tc>
            </w:tr>
            <w:tr w14:paraId="526E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D1346DE">
                  <w:pPr>
                    <w:widowControl/>
                    <w:snapToGrid w:val="0"/>
                    <w:jc w:val="center"/>
                    <w:rPr>
                      <w:rFonts w:hint="eastAsia" w:eastAsia="宋体"/>
                      <w:color w:val="auto"/>
                      <w:kern w:val="0"/>
                      <w:szCs w:val="21"/>
                      <w:lang w:val="en-US" w:eastAsia="zh-CN"/>
                    </w:rPr>
                  </w:pPr>
                  <w:r>
                    <w:rPr>
                      <w:rFonts w:hint="eastAsia"/>
                      <w:color w:val="auto"/>
                      <w:kern w:val="0"/>
                      <w:szCs w:val="21"/>
                    </w:rPr>
                    <w:t>爆炸</w:t>
                  </w:r>
                  <w:r>
                    <w:rPr>
                      <w:rFonts w:hint="eastAsia"/>
                      <w:color w:val="auto"/>
                      <w:kern w:val="0"/>
                      <w:szCs w:val="21"/>
                      <w:lang w:val="en-US" w:eastAsia="zh-CN"/>
                    </w:rPr>
                    <w:t>上限</w:t>
                  </w:r>
                </w:p>
              </w:tc>
              <w:tc>
                <w:tcPr>
                  <w:tcW w:w="1348" w:type="pct"/>
                  <w:noWrap w:val="0"/>
                  <w:vAlign w:val="center"/>
                </w:tcPr>
                <w:p w14:paraId="19C24F67">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9.5</w:t>
                  </w:r>
                </w:p>
              </w:tc>
              <w:tc>
                <w:tcPr>
                  <w:tcW w:w="1068" w:type="pct"/>
                  <w:noWrap w:val="0"/>
                  <w:vAlign w:val="center"/>
                </w:tcPr>
                <w:p w14:paraId="5C95DEA1">
                  <w:pPr>
                    <w:widowControl/>
                    <w:snapToGrid w:val="0"/>
                    <w:jc w:val="center"/>
                    <w:rPr>
                      <w:color w:val="auto"/>
                      <w:kern w:val="0"/>
                      <w:szCs w:val="21"/>
                    </w:rPr>
                  </w:pPr>
                  <w:r>
                    <w:rPr>
                      <w:rFonts w:hint="eastAsia"/>
                      <w:color w:val="auto"/>
                      <w:kern w:val="0"/>
                      <w:szCs w:val="21"/>
                      <w:lang w:val="en-US" w:eastAsia="zh-CN"/>
                    </w:rPr>
                    <w:t>溶解性</w:t>
                  </w:r>
                </w:p>
              </w:tc>
              <w:tc>
                <w:tcPr>
                  <w:tcW w:w="1812" w:type="pct"/>
                  <w:noWrap w:val="0"/>
                  <w:vAlign w:val="center"/>
                </w:tcPr>
                <w:p w14:paraId="3572ED39">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微溶于水，溶于乙醇、乙醚。</w:t>
                  </w:r>
                </w:p>
              </w:tc>
            </w:tr>
            <w:tr w14:paraId="36FD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F1CCF93">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爆炸下限</w:t>
                  </w:r>
                </w:p>
              </w:tc>
              <w:tc>
                <w:tcPr>
                  <w:tcW w:w="1348" w:type="pct"/>
                  <w:noWrap w:val="0"/>
                  <w:vAlign w:val="center"/>
                </w:tcPr>
                <w:p w14:paraId="6467708F">
                  <w:pPr>
                    <w:widowControl/>
                    <w:snapToGrid w:val="0"/>
                    <w:jc w:val="center"/>
                    <w:rPr>
                      <w:rFonts w:hint="default"/>
                      <w:color w:val="auto"/>
                      <w:kern w:val="0"/>
                      <w:szCs w:val="21"/>
                      <w:lang w:val="en-US" w:eastAsia="zh-CN"/>
                    </w:rPr>
                  </w:pPr>
                  <w:r>
                    <w:rPr>
                      <w:rFonts w:hint="eastAsia"/>
                      <w:color w:val="auto"/>
                      <w:kern w:val="0"/>
                      <w:szCs w:val="21"/>
                      <w:lang w:val="en-US" w:eastAsia="zh-CN"/>
                    </w:rPr>
                    <w:t>2.1</w:t>
                  </w:r>
                </w:p>
              </w:tc>
              <w:tc>
                <w:tcPr>
                  <w:tcW w:w="1068" w:type="pct"/>
                  <w:noWrap w:val="0"/>
                  <w:vAlign w:val="center"/>
                </w:tcPr>
                <w:p w14:paraId="612BEF86">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燃烧热</w:t>
                  </w:r>
                </w:p>
              </w:tc>
              <w:tc>
                <w:tcPr>
                  <w:tcW w:w="1812" w:type="pct"/>
                  <w:noWrap w:val="0"/>
                  <w:vAlign w:val="center"/>
                </w:tcPr>
                <w:p w14:paraId="3C3BD1CF">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2217.8KJ/mol</w:t>
                  </w:r>
                </w:p>
              </w:tc>
            </w:tr>
            <w:tr w14:paraId="4F0F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2942219F">
                  <w:pPr>
                    <w:widowControl/>
                    <w:snapToGrid w:val="0"/>
                    <w:jc w:val="center"/>
                    <w:rPr>
                      <w:color w:val="auto"/>
                      <w:kern w:val="0"/>
                      <w:szCs w:val="21"/>
                    </w:rPr>
                  </w:pPr>
                  <w:r>
                    <w:rPr>
                      <w:color w:val="auto"/>
                      <w:kern w:val="0"/>
                      <w:szCs w:val="21"/>
                    </w:rPr>
                    <w:t>毒性</w:t>
                  </w:r>
                </w:p>
              </w:tc>
              <w:tc>
                <w:tcPr>
                  <w:tcW w:w="4228" w:type="pct"/>
                  <w:gridSpan w:val="3"/>
                  <w:noWrap w:val="0"/>
                  <w:vAlign w:val="center"/>
                </w:tcPr>
                <w:p w14:paraId="0804AD05">
                  <w:pPr>
                    <w:widowControl/>
                    <w:snapToGrid w:val="0"/>
                    <w:jc w:val="center"/>
                    <w:rPr>
                      <w:rFonts w:hint="eastAsia" w:eastAsia="宋体"/>
                      <w:color w:val="auto"/>
                      <w:szCs w:val="21"/>
                      <w:lang w:eastAsia="zh-CN"/>
                    </w:rPr>
                  </w:pPr>
                  <w:r>
                    <w:rPr>
                      <w:rFonts w:hint="eastAsia"/>
                      <w:color w:val="auto"/>
                      <w:szCs w:val="21"/>
                      <w:lang w:val="en-US" w:eastAsia="zh-CN"/>
                    </w:rPr>
                    <w:t>/</w:t>
                  </w:r>
                </w:p>
              </w:tc>
            </w:tr>
            <w:tr w14:paraId="539F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4EB3BA61">
                  <w:pPr>
                    <w:widowControl/>
                    <w:snapToGrid w:val="0"/>
                    <w:jc w:val="center"/>
                    <w:rPr>
                      <w:color w:val="auto"/>
                      <w:kern w:val="0"/>
                      <w:szCs w:val="21"/>
                    </w:rPr>
                  </w:pPr>
                  <w:r>
                    <w:rPr>
                      <w:color w:val="auto"/>
                      <w:kern w:val="0"/>
                      <w:szCs w:val="21"/>
                    </w:rPr>
                    <w:t>危险</w:t>
                  </w:r>
                  <w:r>
                    <w:rPr>
                      <w:rFonts w:hint="eastAsia"/>
                      <w:color w:val="auto"/>
                      <w:kern w:val="0"/>
                      <w:szCs w:val="21"/>
                    </w:rPr>
                    <w:t>性类别</w:t>
                  </w:r>
                </w:p>
              </w:tc>
              <w:tc>
                <w:tcPr>
                  <w:tcW w:w="4228" w:type="pct"/>
                  <w:gridSpan w:val="3"/>
                  <w:noWrap w:val="0"/>
                  <w:vAlign w:val="center"/>
                </w:tcPr>
                <w:p w14:paraId="0E8F0110">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w:t>
                  </w:r>
                </w:p>
              </w:tc>
            </w:tr>
            <w:tr w14:paraId="3BA3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66612DF9">
                  <w:pPr>
                    <w:widowControl/>
                    <w:snapToGrid w:val="0"/>
                    <w:jc w:val="center"/>
                    <w:rPr>
                      <w:b w:val="0"/>
                      <w:bCs w:val="0"/>
                      <w:color w:val="auto"/>
                      <w:kern w:val="0"/>
                      <w:szCs w:val="21"/>
                    </w:rPr>
                  </w:pPr>
                  <w:r>
                    <w:rPr>
                      <w:b w:val="0"/>
                      <w:bCs w:val="0"/>
                      <w:color w:val="auto"/>
                      <w:kern w:val="0"/>
                      <w:szCs w:val="21"/>
                    </w:rPr>
                    <w:t>危害</w:t>
                  </w:r>
                </w:p>
              </w:tc>
              <w:tc>
                <w:tcPr>
                  <w:tcW w:w="4228" w:type="pct"/>
                  <w:gridSpan w:val="3"/>
                  <w:noWrap w:val="0"/>
                  <w:vAlign w:val="center"/>
                </w:tcPr>
                <w:p w14:paraId="528430A7">
                  <w:pPr>
                    <w:widowControl/>
                    <w:snapToGrid w:val="0"/>
                    <w:rPr>
                      <w:rFonts w:hint="eastAsia" w:eastAsia="宋体"/>
                      <w:b w:val="0"/>
                      <w:bCs w:val="0"/>
                      <w:color w:val="auto"/>
                      <w:kern w:val="0"/>
                      <w:szCs w:val="21"/>
                      <w:lang w:eastAsia="zh-CN"/>
                    </w:rPr>
                  </w:pPr>
                  <w:r>
                    <w:rPr>
                      <w:b w:val="0"/>
                      <w:bCs w:val="0"/>
                      <w:color w:val="auto"/>
                      <w:kern w:val="0"/>
                      <w:szCs w:val="21"/>
                    </w:rPr>
                    <w:t>健康危害：</w:t>
                  </w:r>
                  <w:r>
                    <w:rPr>
                      <w:rFonts w:hint="eastAsia"/>
                      <w:b w:val="0"/>
                      <w:bCs w:val="0"/>
                      <w:color w:val="auto"/>
                      <w:kern w:val="0"/>
                      <w:szCs w:val="21"/>
                    </w:rPr>
                    <w:t>本品有单纯性室息及麻醉作用。人短暂接触1%丙烷，不引起症状</w:t>
                  </w:r>
                  <w:r>
                    <w:rPr>
                      <w:rFonts w:hint="eastAsia"/>
                      <w:b w:val="0"/>
                      <w:bCs w:val="0"/>
                      <w:color w:val="auto"/>
                      <w:kern w:val="0"/>
                      <w:szCs w:val="21"/>
                      <w:lang w:eastAsia="zh-CN"/>
                    </w:rPr>
                    <w:t>：</w:t>
                  </w:r>
                  <w:r>
                    <w:rPr>
                      <w:rFonts w:hint="eastAsia"/>
                      <w:b w:val="0"/>
                      <w:bCs w:val="0"/>
                      <w:color w:val="auto"/>
                      <w:kern w:val="0"/>
                      <w:szCs w:val="21"/>
                    </w:rPr>
                    <w:t>10%以下的浓度，只引起轻度头量</w:t>
                  </w:r>
                  <w:r>
                    <w:rPr>
                      <w:rFonts w:hint="eastAsia"/>
                      <w:b w:val="0"/>
                      <w:bCs w:val="0"/>
                      <w:color w:val="auto"/>
                      <w:kern w:val="0"/>
                      <w:szCs w:val="21"/>
                      <w:lang w:eastAsia="zh-CN"/>
                    </w:rPr>
                    <w:t>；</w:t>
                  </w:r>
                  <w:r>
                    <w:rPr>
                      <w:rFonts w:hint="eastAsia"/>
                      <w:b w:val="0"/>
                      <w:bCs w:val="0"/>
                      <w:color w:val="auto"/>
                      <w:kern w:val="0"/>
                      <w:szCs w:val="21"/>
                    </w:rPr>
                    <w:t>接触高浓度时可出现麻醉状态、意识丧</w:t>
                  </w:r>
                  <w:r>
                    <w:rPr>
                      <w:rFonts w:hint="eastAsia"/>
                      <w:b w:val="0"/>
                      <w:bCs w:val="0"/>
                      <w:color w:val="auto"/>
                      <w:kern w:val="0"/>
                      <w:szCs w:val="21"/>
                      <w:lang w:eastAsia="zh-CN"/>
                    </w:rPr>
                    <w:t>。</w:t>
                  </w:r>
                </w:p>
                <w:p w14:paraId="383BE92D">
                  <w:pPr>
                    <w:widowControl/>
                    <w:snapToGrid w:val="0"/>
                    <w:rPr>
                      <w:b w:val="0"/>
                      <w:bCs w:val="0"/>
                      <w:color w:val="auto"/>
                      <w:kern w:val="0"/>
                      <w:szCs w:val="21"/>
                    </w:rPr>
                  </w:pPr>
                  <w:r>
                    <w:rPr>
                      <w:b w:val="0"/>
                      <w:bCs w:val="0"/>
                      <w:color w:val="auto"/>
                      <w:kern w:val="0"/>
                      <w:szCs w:val="21"/>
                    </w:rPr>
                    <w:t>燃爆危险：本品</w:t>
                  </w:r>
                  <w:r>
                    <w:rPr>
                      <w:rFonts w:hint="eastAsia"/>
                      <w:b w:val="0"/>
                      <w:bCs w:val="0"/>
                      <w:color w:val="auto"/>
                      <w:kern w:val="0"/>
                      <w:szCs w:val="21"/>
                      <w:lang w:val="en-US" w:eastAsia="zh-CN"/>
                    </w:rPr>
                    <w:t>易燃</w:t>
                  </w:r>
                  <w:r>
                    <w:rPr>
                      <w:b w:val="0"/>
                      <w:bCs w:val="0"/>
                      <w:color w:val="auto"/>
                      <w:kern w:val="0"/>
                      <w:szCs w:val="21"/>
                    </w:rPr>
                    <w:t>。</w:t>
                  </w:r>
                </w:p>
              </w:tc>
            </w:tr>
          </w:tbl>
          <w:p w14:paraId="6D6F2293">
            <w:pPr>
              <w:autoSpaceDE w:val="0"/>
              <w:autoSpaceDN w:val="0"/>
              <w:adjustRightInd w:val="0"/>
              <w:spacing w:line="360" w:lineRule="auto"/>
              <w:jc w:val="center"/>
              <w:rPr>
                <w:b/>
                <w:color w:val="auto"/>
                <w:szCs w:val="21"/>
              </w:rPr>
            </w:pPr>
            <w:r>
              <w:rPr>
                <w:b/>
                <w:color w:val="auto"/>
                <w:szCs w:val="21"/>
              </w:rPr>
              <w:t>表</w:t>
            </w:r>
            <w:r>
              <w:rPr>
                <w:rFonts w:hint="eastAsia"/>
                <w:b/>
                <w:color w:val="auto"/>
                <w:szCs w:val="21"/>
              </w:rPr>
              <w:t>7-1</w:t>
            </w:r>
            <w:r>
              <w:rPr>
                <w:rFonts w:hint="eastAsia"/>
                <w:b/>
                <w:color w:val="auto"/>
                <w:szCs w:val="21"/>
                <w:lang w:val="en-US" w:eastAsia="zh-CN"/>
              </w:rPr>
              <w:t>4</w:t>
            </w:r>
            <w:r>
              <w:rPr>
                <w:b/>
                <w:color w:val="auto"/>
                <w:szCs w:val="21"/>
              </w:rPr>
              <w:t xml:space="preserve">  </w:t>
            </w:r>
            <w:r>
              <w:rPr>
                <w:rFonts w:hint="eastAsia"/>
                <w:b/>
                <w:color w:val="auto"/>
                <w:szCs w:val="21"/>
                <w:lang w:val="en-US" w:eastAsia="zh-CN"/>
              </w:rPr>
              <w:t>二氧化硫</w:t>
            </w:r>
            <w:r>
              <w:rPr>
                <w:b/>
                <w:color w:val="auto"/>
                <w:szCs w:val="21"/>
              </w:rPr>
              <w:t>理化性质</w:t>
            </w:r>
            <w:r>
              <w:rPr>
                <w:rFonts w:hint="eastAsia"/>
                <w:b/>
                <w:color w:val="auto"/>
                <w:kern w:val="0"/>
                <w:szCs w:val="21"/>
              </w:rPr>
              <w:t>及危险特性表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3267"/>
              <w:gridCol w:w="1545"/>
              <w:gridCol w:w="2658"/>
            </w:tblGrid>
            <w:tr w14:paraId="51F3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5B998ADF">
                  <w:pPr>
                    <w:widowControl/>
                    <w:snapToGrid w:val="0"/>
                    <w:jc w:val="center"/>
                    <w:rPr>
                      <w:rFonts w:hint="eastAsia"/>
                      <w:color w:val="auto"/>
                      <w:kern w:val="0"/>
                      <w:szCs w:val="21"/>
                    </w:rPr>
                  </w:pPr>
                  <w:r>
                    <w:rPr>
                      <w:rFonts w:hint="eastAsia"/>
                      <w:color w:val="auto"/>
                      <w:kern w:val="0"/>
                      <w:szCs w:val="21"/>
                    </w:rPr>
                    <w:t>物品名称</w:t>
                  </w:r>
                </w:p>
              </w:tc>
              <w:tc>
                <w:tcPr>
                  <w:tcW w:w="4227" w:type="pct"/>
                  <w:gridSpan w:val="3"/>
                  <w:noWrap w:val="0"/>
                  <w:vAlign w:val="center"/>
                </w:tcPr>
                <w:p w14:paraId="5FDD7127">
                  <w:pPr>
                    <w:widowControl/>
                    <w:snapToGrid w:val="0"/>
                    <w:jc w:val="center"/>
                    <w:rPr>
                      <w:rFonts w:hint="eastAsia" w:eastAsia="宋体"/>
                      <w:color w:val="auto"/>
                      <w:kern w:val="0"/>
                      <w:szCs w:val="21"/>
                      <w:lang w:eastAsia="zh-CN"/>
                    </w:rPr>
                  </w:pPr>
                  <w:r>
                    <w:rPr>
                      <w:rFonts w:hint="eastAsia"/>
                      <w:b/>
                      <w:color w:val="auto"/>
                      <w:szCs w:val="21"/>
                      <w:lang w:val="en-US" w:eastAsia="zh-CN"/>
                    </w:rPr>
                    <w:t>二氧化硫</w:t>
                  </w:r>
                </w:p>
              </w:tc>
            </w:tr>
            <w:tr w14:paraId="6209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72" w:type="pct"/>
                  <w:noWrap w:val="0"/>
                  <w:vAlign w:val="center"/>
                </w:tcPr>
                <w:p w14:paraId="6BE95F06">
                  <w:pPr>
                    <w:widowControl/>
                    <w:snapToGrid w:val="0"/>
                    <w:jc w:val="center"/>
                    <w:rPr>
                      <w:color w:val="auto"/>
                      <w:kern w:val="0"/>
                      <w:szCs w:val="21"/>
                    </w:rPr>
                  </w:pPr>
                  <w:r>
                    <w:rPr>
                      <w:rFonts w:hint="eastAsia"/>
                      <w:color w:val="auto"/>
                      <w:kern w:val="0"/>
                      <w:szCs w:val="21"/>
                    </w:rPr>
                    <w:t>成分</w:t>
                  </w:r>
                </w:p>
              </w:tc>
              <w:tc>
                <w:tcPr>
                  <w:tcW w:w="1849" w:type="pct"/>
                  <w:noWrap w:val="0"/>
                  <w:vAlign w:val="center"/>
                </w:tcPr>
                <w:p w14:paraId="3AC6B96F">
                  <w:pPr>
                    <w:widowControl/>
                    <w:snapToGrid w:val="0"/>
                    <w:jc w:val="center"/>
                    <w:rPr>
                      <w:rFonts w:hint="eastAsia" w:eastAsia="宋体"/>
                      <w:color w:val="auto"/>
                      <w:kern w:val="0"/>
                      <w:szCs w:val="21"/>
                      <w:lang w:eastAsia="zh-CN"/>
                    </w:rPr>
                  </w:pPr>
                  <w:r>
                    <w:rPr>
                      <w:rFonts w:hint="eastAsia"/>
                      <w:color w:val="auto"/>
                      <w:szCs w:val="21"/>
                      <w:shd w:val="clear" w:color="auto" w:fill="FFFFFF"/>
                      <w:lang w:val="en-US" w:eastAsia="zh-CN"/>
                    </w:rPr>
                    <w:t>SO</w:t>
                  </w:r>
                  <w:r>
                    <w:rPr>
                      <w:rFonts w:hint="eastAsia"/>
                      <w:color w:val="auto"/>
                      <w:szCs w:val="21"/>
                      <w:shd w:val="clear" w:color="auto" w:fill="FFFFFF"/>
                      <w:vertAlign w:val="subscript"/>
                    </w:rPr>
                    <w:t>2</w:t>
                  </w:r>
                  <w:r>
                    <w:rPr>
                      <w:rFonts w:hint="eastAsia"/>
                      <w:color w:val="auto"/>
                      <w:szCs w:val="21"/>
                      <w:shd w:val="clear" w:color="auto" w:fill="FFFFFF"/>
                      <w:vertAlign w:val="baseline"/>
                      <w:lang w:eastAsia="zh-CN"/>
                    </w:rPr>
                    <w:t>（</w:t>
                  </w:r>
                  <w:r>
                    <w:rPr>
                      <w:rFonts w:hint="eastAsia"/>
                      <w:color w:val="auto"/>
                      <w:szCs w:val="21"/>
                      <w:shd w:val="clear" w:color="auto" w:fill="FFFFFF"/>
                      <w:vertAlign w:val="baseline"/>
                      <w:lang w:val="en-US" w:eastAsia="zh-CN"/>
                    </w:rPr>
                    <w:t>分子量：64.07</w:t>
                  </w:r>
                  <w:r>
                    <w:rPr>
                      <w:rFonts w:hint="eastAsia"/>
                      <w:color w:val="auto"/>
                      <w:szCs w:val="21"/>
                      <w:shd w:val="clear" w:color="auto" w:fill="FFFFFF"/>
                      <w:vertAlign w:val="baseline"/>
                      <w:lang w:eastAsia="zh-CN"/>
                    </w:rPr>
                    <w:t>）</w:t>
                  </w:r>
                </w:p>
              </w:tc>
              <w:tc>
                <w:tcPr>
                  <w:tcW w:w="874" w:type="pct"/>
                  <w:noWrap w:val="0"/>
                  <w:vAlign w:val="center"/>
                </w:tcPr>
                <w:p w14:paraId="125F23BB">
                  <w:pPr>
                    <w:widowControl/>
                    <w:snapToGrid w:val="0"/>
                    <w:jc w:val="center"/>
                    <w:rPr>
                      <w:color w:val="auto"/>
                      <w:kern w:val="0"/>
                      <w:szCs w:val="21"/>
                    </w:rPr>
                  </w:pPr>
                  <w:r>
                    <w:rPr>
                      <w:color w:val="auto"/>
                      <w:kern w:val="0"/>
                      <w:szCs w:val="21"/>
                    </w:rPr>
                    <w:t>外观与性状</w:t>
                  </w:r>
                </w:p>
              </w:tc>
              <w:tc>
                <w:tcPr>
                  <w:tcW w:w="1504" w:type="pct"/>
                  <w:noWrap w:val="0"/>
                  <w:vAlign w:val="center"/>
                </w:tcPr>
                <w:p w14:paraId="01F02B73">
                  <w:pPr>
                    <w:widowControl/>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无色</w:t>
                  </w:r>
                  <w:r>
                    <w:rPr>
                      <w:rFonts w:hint="default" w:ascii="Times New Roman" w:hAnsi="Times New Roman" w:cs="Times New Roman"/>
                      <w:color w:val="auto"/>
                      <w:kern w:val="0"/>
                      <w:szCs w:val="21"/>
                      <w:lang w:val="en-US" w:eastAsia="zh-CN"/>
                    </w:rPr>
                    <w:t>气体</w:t>
                  </w:r>
                  <w:r>
                    <w:rPr>
                      <w:rFonts w:hint="eastAsia" w:ascii="Times New Roman" w:hAnsi="Times New Roman" w:cs="Times New Roman"/>
                      <w:color w:val="auto"/>
                      <w:kern w:val="0"/>
                      <w:szCs w:val="21"/>
                      <w:lang w:val="en-US" w:eastAsia="zh-CN"/>
                    </w:rPr>
                    <w:t>，有刺激气味</w:t>
                  </w:r>
                </w:p>
              </w:tc>
            </w:tr>
            <w:tr w14:paraId="3C81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53F2E7A5">
                  <w:pPr>
                    <w:widowControl/>
                    <w:snapToGrid w:val="0"/>
                    <w:jc w:val="center"/>
                    <w:rPr>
                      <w:color w:val="auto"/>
                      <w:kern w:val="0"/>
                      <w:szCs w:val="21"/>
                    </w:rPr>
                  </w:pPr>
                  <w:r>
                    <w:rPr>
                      <w:rFonts w:hint="eastAsia"/>
                      <w:color w:val="auto"/>
                      <w:kern w:val="0"/>
                      <w:szCs w:val="21"/>
                    </w:rPr>
                    <w:t>p</w:t>
                  </w:r>
                  <w:r>
                    <w:rPr>
                      <w:color w:val="auto"/>
                      <w:kern w:val="0"/>
                      <w:szCs w:val="21"/>
                    </w:rPr>
                    <w:t>H</w:t>
                  </w:r>
                  <w:r>
                    <w:rPr>
                      <w:rFonts w:hint="eastAsia"/>
                      <w:color w:val="auto"/>
                      <w:kern w:val="0"/>
                      <w:szCs w:val="21"/>
                    </w:rPr>
                    <w:t>值</w:t>
                  </w:r>
                </w:p>
              </w:tc>
              <w:tc>
                <w:tcPr>
                  <w:tcW w:w="1849" w:type="pct"/>
                  <w:noWrap w:val="0"/>
                  <w:vAlign w:val="center"/>
                </w:tcPr>
                <w:p w14:paraId="2D16335B">
                  <w:pPr>
                    <w:widowControl/>
                    <w:snapToGrid w:val="0"/>
                    <w:jc w:val="center"/>
                    <w:rPr>
                      <w:color w:val="auto"/>
                      <w:kern w:val="0"/>
                      <w:szCs w:val="21"/>
                    </w:rPr>
                  </w:pPr>
                  <w:r>
                    <w:rPr>
                      <w:rFonts w:hint="eastAsia"/>
                      <w:color w:val="auto"/>
                      <w:kern w:val="0"/>
                      <w:szCs w:val="21"/>
                    </w:rPr>
                    <w:t>10.2</w:t>
                  </w:r>
                </w:p>
              </w:tc>
              <w:tc>
                <w:tcPr>
                  <w:tcW w:w="874" w:type="pct"/>
                  <w:noWrap w:val="0"/>
                  <w:vAlign w:val="center"/>
                </w:tcPr>
                <w:p w14:paraId="36EA82BC">
                  <w:pPr>
                    <w:widowControl/>
                    <w:snapToGrid w:val="0"/>
                    <w:jc w:val="center"/>
                    <w:rPr>
                      <w:color w:val="auto"/>
                      <w:kern w:val="0"/>
                      <w:szCs w:val="21"/>
                    </w:rPr>
                  </w:pPr>
                  <w:r>
                    <w:rPr>
                      <w:rFonts w:hint="eastAsia"/>
                      <w:color w:val="auto"/>
                      <w:kern w:val="0"/>
                      <w:szCs w:val="21"/>
                    </w:rPr>
                    <w:t>溶</w:t>
                  </w:r>
                  <w:r>
                    <w:rPr>
                      <w:rFonts w:hint="eastAsia"/>
                      <w:color w:val="auto"/>
                      <w:kern w:val="0"/>
                      <w:szCs w:val="21"/>
                      <w:lang w:val="en-US" w:eastAsia="zh-CN"/>
                    </w:rPr>
                    <w:t>解</w:t>
                  </w:r>
                  <w:r>
                    <w:rPr>
                      <w:rFonts w:hint="eastAsia"/>
                      <w:color w:val="auto"/>
                      <w:kern w:val="0"/>
                      <w:szCs w:val="21"/>
                    </w:rPr>
                    <w:t>性</w:t>
                  </w:r>
                </w:p>
              </w:tc>
              <w:tc>
                <w:tcPr>
                  <w:tcW w:w="1504" w:type="pct"/>
                  <w:noWrap w:val="0"/>
                  <w:vAlign w:val="center"/>
                </w:tcPr>
                <w:p w14:paraId="4BDE1B33">
                  <w:pPr>
                    <w:widowControl/>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溶于水、乙醇和乙醚</w:t>
                  </w:r>
                </w:p>
              </w:tc>
            </w:tr>
            <w:tr w14:paraId="3B06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8B7DFEB">
                  <w:pPr>
                    <w:widowControl/>
                    <w:snapToGrid w:val="0"/>
                    <w:jc w:val="center"/>
                    <w:rPr>
                      <w:color w:val="auto"/>
                      <w:kern w:val="0"/>
                      <w:szCs w:val="21"/>
                    </w:rPr>
                  </w:pPr>
                  <w:r>
                    <w:rPr>
                      <w:rFonts w:hint="eastAsia"/>
                      <w:color w:val="auto"/>
                      <w:kern w:val="0"/>
                      <w:szCs w:val="21"/>
                    </w:rPr>
                    <w:t>相对密度</w:t>
                  </w:r>
                </w:p>
              </w:tc>
              <w:tc>
                <w:tcPr>
                  <w:tcW w:w="1849" w:type="pct"/>
                  <w:noWrap w:val="0"/>
                  <w:vAlign w:val="center"/>
                </w:tcPr>
                <w:p w14:paraId="67D11D68">
                  <w:pPr>
                    <w:widowControl/>
                    <w:snapToGrid w:val="0"/>
                    <w:jc w:val="center"/>
                    <w:rPr>
                      <w:color w:val="auto"/>
                      <w:kern w:val="0"/>
                      <w:szCs w:val="21"/>
                    </w:rPr>
                  </w:pPr>
                  <w:r>
                    <w:rPr>
                      <w:rFonts w:hint="eastAsia"/>
                      <w:color w:val="auto"/>
                      <w:kern w:val="0"/>
                      <w:szCs w:val="21"/>
                      <w:lang w:val="en-US" w:eastAsia="zh-CN"/>
                    </w:rPr>
                    <w:t>2.29275</w:t>
                  </w:r>
                  <w:r>
                    <w:rPr>
                      <w:rFonts w:hint="eastAsia"/>
                      <w:color w:val="auto"/>
                      <w:kern w:val="0"/>
                      <w:szCs w:val="21"/>
                    </w:rPr>
                    <w:t>g/cm</w:t>
                  </w:r>
                  <w:r>
                    <w:rPr>
                      <w:rFonts w:hint="eastAsia"/>
                      <w:color w:val="auto"/>
                      <w:kern w:val="0"/>
                      <w:szCs w:val="21"/>
                      <w:vertAlign w:val="superscript"/>
                    </w:rPr>
                    <w:t>3</w:t>
                  </w:r>
                  <w:r>
                    <w:rPr>
                      <w:rFonts w:hint="eastAsia"/>
                      <w:color w:val="auto"/>
                      <w:kern w:val="0"/>
                      <w:szCs w:val="21"/>
                    </w:rPr>
                    <w:t>（2</w:t>
                  </w:r>
                  <w:r>
                    <w:rPr>
                      <w:color w:val="auto"/>
                      <w:kern w:val="0"/>
                      <w:szCs w:val="21"/>
                    </w:rPr>
                    <w:t>5</w:t>
                  </w:r>
                  <w:r>
                    <w:rPr>
                      <w:rFonts w:hint="eastAsia" w:ascii="宋体" w:hAnsi="宋体" w:cs="宋体"/>
                      <w:color w:val="auto"/>
                      <w:kern w:val="0"/>
                      <w:szCs w:val="21"/>
                    </w:rPr>
                    <w:t>℃</w:t>
                  </w:r>
                  <w:r>
                    <w:rPr>
                      <w:rFonts w:hint="eastAsia"/>
                      <w:color w:val="auto"/>
                      <w:kern w:val="0"/>
                      <w:szCs w:val="21"/>
                    </w:rPr>
                    <w:t>）</w:t>
                  </w:r>
                </w:p>
              </w:tc>
              <w:tc>
                <w:tcPr>
                  <w:tcW w:w="874" w:type="pct"/>
                  <w:noWrap w:val="0"/>
                  <w:vAlign w:val="center"/>
                </w:tcPr>
                <w:p w14:paraId="7F13BAC9">
                  <w:pPr>
                    <w:widowControl/>
                    <w:snapToGrid w:val="0"/>
                    <w:jc w:val="center"/>
                    <w:rPr>
                      <w:rFonts w:hint="eastAsia" w:eastAsia="宋体"/>
                      <w:color w:val="auto"/>
                      <w:kern w:val="0"/>
                      <w:szCs w:val="21"/>
                      <w:lang w:eastAsia="zh-CN"/>
                    </w:rPr>
                  </w:pPr>
                  <w:r>
                    <w:rPr>
                      <w:rFonts w:hint="eastAsia"/>
                      <w:color w:val="auto"/>
                      <w:kern w:val="0"/>
                      <w:szCs w:val="21"/>
                      <w:lang w:val="en-US" w:eastAsia="zh-CN"/>
                    </w:rPr>
                    <w:t>熔点</w:t>
                  </w:r>
                </w:p>
              </w:tc>
              <w:tc>
                <w:tcPr>
                  <w:tcW w:w="1504" w:type="pct"/>
                  <w:noWrap w:val="0"/>
                  <w:vAlign w:val="center"/>
                </w:tcPr>
                <w:p w14:paraId="18F2607C">
                  <w:pPr>
                    <w:widowControl/>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-75.5</w:t>
                  </w:r>
                  <w:r>
                    <w:rPr>
                      <w:rFonts w:hint="default" w:ascii="Times New Roman" w:hAnsi="Times New Roman" w:cs="Times New Roman"/>
                      <w:color w:val="auto"/>
                      <w:kern w:val="0"/>
                      <w:szCs w:val="21"/>
                    </w:rPr>
                    <w:t>℃</w:t>
                  </w:r>
                </w:p>
              </w:tc>
            </w:tr>
            <w:tr w14:paraId="0B18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3F651C5E">
                  <w:pPr>
                    <w:widowControl/>
                    <w:snapToGrid w:val="0"/>
                    <w:jc w:val="center"/>
                    <w:rPr>
                      <w:rFonts w:hint="eastAsia" w:eastAsia="宋体"/>
                      <w:color w:val="auto"/>
                      <w:kern w:val="0"/>
                      <w:szCs w:val="21"/>
                      <w:lang w:eastAsia="zh-CN"/>
                    </w:rPr>
                  </w:pPr>
                  <w:r>
                    <w:rPr>
                      <w:rFonts w:hint="eastAsia"/>
                      <w:color w:val="auto"/>
                      <w:kern w:val="0"/>
                      <w:szCs w:val="21"/>
                      <w:lang w:val="en-US" w:eastAsia="zh-CN"/>
                    </w:rPr>
                    <w:t>稳定性</w:t>
                  </w:r>
                </w:p>
              </w:tc>
              <w:tc>
                <w:tcPr>
                  <w:tcW w:w="1849" w:type="pct"/>
                  <w:noWrap w:val="0"/>
                  <w:vAlign w:val="center"/>
                </w:tcPr>
                <w:p w14:paraId="529EA6CD">
                  <w:pPr>
                    <w:widowControl/>
                    <w:snapToGrid w:val="0"/>
                    <w:jc w:val="left"/>
                    <w:rPr>
                      <w:color w:val="auto"/>
                      <w:kern w:val="0"/>
                      <w:szCs w:val="21"/>
                    </w:rPr>
                  </w:pPr>
                  <w:r>
                    <w:rPr>
                      <w:rFonts w:hint="default" w:ascii="Times New Roman" w:hAnsi="Times New Roman" w:cs="Times New Roman"/>
                      <w:color w:val="auto"/>
                      <w:kern w:val="0"/>
                      <w:szCs w:val="21"/>
                    </w:rPr>
                    <w:t>液态二氧化硫比较稳定，不活泼。气态二氧化硫加热到2000℃不分解。不燃烧，与空气也不组成爆炸性混合物。</w:t>
                  </w:r>
                </w:p>
              </w:tc>
              <w:tc>
                <w:tcPr>
                  <w:tcW w:w="874" w:type="pct"/>
                  <w:noWrap w:val="0"/>
                  <w:vAlign w:val="center"/>
                </w:tcPr>
                <w:p w14:paraId="50D604C5">
                  <w:pPr>
                    <w:widowControl/>
                    <w:snapToGrid w:val="0"/>
                    <w:jc w:val="center"/>
                    <w:rPr>
                      <w:color w:val="auto"/>
                      <w:kern w:val="0"/>
                      <w:szCs w:val="21"/>
                    </w:rPr>
                  </w:pPr>
                  <w:r>
                    <w:rPr>
                      <w:rFonts w:hint="eastAsia"/>
                      <w:color w:val="auto"/>
                      <w:kern w:val="0"/>
                      <w:szCs w:val="21"/>
                      <w:lang w:val="en-US" w:eastAsia="zh-CN"/>
                    </w:rPr>
                    <w:t>沸点</w:t>
                  </w:r>
                </w:p>
              </w:tc>
              <w:tc>
                <w:tcPr>
                  <w:tcW w:w="1504" w:type="pct"/>
                  <w:noWrap w:val="0"/>
                  <w:vAlign w:val="center"/>
                </w:tcPr>
                <w:p w14:paraId="4D9612AD">
                  <w:pPr>
                    <w:widowControl/>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10℃</w:t>
                  </w:r>
                </w:p>
              </w:tc>
            </w:tr>
            <w:tr w14:paraId="07A0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22BE0407">
                  <w:pPr>
                    <w:widowControl/>
                    <w:snapToGrid w:val="0"/>
                    <w:jc w:val="center"/>
                    <w:rPr>
                      <w:color w:val="auto"/>
                      <w:kern w:val="0"/>
                      <w:szCs w:val="21"/>
                    </w:rPr>
                  </w:pPr>
                  <w:r>
                    <w:rPr>
                      <w:color w:val="auto"/>
                      <w:kern w:val="0"/>
                      <w:szCs w:val="21"/>
                    </w:rPr>
                    <w:t>毒性</w:t>
                  </w:r>
                </w:p>
              </w:tc>
              <w:tc>
                <w:tcPr>
                  <w:tcW w:w="4227" w:type="pct"/>
                  <w:gridSpan w:val="3"/>
                  <w:noWrap w:val="0"/>
                  <w:vAlign w:val="center"/>
                </w:tcPr>
                <w:p w14:paraId="5568CB37">
                  <w:pPr>
                    <w:widowControl/>
                    <w:snapToGrid w:val="0"/>
                    <w:jc w:val="left"/>
                    <w:rPr>
                      <w:rFonts w:hint="eastAsia"/>
                      <w:color w:val="auto"/>
                      <w:szCs w:val="21"/>
                    </w:rPr>
                  </w:pPr>
                  <w:r>
                    <w:rPr>
                      <w:rFonts w:hint="eastAsia"/>
                      <w:color w:val="auto"/>
                      <w:szCs w:val="21"/>
                    </w:rPr>
                    <w:t>易被湿润的粘膜表面吸收生成亚硫酸、硫酸。对眼及呼吸道粘膜有强烈的刺激作用。大量吸入可引起肺水肿、喉水肿、声带痉挛而致窒息。</w:t>
                  </w:r>
                </w:p>
              </w:tc>
            </w:tr>
            <w:tr w14:paraId="3950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0CFEA6A0">
                  <w:pPr>
                    <w:widowControl/>
                    <w:snapToGrid w:val="0"/>
                    <w:jc w:val="center"/>
                    <w:rPr>
                      <w:color w:val="auto"/>
                      <w:kern w:val="0"/>
                      <w:szCs w:val="21"/>
                    </w:rPr>
                  </w:pPr>
                  <w:r>
                    <w:rPr>
                      <w:color w:val="auto"/>
                      <w:kern w:val="0"/>
                      <w:szCs w:val="21"/>
                    </w:rPr>
                    <w:t>危险</w:t>
                  </w:r>
                  <w:r>
                    <w:rPr>
                      <w:rFonts w:hint="eastAsia"/>
                      <w:color w:val="auto"/>
                      <w:kern w:val="0"/>
                      <w:szCs w:val="21"/>
                    </w:rPr>
                    <w:t>性类别</w:t>
                  </w:r>
                </w:p>
              </w:tc>
              <w:tc>
                <w:tcPr>
                  <w:tcW w:w="4227" w:type="pct"/>
                  <w:gridSpan w:val="3"/>
                  <w:noWrap w:val="0"/>
                  <w:vAlign w:val="center"/>
                </w:tcPr>
                <w:p w14:paraId="3A7D9BF3">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r w14:paraId="6043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25348EAB">
                  <w:pPr>
                    <w:widowControl/>
                    <w:snapToGrid w:val="0"/>
                    <w:jc w:val="center"/>
                    <w:rPr>
                      <w:color w:val="auto"/>
                      <w:kern w:val="0"/>
                      <w:szCs w:val="21"/>
                    </w:rPr>
                  </w:pPr>
                  <w:r>
                    <w:rPr>
                      <w:color w:val="auto"/>
                      <w:kern w:val="0"/>
                      <w:szCs w:val="21"/>
                    </w:rPr>
                    <w:t>危害</w:t>
                  </w:r>
                </w:p>
              </w:tc>
              <w:tc>
                <w:tcPr>
                  <w:tcW w:w="4227" w:type="pct"/>
                  <w:gridSpan w:val="3"/>
                  <w:noWrap w:val="0"/>
                  <w:vAlign w:val="center"/>
                </w:tcPr>
                <w:p w14:paraId="41E716B6">
                  <w:pPr>
                    <w:widowControl/>
                    <w:snapToGrid w:val="0"/>
                    <w:jc w:val="left"/>
                    <w:rPr>
                      <w:rFonts w:hint="eastAsia"/>
                      <w:color w:val="auto"/>
                      <w:kern w:val="0"/>
                      <w:szCs w:val="21"/>
                    </w:rPr>
                  </w:pPr>
                  <w:r>
                    <w:rPr>
                      <w:rFonts w:hint="eastAsia"/>
                      <w:color w:val="auto"/>
                      <w:kern w:val="0"/>
                      <w:szCs w:val="21"/>
                    </w:rPr>
                    <w:t>危险特性：不燃。若遇高热，容器内压增大，有开裂和爆炸的危险。</w:t>
                  </w:r>
                </w:p>
                <w:p w14:paraId="1DDC5DDD">
                  <w:pPr>
                    <w:widowControl/>
                    <w:snapToGrid w:val="0"/>
                    <w:jc w:val="left"/>
                    <w:rPr>
                      <w:rFonts w:hint="eastAsia"/>
                      <w:color w:val="auto"/>
                      <w:kern w:val="0"/>
                      <w:szCs w:val="21"/>
                    </w:rPr>
                  </w:pPr>
                  <w:r>
                    <w:rPr>
                      <w:rFonts w:hint="eastAsia"/>
                      <w:color w:val="auto"/>
                      <w:kern w:val="0"/>
                      <w:szCs w:val="21"/>
                    </w:rPr>
                    <w:t>皮肤接触：立即脱去污染的衣着，用大量流动清水冲洗。就医。</w:t>
                  </w:r>
                </w:p>
                <w:p w14:paraId="1C6C3E1E">
                  <w:pPr>
                    <w:widowControl/>
                    <w:snapToGrid w:val="0"/>
                    <w:jc w:val="left"/>
                    <w:rPr>
                      <w:rFonts w:hint="eastAsia"/>
                      <w:color w:val="auto"/>
                      <w:kern w:val="0"/>
                      <w:szCs w:val="21"/>
                    </w:rPr>
                  </w:pPr>
                  <w:r>
                    <w:rPr>
                      <w:rFonts w:hint="eastAsia"/>
                      <w:color w:val="auto"/>
                      <w:kern w:val="0"/>
                      <w:szCs w:val="21"/>
                    </w:rPr>
                    <w:t>眼睛接触：提起眼睑，用流动清水或生理盐水冲洗。就医。</w:t>
                  </w:r>
                </w:p>
                <w:p w14:paraId="7D6BB9DD">
                  <w:pPr>
                    <w:widowControl/>
                    <w:snapToGrid w:val="0"/>
                    <w:jc w:val="left"/>
                    <w:rPr>
                      <w:rFonts w:hint="eastAsia"/>
                      <w:color w:val="auto"/>
                      <w:kern w:val="0"/>
                      <w:szCs w:val="21"/>
                    </w:rPr>
                  </w:pPr>
                  <w:r>
                    <w:rPr>
                      <w:rFonts w:hint="eastAsia"/>
                      <w:color w:val="auto"/>
                      <w:kern w:val="0"/>
                      <w:szCs w:val="21"/>
                    </w:rPr>
                    <w:t>吸入：迅速脱离现场至空气新鲜处。保持呼吸道通畅。如呼吸困难，给输氧。如呼吸停止，立即进行人工呼吸。就医。</w:t>
                  </w:r>
                </w:p>
                <w:p w14:paraId="34BE8BF7">
                  <w:pPr>
                    <w:widowControl/>
                    <w:snapToGrid w:val="0"/>
                    <w:jc w:val="left"/>
                    <w:rPr>
                      <w:rFonts w:hint="eastAsia"/>
                      <w:color w:val="auto"/>
                      <w:kern w:val="0"/>
                      <w:szCs w:val="21"/>
                    </w:rPr>
                  </w:pPr>
                  <w:r>
                    <w:rPr>
                      <w:rFonts w:hint="eastAsia"/>
                      <w:color w:val="auto"/>
                      <w:kern w:val="0"/>
                      <w:szCs w:val="21"/>
                    </w:rPr>
                    <w:t>发生中毒应立即将患者移至有新鲜空气的地方，解开紧身衣服，迅速吸氧，冲洗眼睛和鼻腔，用2%苏打溶液漱口。如不慎溅人眼内，应速用大量温水冲洗。严重者应速送医院治疗。</w:t>
                  </w:r>
                </w:p>
              </w:tc>
            </w:tr>
          </w:tbl>
          <w:p w14:paraId="7B6DD668">
            <w:pPr>
              <w:autoSpaceDE w:val="0"/>
              <w:autoSpaceDN w:val="0"/>
              <w:adjustRightInd w:val="0"/>
              <w:spacing w:before="120" w:beforeLines="50" w:line="360" w:lineRule="auto"/>
              <w:jc w:val="center"/>
              <w:rPr>
                <w:b/>
                <w:color w:val="auto"/>
                <w:szCs w:val="21"/>
              </w:rPr>
            </w:pPr>
            <w:r>
              <w:rPr>
                <w:b/>
                <w:color w:val="auto"/>
                <w:szCs w:val="21"/>
              </w:rPr>
              <w:t>表</w:t>
            </w:r>
            <w:r>
              <w:rPr>
                <w:rFonts w:hint="eastAsia"/>
                <w:b/>
                <w:color w:val="auto"/>
                <w:szCs w:val="21"/>
              </w:rPr>
              <w:t>7-1</w:t>
            </w:r>
            <w:r>
              <w:rPr>
                <w:rFonts w:hint="eastAsia"/>
                <w:b/>
                <w:color w:val="auto"/>
                <w:szCs w:val="21"/>
                <w:lang w:val="en-US" w:eastAsia="zh-CN"/>
              </w:rPr>
              <w:t>5</w:t>
            </w:r>
            <w:r>
              <w:rPr>
                <w:b/>
                <w:color w:val="auto"/>
                <w:szCs w:val="21"/>
              </w:rPr>
              <w:t xml:space="preserve">  </w:t>
            </w:r>
            <w:r>
              <w:rPr>
                <w:rFonts w:hint="eastAsia"/>
                <w:b/>
                <w:color w:val="auto"/>
                <w:szCs w:val="21"/>
                <w:lang w:val="en-US" w:eastAsia="zh-CN"/>
              </w:rPr>
              <w:t>二氧化氮</w:t>
            </w:r>
            <w:r>
              <w:rPr>
                <w:b/>
                <w:color w:val="auto"/>
                <w:szCs w:val="21"/>
              </w:rPr>
              <w:t>理化性质</w:t>
            </w:r>
            <w:r>
              <w:rPr>
                <w:rFonts w:hint="eastAsia"/>
                <w:b/>
                <w:color w:val="auto"/>
                <w:kern w:val="0"/>
                <w:szCs w:val="21"/>
              </w:rPr>
              <w:t>及危险特性表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3594"/>
              <w:gridCol w:w="1618"/>
              <w:gridCol w:w="2258"/>
            </w:tblGrid>
            <w:tr w14:paraId="75CD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70C6A105">
                  <w:pPr>
                    <w:widowControl/>
                    <w:snapToGrid w:val="0"/>
                    <w:jc w:val="center"/>
                    <w:rPr>
                      <w:rFonts w:hint="eastAsia"/>
                      <w:color w:val="auto"/>
                      <w:kern w:val="0"/>
                      <w:szCs w:val="21"/>
                    </w:rPr>
                  </w:pPr>
                  <w:r>
                    <w:rPr>
                      <w:rFonts w:hint="eastAsia"/>
                      <w:color w:val="auto"/>
                      <w:kern w:val="0"/>
                      <w:szCs w:val="21"/>
                    </w:rPr>
                    <w:t>物品名称</w:t>
                  </w:r>
                </w:p>
              </w:tc>
              <w:tc>
                <w:tcPr>
                  <w:tcW w:w="4228" w:type="pct"/>
                  <w:gridSpan w:val="3"/>
                  <w:noWrap w:val="0"/>
                  <w:vAlign w:val="center"/>
                </w:tcPr>
                <w:p w14:paraId="5C2F82DB">
                  <w:pPr>
                    <w:widowControl/>
                    <w:snapToGrid w:val="0"/>
                    <w:jc w:val="center"/>
                    <w:rPr>
                      <w:color w:val="auto"/>
                      <w:kern w:val="0"/>
                      <w:szCs w:val="21"/>
                    </w:rPr>
                  </w:pPr>
                  <w:r>
                    <w:rPr>
                      <w:rFonts w:hint="eastAsia"/>
                      <w:b/>
                      <w:color w:val="auto"/>
                      <w:szCs w:val="21"/>
                      <w:lang w:val="en-US" w:eastAsia="zh-CN"/>
                    </w:rPr>
                    <w:t>二氧化氮</w:t>
                  </w:r>
                </w:p>
              </w:tc>
            </w:tr>
            <w:tr w14:paraId="24D0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65B2ABB5">
                  <w:pPr>
                    <w:widowControl/>
                    <w:snapToGrid w:val="0"/>
                    <w:jc w:val="center"/>
                    <w:rPr>
                      <w:color w:val="auto"/>
                      <w:kern w:val="0"/>
                      <w:szCs w:val="21"/>
                    </w:rPr>
                  </w:pPr>
                  <w:r>
                    <w:rPr>
                      <w:rFonts w:hint="eastAsia"/>
                      <w:color w:val="auto"/>
                      <w:kern w:val="0"/>
                      <w:szCs w:val="21"/>
                    </w:rPr>
                    <w:t>成分</w:t>
                  </w:r>
                </w:p>
              </w:tc>
              <w:tc>
                <w:tcPr>
                  <w:tcW w:w="2034" w:type="pct"/>
                  <w:noWrap w:val="0"/>
                  <w:vAlign w:val="center"/>
                </w:tcPr>
                <w:p w14:paraId="425D9972">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NO</w:t>
                  </w:r>
                  <w:r>
                    <w:rPr>
                      <w:rFonts w:hint="eastAsia"/>
                      <w:color w:val="auto"/>
                      <w:kern w:val="0"/>
                      <w:szCs w:val="21"/>
                      <w:vertAlign w:val="subscript"/>
                      <w:lang w:val="en-US" w:eastAsia="zh-CN"/>
                    </w:rPr>
                    <w:t>2</w:t>
                  </w:r>
                  <w:r>
                    <w:rPr>
                      <w:rFonts w:hint="eastAsia"/>
                      <w:color w:val="auto"/>
                      <w:kern w:val="0"/>
                      <w:szCs w:val="21"/>
                      <w:vertAlign w:val="baseline"/>
                      <w:lang w:val="en-US" w:eastAsia="zh-CN"/>
                    </w:rPr>
                    <w:t>（分子量：46.01）</w:t>
                  </w:r>
                </w:p>
              </w:tc>
              <w:tc>
                <w:tcPr>
                  <w:tcW w:w="916" w:type="pct"/>
                  <w:noWrap w:val="0"/>
                  <w:vAlign w:val="center"/>
                </w:tcPr>
                <w:p w14:paraId="58B650E5">
                  <w:pPr>
                    <w:widowControl/>
                    <w:snapToGrid w:val="0"/>
                    <w:jc w:val="center"/>
                    <w:rPr>
                      <w:color w:val="auto"/>
                      <w:kern w:val="0"/>
                      <w:szCs w:val="21"/>
                    </w:rPr>
                  </w:pPr>
                  <w:r>
                    <w:rPr>
                      <w:color w:val="auto"/>
                      <w:kern w:val="0"/>
                      <w:szCs w:val="21"/>
                    </w:rPr>
                    <w:t>外观与性状</w:t>
                  </w:r>
                </w:p>
              </w:tc>
              <w:tc>
                <w:tcPr>
                  <w:tcW w:w="1278" w:type="pct"/>
                  <w:noWrap w:val="0"/>
                  <w:vAlign w:val="center"/>
                </w:tcPr>
                <w:p w14:paraId="0C2C60AB">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棕红色气体</w:t>
                  </w:r>
                </w:p>
              </w:tc>
            </w:tr>
            <w:tr w14:paraId="46FA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64F676BA">
                  <w:pPr>
                    <w:widowControl/>
                    <w:snapToGrid w:val="0"/>
                    <w:jc w:val="center"/>
                    <w:rPr>
                      <w:rFonts w:hint="eastAsia" w:eastAsia="宋体"/>
                      <w:color w:val="auto"/>
                      <w:kern w:val="0"/>
                      <w:szCs w:val="21"/>
                      <w:lang w:eastAsia="zh-CN"/>
                    </w:rPr>
                  </w:pPr>
                  <w:r>
                    <w:rPr>
                      <w:rFonts w:hint="eastAsia"/>
                      <w:color w:val="auto"/>
                      <w:kern w:val="0"/>
                      <w:szCs w:val="21"/>
                      <w:lang w:val="en-US" w:eastAsia="zh-CN"/>
                    </w:rPr>
                    <w:t>临界压力</w:t>
                  </w:r>
                </w:p>
              </w:tc>
              <w:tc>
                <w:tcPr>
                  <w:tcW w:w="2034" w:type="pct"/>
                  <w:noWrap w:val="0"/>
                  <w:vAlign w:val="center"/>
                </w:tcPr>
                <w:p w14:paraId="10CDCA7F">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10.13MPa</w:t>
                  </w:r>
                </w:p>
              </w:tc>
              <w:tc>
                <w:tcPr>
                  <w:tcW w:w="916" w:type="pct"/>
                  <w:noWrap w:val="0"/>
                  <w:vAlign w:val="center"/>
                </w:tcPr>
                <w:p w14:paraId="2AE10F46">
                  <w:pPr>
                    <w:widowControl/>
                    <w:snapToGrid w:val="0"/>
                    <w:jc w:val="center"/>
                    <w:rPr>
                      <w:color w:val="auto"/>
                      <w:kern w:val="0"/>
                      <w:szCs w:val="21"/>
                    </w:rPr>
                  </w:pPr>
                  <w:r>
                    <w:rPr>
                      <w:rFonts w:hint="eastAsia"/>
                      <w:color w:val="auto"/>
                      <w:kern w:val="0"/>
                      <w:szCs w:val="21"/>
                    </w:rPr>
                    <w:t>溶解性</w:t>
                  </w:r>
                </w:p>
              </w:tc>
              <w:tc>
                <w:tcPr>
                  <w:tcW w:w="1278" w:type="pct"/>
                  <w:noWrap w:val="0"/>
                  <w:vAlign w:val="center"/>
                </w:tcPr>
                <w:p w14:paraId="5301D011">
                  <w:pPr>
                    <w:widowControl/>
                    <w:snapToGrid w:val="0"/>
                    <w:jc w:val="center"/>
                    <w:rPr>
                      <w:rFonts w:hint="eastAsia" w:eastAsia="宋体"/>
                      <w:color w:val="auto"/>
                      <w:kern w:val="0"/>
                      <w:szCs w:val="21"/>
                      <w:lang w:eastAsia="zh-CN"/>
                    </w:rPr>
                  </w:pPr>
                  <w:r>
                    <w:rPr>
                      <w:color w:val="auto"/>
                      <w:kern w:val="0"/>
                      <w:szCs w:val="21"/>
                    </w:rPr>
                    <w:t>易溶于</w:t>
                  </w:r>
                  <w:r>
                    <w:rPr>
                      <w:rFonts w:hint="eastAsia"/>
                      <w:color w:val="auto"/>
                      <w:kern w:val="0"/>
                      <w:szCs w:val="21"/>
                      <w:lang w:val="en-US" w:eastAsia="zh-CN"/>
                    </w:rPr>
                    <w:t>水</w:t>
                  </w:r>
                </w:p>
              </w:tc>
            </w:tr>
            <w:tr w14:paraId="3783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5EDEA2C8">
                  <w:pPr>
                    <w:widowControl/>
                    <w:snapToGrid w:val="0"/>
                    <w:jc w:val="center"/>
                    <w:rPr>
                      <w:color w:val="auto"/>
                      <w:kern w:val="0"/>
                      <w:szCs w:val="21"/>
                    </w:rPr>
                  </w:pPr>
                  <w:r>
                    <w:rPr>
                      <w:rFonts w:hint="eastAsia"/>
                      <w:color w:val="auto"/>
                      <w:kern w:val="0"/>
                      <w:szCs w:val="21"/>
                    </w:rPr>
                    <w:t>相对密度</w:t>
                  </w:r>
                </w:p>
              </w:tc>
              <w:tc>
                <w:tcPr>
                  <w:tcW w:w="2034" w:type="pct"/>
                  <w:noWrap w:val="0"/>
                  <w:vAlign w:val="center"/>
                </w:tcPr>
                <w:p w14:paraId="5012650D">
                  <w:pPr>
                    <w:widowControl/>
                    <w:snapToGrid w:val="0"/>
                    <w:jc w:val="center"/>
                    <w:rPr>
                      <w:color w:val="auto"/>
                      <w:kern w:val="0"/>
                      <w:szCs w:val="21"/>
                    </w:rPr>
                  </w:pPr>
                  <w:r>
                    <w:rPr>
                      <w:rFonts w:hint="eastAsia"/>
                      <w:color w:val="auto"/>
                      <w:kern w:val="0"/>
                      <w:szCs w:val="21"/>
                      <w:lang w:val="en-US" w:eastAsia="zh-CN"/>
                    </w:rPr>
                    <w:t>2.05</w:t>
                  </w:r>
                  <w:r>
                    <w:rPr>
                      <w:rFonts w:hint="eastAsia"/>
                      <w:color w:val="auto"/>
                      <w:kern w:val="0"/>
                      <w:szCs w:val="21"/>
                    </w:rPr>
                    <w:t>g/cm</w:t>
                  </w:r>
                  <w:r>
                    <w:rPr>
                      <w:rFonts w:hint="eastAsia"/>
                      <w:color w:val="auto"/>
                      <w:kern w:val="0"/>
                      <w:szCs w:val="21"/>
                      <w:vertAlign w:val="superscript"/>
                    </w:rPr>
                    <w:t>3</w:t>
                  </w:r>
                </w:p>
              </w:tc>
              <w:tc>
                <w:tcPr>
                  <w:tcW w:w="916" w:type="pct"/>
                  <w:noWrap w:val="0"/>
                  <w:vAlign w:val="center"/>
                </w:tcPr>
                <w:p w14:paraId="66663B73">
                  <w:pPr>
                    <w:widowControl/>
                    <w:snapToGrid w:val="0"/>
                    <w:jc w:val="center"/>
                    <w:rPr>
                      <w:color w:val="auto"/>
                      <w:kern w:val="0"/>
                      <w:szCs w:val="21"/>
                    </w:rPr>
                  </w:pPr>
                  <w:r>
                    <w:rPr>
                      <w:color w:val="auto"/>
                      <w:kern w:val="0"/>
                      <w:szCs w:val="21"/>
                    </w:rPr>
                    <w:t>闪点</w:t>
                  </w:r>
                </w:p>
              </w:tc>
              <w:tc>
                <w:tcPr>
                  <w:tcW w:w="1278" w:type="pct"/>
                  <w:noWrap w:val="0"/>
                  <w:vAlign w:val="center"/>
                </w:tcPr>
                <w:p w14:paraId="4B6EB25E">
                  <w:pPr>
                    <w:widowControl/>
                    <w:snapToGrid w:val="0"/>
                    <w:jc w:val="center"/>
                    <w:rPr>
                      <w:color w:val="auto"/>
                      <w:kern w:val="0"/>
                      <w:szCs w:val="21"/>
                    </w:rPr>
                  </w:pPr>
                  <w:r>
                    <w:rPr>
                      <w:rFonts w:hint="eastAsia"/>
                      <w:color w:val="auto"/>
                      <w:kern w:val="0"/>
                      <w:szCs w:val="21"/>
                    </w:rPr>
                    <w:t>180℃</w:t>
                  </w:r>
                </w:p>
              </w:tc>
            </w:tr>
            <w:tr w14:paraId="71F2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108EFCB8">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熔点</w:t>
                  </w:r>
                </w:p>
              </w:tc>
              <w:tc>
                <w:tcPr>
                  <w:tcW w:w="2034" w:type="pct"/>
                  <w:noWrap w:val="0"/>
                  <w:vAlign w:val="center"/>
                </w:tcPr>
                <w:p w14:paraId="6BF4CC19">
                  <w:pPr>
                    <w:widowControl/>
                    <w:snapToGrid w:val="0"/>
                    <w:jc w:val="center"/>
                    <w:rPr>
                      <w:rFonts w:hint="default"/>
                      <w:color w:val="auto"/>
                      <w:kern w:val="0"/>
                      <w:szCs w:val="21"/>
                      <w:lang w:val="en-US" w:eastAsia="zh-CN"/>
                    </w:rPr>
                  </w:pPr>
                  <w:r>
                    <w:rPr>
                      <w:rFonts w:hint="eastAsia"/>
                      <w:color w:val="auto"/>
                      <w:kern w:val="0"/>
                      <w:szCs w:val="21"/>
                      <w:lang w:val="en-US" w:eastAsia="zh-CN"/>
                    </w:rPr>
                    <w:t>-11℃</w:t>
                  </w:r>
                </w:p>
              </w:tc>
              <w:tc>
                <w:tcPr>
                  <w:tcW w:w="916" w:type="pct"/>
                  <w:noWrap w:val="0"/>
                  <w:vAlign w:val="center"/>
                </w:tcPr>
                <w:p w14:paraId="03CEFAB2">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沸点</w:t>
                  </w:r>
                </w:p>
              </w:tc>
              <w:tc>
                <w:tcPr>
                  <w:tcW w:w="1278" w:type="pct"/>
                  <w:noWrap w:val="0"/>
                  <w:vAlign w:val="center"/>
                </w:tcPr>
                <w:p w14:paraId="6F62033C">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21℃</w:t>
                  </w:r>
                </w:p>
              </w:tc>
            </w:tr>
            <w:tr w14:paraId="0A45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0354CD16">
                  <w:pPr>
                    <w:widowControl/>
                    <w:snapToGrid w:val="0"/>
                    <w:jc w:val="center"/>
                    <w:rPr>
                      <w:rFonts w:hint="eastAsia"/>
                      <w:color w:val="auto"/>
                      <w:kern w:val="0"/>
                      <w:szCs w:val="21"/>
                    </w:rPr>
                  </w:pPr>
                  <w:r>
                    <w:rPr>
                      <w:rFonts w:hint="eastAsia"/>
                      <w:color w:val="auto"/>
                      <w:kern w:val="0"/>
                      <w:szCs w:val="21"/>
                      <w:lang w:val="en-US" w:eastAsia="zh-CN"/>
                    </w:rPr>
                    <w:t>饱和</w:t>
                  </w:r>
                  <w:r>
                    <w:rPr>
                      <w:rFonts w:hint="eastAsia"/>
                      <w:color w:val="auto"/>
                      <w:kern w:val="0"/>
                      <w:szCs w:val="21"/>
                    </w:rPr>
                    <w:t>蒸气压</w:t>
                  </w:r>
                </w:p>
              </w:tc>
              <w:tc>
                <w:tcPr>
                  <w:tcW w:w="2034" w:type="pct"/>
                  <w:noWrap w:val="0"/>
                  <w:vAlign w:val="center"/>
                </w:tcPr>
                <w:p w14:paraId="14F173E8">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101.32kPa（22℃）</w:t>
                  </w:r>
                </w:p>
              </w:tc>
              <w:tc>
                <w:tcPr>
                  <w:tcW w:w="916" w:type="pct"/>
                  <w:noWrap w:val="0"/>
                  <w:vAlign w:val="center"/>
                </w:tcPr>
                <w:p w14:paraId="718A86D7">
                  <w:pPr>
                    <w:widowControl/>
                    <w:snapToGrid w:val="0"/>
                    <w:jc w:val="center"/>
                    <w:rPr>
                      <w:color w:val="auto"/>
                      <w:kern w:val="0"/>
                      <w:szCs w:val="21"/>
                    </w:rPr>
                  </w:pPr>
                  <w:r>
                    <w:rPr>
                      <w:color w:val="auto"/>
                      <w:kern w:val="0"/>
                      <w:szCs w:val="21"/>
                    </w:rPr>
                    <w:t>引燃温度</w:t>
                  </w:r>
                </w:p>
              </w:tc>
              <w:tc>
                <w:tcPr>
                  <w:tcW w:w="1278" w:type="pct"/>
                  <w:noWrap w:val="0"/>
                  <w:vAlign w:val="center"/>
                </w:tcPr>
                <w:p w14:paraId="01EB578A">
                  <w:pPr>
                    <w:widowControl/>
                    <w:snapToGrid w:val="0"/>
                    <w:jc w:val="center"/>
                    <w:rPr>
                      <w:rFonts w:hint="eastAsia"/>
                      <w:color w:val="auto"/>
                      <w:kern w:val="0"/>
                      <w:szCs w:val="21"/>
                    </w:rPr>
                  </w:pPr>
                  <w:r>
                    <w:rPr>
                      <w:rFonts w:hint="eastAsia"/>
                      <w:color w:val="auto"/>
                      <w:kern w:val="0"/>
                      <w:szCs w:val="21"/>
                    </w:rPr>
                    <w:t>/</w:t>
                  </w:r>
                </w:p>
              </w:tc>
            </w:tr>
            <w:tr w14:paraId="7515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327F4192">
                  <w:pPr>
                    <w:widowControl/>
                    <w:snapToGrid w:val="0"/>
                    <w:jc w:val="center"/>
                    <w:rPr>
                      <w:color w:val="auto"/>
                      <w:kern w:val="0"/>
                      <w:szCs w:val="21"/>
                    </w:rPr>
                  </w:pPr>
                  <w:r>
                    <w:rPr>
                      <w:color w:val="auto"/>
                      <w:kern w:val="0"/>
                      <w:szCs w:val="21"/>
                    </w:rPr>
                    <w:t>毒性</w:t>
                  </w:r>
                </w:p>
              </w:tc>
              <w:tc>
                <w:tcPr>
                  <w:tcW w:w="4228" w:type="pct"/>
                  <w:gridSpan w:val="3"/>
                  <w:noWrap w:val="0"/>
                  <w:vAlign w:val="center"/>
                </w:tcPr>
                <w:p w14:paraId="4CA70137">
                  <w:pPr>
                    <w:widowControl/>
                    <w:snapToGrid w:val="0"/>
                    <w:jc w:val="center"/>
                    <w:rPr>
                      <w:rFonts w:hint="eastAsia"/>
                      <w:color w:val="auto"/>
                    </w:rPr>
                  </w:pPr>
                  <w:r>
                    <w:rPr>
                      <w:rFonts w:hint="eastAsia"/>
                      <w:color w:val="auto"/>
                      <w:kern w:val="0"/>
                      <w:szCs w:val="21"/>
                      <w:lang w:val="en-US" w:eastAsia="zh-CN"/>
                    </w:rPr>
                    <w:t>急性毒性：</w:t>
                  </w:r>
                  <w:r>
                    <w:rPr>
                      <w:rFonts w:hint="eastAsia"/>
                      <w:color w:val="auto"/>
                      <w:kern w:val="0"/>
                      <w:szCs w:val="21"/>
                    </w:rPr>
                    <w:t>LC</w:t>
                  </w:r>
                  <w:r>
                    <w:rPr>
                      <w:rFonts w:hint="eastAsia"/>
                      <w:color w:val="auto"/>
                      <w:kern w:val="0"/>
                      <w:szCs w:val="21"/>
                      <w:vertAlign w:val="subscript"/>
                    </w:rPr>
                    <w:t>50</w:t>
                  </w:r>
                  <w:r>
                    <w:rPr>
                      <w:rFonts w:hint="eastAsia"/>
                      <w:color w:val="auto"/>
                      <w:kern w:val="0"/>
                      <w:szCs w:val="21"/>
                    </w:rPr>
                    <w:t>：126mg/m</w:t>
                  </w:r>
                  <w:r>
                    <w:rPr>
                      <w:rFonts w:hint="eastAsia"/>
                      <w:color w:val="auto"/>
                      <w:kern w:val="0"/>
                      <w:szCs w:val="21"/>
                      <w:vertAlign w:val="superscript"/>
                    </w:rPr>
                    <w:t>3</w:t>
                  </w:r>
                  <w:r>
                    <w:rPr>
                      <w:rFonts w:hint="eastAsia"/>
                      <w:color w:val="auto"/>
                      <w:kern w:val="0"/>
                      <w:szCs w:val="21"/>
                    </w:rPr>
                    <w:t>，4小时（大鼠吸入）</w:t>
                  </w:r>
                </w:p>
              </w:tc>
            </w:tr>
            <w:tr w14:paraId="1009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445127FF">
                  <w:pPr>
                    <w:widowControl/>
                    <w:snapToGrid w:val="0"/>
                    <w:jc w:val="center"/>
                    <w:rPr>
                      <w:color w:val="auto"/>
                      <w:kern w:val="0"/>
                      <w:szCs w:val="21"/>
                    </w:rPr>
                  </w:pPr>
                  <w:r>
                    <w:rPr>
                      <w:color w:val="auto"/>
                      <w:kern w:val="0"/>
                      <w:szCs w:val="21"/>
                    </w:rPr>
                    <w:t>危险</w:t>
                  </w:r>
                  <w:r>
                    <w:rPr>
                      <w:rFonts w:hint="eastAsia"/>
                      <w:color w:val="auto"/>
                      <w:kern w:val="0"/>
                      <w:szCs w:val="21"/>
                    </w:rPr>
                    <w:t>性类别</w:t>
                  </w:r>
                </w:p>
              </w:tc>
              <w:tc>
                <w:tcPr>
                  <w:tcW w:w="4228" w:type="pct"/>
                  <w:gridSpan w:val="3"/>
                  <w:noWrap w:val="0"/>
                  <w:vAlign w:val="center"/>
                </w:tcPr>
                <w:p w14:paraId="2E8298C2">
                  <w:pPr>
                    <w:widowControl/>
                    <w:snapToGrid w:val="0"/>
                    <w:jc w:val="center"/>
                    <w:rPr>
                      <w:color w:val="auto"/>
                      <w:kern w:val="0"/>
                      <w:szCs w:val="21"/>
                    </w:rPr>
                  </w:pPr>
                  <w:r>
                    <w:rPr>
                      <w:rFonts w:hint="eastAsia"/>
                      <w:color w:val="auto"/>
                      <w:kern w:val="0"/>
                      <w:szCs w:val="21"/>
                    </w:rPr>
                    <w:t>急性毒性-类别4-吸入</w:t>
                  </w:r>
                </w:p>
              </w:tc>
            </w:tr>
            <w:tr w14:paraId="2BD6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noWrap w:val="0"/>
                  <w:vAlign w:val="center"/>
                </w:tcPr>
                <w:p w14:paraId="03AB55B7">
                  <w:pPr>
                    <w:widowControl/>
                    <w:snapToGrid w:val="0"/>
                    <w:jc w:val="center"/>
                    <w:rPr>
                      <w:color w:val="auto"/>
                      <w:kern w:val="0"/>
                      <w:szCs w:val="21"/>
                    </w:rPr>
                  </w:pPr>
                  <w:r>
                    <w:rPr>
                      <w:color w:val="auto"/>
                      <w:kern w:val="0"/>
                      <w:szCs w:val="21"/>
                    </w:rPr>
                    <w:t>危害</w:t>
                  </w:r>
                </w:p>
              </w:tc>
              <w:tc>
                <w:tcPr>
                  <w:tcW w:w="4228" w:type="pct"/>
                  <w:gridSpan w:val="3"/>
                  <w:noWrap w:val="0"/>
                  <w:vAlign w:val="center"/>
                </w:tcPr>
                <w:p w14:paraId="7DD1175D">
                  <w:pPr>
                    <w:widowControl/>
                    <w:snapToGrid w:val="0"/>
                    <w:jc w:val="left"/>
                    <w:rPr>
                      <w:rFonts w:hint="eastAsia"/>
                      <w:color w:val="auto"/>
                      <w:kern w:val="0"/>
                      <w:szCs w:val="21"/>
                    </w:rPr>
                  </w:pPr>
                  <w:r>
                    <w:rPr>
                      <w:rFonts w:hint="eastAsia"/>
                      <w:color w:val="auto"/>
                      <w:kern w:val="0"/>
                      <w:szCs w:val="21"/>
                    </w:rPr>
                    <w:t>本品不燃烧，但可助燃。具有强氧化性，遇衣物、锯末、棉花或其它可燃物能立即燃烧。与一般燃料或火箭燃料以及氯代烃等猛烈反应引起爆炸。遇水有腐蚀性，腐蚀作用随水分含量增加而加剧。</w:t>
                  </w:r>
                </w:p>
                <w:p w14:paraId="51F98084">
                  <w:pPr>
                    <w:widowControl/>
                    <w:snapToGrid w:val="0"/>
                    <w:jc w:val="left"/>
                    <w:rPr>
                      <w:color w:val="auto"/>
                      <w:kern w:val="0"/>
                      <w:szCs w:val="21"/>
                    </w:rPr>
                  </w:pPr>
                  <w:r>
                    <w:rPr>
                      <w:rFonts w:hint="eastAsia"/>
                      <w:color w:val="auto"/>
                      <w:kern w:val="0"/>
                      <w:szCs w:val="21"/>
                    </w:rPr>
                    <w:t>燃烧（分解）产物：氮氧化物。</w:t>
                  </w:r>
                </w:p>
              </w:tc>
            </w:tr>
          </w:tbl>
          <w:p w14:paraId="7690B3F8">
            <w:pPr>
              <w:widowControl/>
              <w:spacing w:line="360" w:lineRule="auto"/>
              <w:jc w:val="center"/>
              <w:rPr>
                <w:b/>
                <w:color w:val="auto"/>
                <w:kern w:val="0"/>
                <w:szCs w:val="21"/>
              </w:rPr>
            </w:pPr>
            <w:r>
              <w:rPr>
                <w:b/>
                <w:color w:val="auto"/>
                <w:kern w:val="0"/>
                <w:szCs w:val="21"/>
              </w:rPr>
              <w:t>表</w:t>
            </w:r>
            <w:r>
              <w:rPr>
                <w:rFonts w:hint="eastAsia"/>
                <w:b/>
                <w:color w:val="auto"/>
                <w:kern w:val="0"/>
                <w:szCs w:val="21"/>
              </w:rPr>
              <w:t>7-</w:t>
            </w:r>
            <w:r>
              <w:rPr>
                <w:rFonts w:hint="eastAsia"/>
                <w:b/>
                <w:color w:val="auto"/>
                <w:kern w:val="0"/>
                <w:szCs w:val="21"/>
                <w:lang w:val="en-US" w:eastAsia="zh-CN"/>
              </w:rPr>
              <w:t>16</w:t>
            </w:r>
            <w:r>
              <w:rPr>
                <w:b/>
                <w:color w:val="auto"/>
                <w:kern w:val="0"/>
                <w:szCs w:val="21"/>
              </w:rPr>
              <w:t xml:space="preserve"> </w:t>
            </w:r>
            <w:r>
              <w:rPr>
                <w:rFonts w:hint="eastAsia"/>
                <w:b/>
                <w:color w:val="auto"/>
                <w:kern w:val="0"/>
                <w:szCs w:val="21"/>
                <w:lang w:val="en-US" w:eastAsia="zh-CN"/>
              </w:rPr>
              <w:t xml:space="preserve"> 氨气</w:t>
            </w:r>
            <w:r>
              <w:rPr>
                <w:rFonts w:hint="eastAsia"/>
                <w:b/>
                <w:color w:val="auto"/>
                <w:kern w:val="0"/>
                <w:szCs w:val="21"/>
              </w:rPr>
              <w:t>的理化</w:t>
            </w:r>
            <w:r>
              <w:rPr>
                <w:rFonts w:hint="eastAsia"/>
                <w:b/>
                <w:color w:val="auto"/>
                <w:szCs w:val="21"/>
              </w:rPr>
              <w:t>性质</w:t>
            </w:r>
            <w:r>
              <w:rPr>
                <w:rFonts w:hint="eastAsia"/>
                <w:b/>
                <w:color w:val="auto"/>
                <w:kern w:val="0"/>
                <w:szCs w:val="21"/>
              </w:rPr>
              <w:t>及危险特性表</w:t>
            </w:r>
          </w:p>
          <w:tbl>
            <w:tblPr>
              <w:tblStyle w:val="35"/>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2512"/>
              <w:gridCol w:w="546"/>
              <w:gridCol w:w="517"/>
              <w:gridCol w:w="1517"/>
              <w:gridCol w:w="710"/>
              <w:gridCol w:w="2597"/>
            </w:tblGrid>
            <w:tr w14:paraId="73C3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restart"/>
                  <w:noWrap w:val="0"/>
                  <w:vAlign w:val="center"/>
                </w:tcPr>
                <w:p w14:paraId="1336BA6E">
                  <w:pPr>
                    <w:jc w:val="center"/>
                    <w:rPr>
                      <w:color w:val="auto"/>
                      <w:szCs w:val="21"/>
                    </w:rPr>
                  </w:pPr>
                  <w:r>
                    <w:rPr>
                      <w:color w:val="auto"/>
                      <w:szCs w:val="21"/>
                    </w:rPr>
                    <w:t>标识</w:t>
                  </w:r>
                </w:p>
              </w:tc>
              <w:tc>
                <w:tcPr>
                  <w:tcW w:w="3575" w:type="dxa"/>
                  <w:gridSpan w:val="3"/>
                  <w:noWrap w:val="0"/>
                  <w:vAlign w:val="top"/>
                </w:tcPr>
                <w:p w14:paraId="02EFC0CF">
                  <w:pPr>
                    <w:rPr>
                      <w:rFonts w:hint="eastAsia" w:eastAsia="宋体"/>
                      <w:color w:val="auto"/>
                      <w:szCs w:val="21"/>
                      <w:lang w:eastAsia="zh-CN"/>
                    </w:rPr>
                  </w:pPr>
                  <w:r>
                    <w:rPr>
                      <w:color w:val="auto"/>
                      <w:szCs w:val="21"/>
                    </w:rPr>
                    <w:t>中文名：</w:t>
                  </w:r>
                  <w:r>
                    <w:rPr>
                      <w:rFonts w:hint="eastAsia"/>
                      <w:color w:val="auto"/>
                      <w:szCs w:val="21"/>
                      <w:lang w:val="en-US" w:eastAsia="zh-CN"/>
                    </w:rPr>
                    <w:t>氨气</w:t>
                  </w:r>
                </w:p>
              </w:tc>
              <w:tc>
                <w:tcPr>
                  <w:tcW w:w="4824" w:type="dxa"/>
                  <w:gridSpan w:val="3"/>
                  <w:noWrap w:val="0"/>
                  <w:vAlign w:val="top"/>
                </w:tcPr>
                <w:p w14:paraId="3C264C35">
                  <w:pPr>
                    <w:rPr>
                      <w:color w:val="auto"/>
                      <w:szCs w:val="21"/>
                    </w:rPr>
                  </w:pPr>
                  <w:r>
                    <w:rPr>
                      <w:color w:val="auto"/>
                      <w:szCs w:val="21"/>
                    </w:rPr>
                    <w:t>英文名：</w:t>
                  </w:r>
                  <w:r>
                    <w:rPr>
                      <w:rFonts w:hint="eastAsia"/>
                      <w:color w:val="auto"/>
                      <w:szCs w:val="21"/>
                    </w:rPr>
                    <w:t>Ammonia</w:t>
                  </w:r>
                </w:p>
              </w:tc>
            </w:tr>
            <w:tr w14:paraId="0380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continue"/>
                  <w:noWrap w:val="0"/>
                  <w:vAlign w:val="center"/>
                </w:tcPr>
                <w:p w14:paraId="42B4E7CA">
                  <w:pPr>
                    <w:widowControl/>
                    <w:rPr>
                      <w:color w:val="auto"/>
                      <w:szCs w:val="21"/>
                    </w:rPr>
                  </w:pPr>
                </w:p>
              </w:tc>
              <w:tc>
                <w:tcPr>
                  <w:tcW w:w="3058" w:type="dxa"/>
                  <w:gridSpan w:val="2"/>
                  <w:noWrap w:val="0"/>
                  <w:vAlign w:val="top"/>
                </w:tcPr>
                <w:p w14:paraId="66A9D044">
                  <w:pPr>
                    <w:rPr>
                      <w:color w:val="auto"/>
                      <w:szCs w:val="21"/>
                    </w:rPr>
                  </w:pPr>
                  <w:r>
                    <w:rPr>
                      <w:color w:val="auto"/>
                      <w:szCs w:val="21"/>
                    </w:rPr>
                    <w:t>分子式：</w:t>
                  </w:r>
                  <w:r>
                    <w:rPr>
                      <w:rFonts w:hint="eastAsia"/>
                      <w:color w:val="auto"/>
                      <w:szCs w:val="21"/>
                    </w:rPr>
                    <w:t>NH</w:t>
                  </w:r>
                  <w:r>
                    <w:rPr>
                      <w:rFonts w:hint="eastAsia"/>
                      <w:color w:val="auto"/>
                      <w:szCs w:val="21"/>
                      <w:vertAlign w:val="subscript"/>
                    </w:rPr>
                    <w:t>3</w:t>
                  </w:r>
                </w:p>
              </w:tc>
              <w:tc>
                <w:tcPr>
                  <w:tcW w:w="2744" w:type="dxa"/>
                  <w:gridSpan w:val="3"/>
                  <w:noWrap w:val="0"/>
                  <w:vAlign w:val="top"/>
                </w:tcPr>
                <w:p w14:paraId="72597606">
                  <w:pPr>
                    <w:rPr>
                      <w:rFonts w:hint="default" w:eastAsia="宋体"/>
                      <w:color w:val="auto"/>
                      <w:szCs w:val="21"/>
                      <w:lang w:val="en-US" w:eastAsia="zh-CN"/>
                    </w:rPr>
                  </w:pPr>
                  <w:r>
                    <w:rPr>
                      <w:color w:val="auto"/>
                      <w:szCs w:val="21"/>
                    </w:rPr>
                    <w:t>分子量：</w:t>
                  </w:r>
                  <w:r>
                    <w:rPr>
                      <w:rFonts w:hint="eastAsia"/>
                      <w:color w:val="auto"/>
                      <w:szCs w:val="21"/>
                      <w:lang w:val="en-US" w:eastAsia="zh-CN"/>
                    </w:rPr>
                    <w:t>17.031</w:t>
                  </w:r>
                </w:p>
              </w:tc>
              <w:tc>
                <w:tcPr>
                  <w:tcW w:w="2597" w:type="dxa"/>
                  <w:noWrap w:val="0"/>
                  <w:vAlign w:val="top"/>
                </w:tcPr>
                <w:p w14:paraId="37B18285">
                  <w:pPr>
                    <w:rPr>
                      <w:color w:val="auto"/>
                      <w:szCs w:val="21"/>
                    </w:rPr>
                  </w:pPr>
                  <w:r>
                    <w:rPr>
                      <w:color w:val="auto"/>
                      <w:szCs w:val="21"/>
                    </w:rPr>
                    <w:t>CAS号：7</w:t>
                  </w:r>
                  <w:r>
                    <w:rPr>
                      <w:rFonts w:hint="eastAsia"/>
                      <w:color w:val="auto"/>
                      <w:szCs w:val="21"/>
                      <w:lang w:val="en-US" w:eastAsia="zh-CN"/>
                    </w:rPr>
                    <w:t>664-41-7</w:t>
                  </w:r>
                </w:p>
              </w:tc>
            </w:tr>
            <w:tr w14:paraId="2241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restart"/>
                  <w:noWrap w:val="0"/>
                  <w:vAlign w:val="center"/>
                </w:tcPr>
                <w:p w14:paraId="1D2CAD42">
                  <w:pPr>
                    <w:jc w:val="center"/>
                    <w:rPr>
                      <w:color w:val="auto"/>
                      <w:szCs w:val="21"/>
                    </w:rPr>
                  </w:pPr>
                  <w:r>
                    <w:rPr>
                      <w:color w:val="auto"/>
                      <w:szCs w:val="21"/>
                    </w:rPr>
                    <w:t>理化性质</w:t>
                  </w:r>
                </w:p>
              </w:tc>
              <w:tc>
                <w:tcPr>
                  <w:tcW w:w="8399" w:type="dxa"/>
                  <w:gridSpan w:val="6"/>
                  <w:noWrap w:val="0"/>
                  <w:vAlign w:val="top"/>
                </w:tcPr>
                <w:p w14:paraId="0D2E644C">
                  <w:pPr>
                    <w:rPr>
                      <w:color w:val="auto"/>
                      <w:szCs w:val="21"/>
                    </w:rPr>
                  </w:pPr>
                  <w:r>
                    <w:rPr>
                      <w:color w:val="auto"/>
                      <w:szCs w:val="21"/>
                    </w:rPr>
                    <w:t>性状：</w:t>
                  </w:r>
                  <w:r>
                    <w:rPr>
                      <w:rFonts w:hint="eastAsia"/>
                      <w:color w:val="auto"/>
                      <w:szCs w:val="21"/>
                    </w:rPr>
                    <w:t>无色有刺激性恶臭的气味</w:t>
                  </w:r>
                  <w:r>
                    <w:rPr>
                      <w:color w:val="auto"/>
                      <w:szCs w:val="21"/>
                    </w:rPr>
                    <w:t>。</w:t>
                  </w:r>
                </w:p>
              </w:tc>
            </w:tr>
            <w:tr w14:paraId="6FBE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continue"/>
                  <w:noWrap w:val="0"/>
                  <w:vAlign w:val="center"/>
                </w:tcPr>
                <w:p w14:paraId="19CA9F29">
                  <w:pPr>
                    <w:widowControl/>
                    <w:rPr>
                      <w:color w:val="auto"/>
                      <w:szCs w:val="21"/>
                    </w:rPr>
                  </w:pPr>
                </w:p>
              </w:tc>
              <w:tc>
                <w:tcPr>
                  <w:tcW w:w="8399" w:type="dxa"/>
                  <w:gridSpan w:val="6"/>
                  <w:noWrap w:val="0"/>
                  <w:vAlign w:val="top"/>
                </w:tcPr>
                <w:p w14:paraId="3D939934">
                  <w:pPr>
                    <w:rPr>
                      <w:color w:val="auto"/>
                      <w:szCs w:val="21"/>
                    </w:rPr>
                  </w:pPr>
                  <w:r>
                    <w:rPr>
                      <w:color w:val="auto"/>
                      <w:szCs w:val="21"/>
                    </w:rPr>
                    <w:t>溶解性：</w:t>
                  </w:r>
                  <w:r>
                    <w:rPr>
                      <w:rFonts w:hint="eastAsia"/>
                      <w:color w:val="auto"/>
                      <w:szCs w:val="21"/>
                      <w:lang w:val="en-US" w:eastAsia="zh-CN"/>
                    </w:rPr>
                    <w:t>极易溶于水</w:t>
                  </w:r>
                  <w:r>
                    <w:rPr>
                      <w:color w:val="auto"/>
                      <w:szCs w:val="21"/>
                    </w:rPr>
                    <w:t>。</w:t>
                  </w:r>
                </w:p>
              </w:tc>
            </w:tr>
            <w:tr w14:paraId="445A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420" w:type="dxa"/>
                  <w:vMerge w:val="continue"/>
                  <w:noWrap w:val="0"/>
                  <w:vAlign w:val="center"/>
                </w:tcPr>
                <w:p w14:paraId="1AF878F7">
                  <w:pPr>
                    <w:widowControl/>
                    <w:rPr>
                      <w:color w:val="auto"/>
                      <w:szCs w:val="21"/>
                    </w:rPr>
                  </w:pPr>
                </w:p>
              </w:tc>
              <w:tc>
                <w:tcPr>
                  <w:tcW w:w="2512" w:type="dxa"/>
                  <w:noWrap w:val="0"/>
                  <w:vAlign w:val="top"/>
                </w:tcPr>
                <w:p w14:paraId="4C650124">
                  <w:pPr>
                    <w:rPr>
                      <w:rFonts w:hint="default" w:eastAsia="宋体"/>
                      <w:color w:val="auto"/>
                      <w:szCs w:val="21"/>
                      <w:lang w:val="en-US" w:eastAsia="zh-CN"/>
                    </w:rPr>
                  </w:pPr>
                  <w:r>
                    <w:rPr>
                      <w:color w:val="auto"/>
                      <w:szCs w:val="21"/>
                    </w:rPr>
                    <w:t>熔点（</w:t>
                  </w:r>
                  <w:r>
                    <w:rPr>
                      <w:rFonts w:hint="eastAsia" w:ascii="宋体" w:hAnsi="宋体" w:cs="宋体"/>
                      <w:color w:val="auto"/>
                      <w:szCs w:val="21"/>
                    </w:rPr>
                    <w:t>℃</w:t>
                  </w:r>
                  <w:r>
                    <w:rPr>
                      <w:color w:val="auto"/>
                      <w:szCs w:val="21"/>
                    </w:rPr>
                    <w:t>）：－</w:t>
                  </w:r>
                  <w:r>
                    <w:rPr>
                      <w:rFonts w:hint="eastAsia"/>
                      <w:color w:val="auto"/>
                      <w:szCs w:val="21"/>
                      <w:lang w:val="en-US" w:eastAsia="zh-CN"/>
                    </w:rPr>
                    <w:t>77.7</w:t>
                  </w:r>
                </w:p>
              </w:tc>
              <w:tc>
                <w:tcPr>
                  <w:tcW w:w="2580" w:type="dxa"/>
                  <w:gridSpan w:val="3"/>
                  <w:noWrap w:val="0"/>
                  <w:vAlign w:val="top"/>
                </w:tcPr>
                <w:p w14:paraId="7CEBC97B">
                  <w:pPr>
                    <w:rPr>
                      <w:rFonts w:hint="default" w:eastAsia="宋体"/>
                      <w:color w:val="auto"/>
                      <w:szCs w:val="21"/>
                      <w:lang w:val="en-US" w:eastAsia="zh-CN"/>
                    </w:rPr>
                  </w:pPr>
                  <w:r>
                    <w:rPr>
                      <w:color w:val="auto"/>
                      <w:szCs w:val="21"/>
                    </w:rPr>
                    <w:t>沸点（</w:t>
                  </w:r>
                  <w:r>
                    <w:rPr>
                      <w:rFonts w:hint="eastAsia" w:ascii="宋体" w:hAnsi="宋体" w:cs="宋体"/>
                      <w:color w:val="auto"/>
                      <w:szCs w:val="21"/>
                    </w:rPr>
                    <w:t>℃</w:t>
                  </w:r>
                  <w:r>
                    <w:rPr>
                      <w:color w:val="auto"/>
                      <w:szCs w:val="21"/>
                    </w:rPr>
                    <w:t>）：</w:t>
                  </w:r>
                  <w:r>
                    <w:rPr>
                      <w:rFonts w:hint="eastAsia"/>
                      <w:color w:val="auto"/>
                      <w:szCs w:val="21"/>
                    </w:rPr>
                    <w:t>-</w:t>
                  </w:r>
                  <w:r>
                    <w:rPr>
                      <w:rFonts w:hint="eastAsia"/>
                      <w:color w:val="auto"/>
                      <w:szCs w:val="21"/>
                      <w:lang w:val="en-US" w:eastAsia="zh-CN"/>
                    </w:rPr>
                    <w:t>33.5</w:t>
                  </w:r>
                </w:p>
              </w:tc>
              <w:tc>
                <w:tcPr>
                  <w:tcW w:w="3307" w:type="dxa"/>
                  <w:gridSpan w:val="2"/>
                  <w:noWrap w:val="0"/>
                  <w:vAlign w:val="top"/>
                </w:tcPr>
                <w:p w14:paraId="4BCDA34F">
                  <w:pPr>
                    <w:rPr>
                      <w:rFonts w:hint="default" w:eastAsia="宋体"/>
                      <w:color w:val="auto"/>
                      <w:szCs w:val="21"/>
                      <w:lang w:val="en-US" w:eastAsia="zh-CN"/>
                    </w:rPr>
                  </w:pPr>
                  <w:r>
                    <w:rPr>
                      <w:color w:val="auto"/>
                      <w:szCs w:val="21"/>
                    </w:rPr>
                    <w:t>密度：0.</w:t>
                  </w:r>
                  <w:r>
                    <w:rPr>
                      <w:rFonts w:hint="eastAsia"/>
                      <w:color w:val="auto"/>
                      <w:szCs w:val="21"/>
                      <w:lang w:val="en-US" w:eastAsia="zh-CN"/>
                    </w:rPr>
                    <w:t>771kg/m</w:t>
                  </w:r>
                  <w:r>
                    <w:rPr>
                      <w:rFonts w:hint="eastAsia"/>
                      <w:color w:val="auto"/>
                      <w:szCs w:val="21"/>
                      <w:vertAlign w:val="superscript"/>
                      <w:lang w:val="en-US" w:eastAsia="zh-CN"/>
                    </w:rPr>
                    <w:t>3</w:t>
                  </w:r>
                </w:p>
              </w:tc>
            </w:tr>
            <w:tr w14:paraId="6841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continue"/>
                  <w:noWrap w:val="0"/>
                  <w:vAlign w:val="center"/>
                </w:tcPr>
                <w:p w14:paraId="582EC2F0">
                  <w:pPr>
                    <w:widowControl/>
                    <w:rPr>
                      <w:color w:val="auto"/>
                      <w:szCs w:val="21"/>
                    </w:rPr>
                  </w:pPr>
                </w:p>
              </w:tc>
              <w:tc>
                <w:tcPr>
                  <w:tcW w:w="2512" w:type="dxa"/>
                  <w:noWrap w:val="0"/>
                  <w:vAlign w:val="top"/>
                </w:tcPr>
                <w:p w14:paraId="6C92BF09">
                  <w:pPr>
                    <w:rPr>
                      <w:rFonts w:hint="default" w:eastAsia="宋体"/>
                      <w:color w:val="auto"/>
                      <w:szCs w:val="21"/>
                      <w:lang w:val="en-US" w:eastAsia="zh-CN"/>
                    </w:rPr>
                  </w:pPr>
                  <w:r>
                    <w:rPr>
                      <w:color w:val="auto"/>
                      <w:szCs w:val="21"/>
                    </w:rPr>
                    <w:t>临界</w:t>
                  </w:r>
                  <w:r>
                    <w:rPr>
                      <w:rFonts w:hint="eastAsia"/>
                      <w:color w:val="auto"/>
                      <w:szCs w:val="21"/>
                      <w:lang w:val="en-US" w:eastAsia="zh-CN"/>
                    </w:rPr>
                    <w:t>点</w:t>
                  </w:r>
                  <w:r>
                    <w:rPr>
                      <w:color w:val="auto"/>
                      <w:szCs w:val="21"/>
                    </w:rPr>
                    <w:t>（</w:t>
                  </w:r>
                  <w:r>
                    <w:rPr>
                      <w:rFonts w:hint="eastAsia" w:ascii="宋体" w:hAnsi="宋体" w:cs="宋体"/>
                      <w:color w:val="auto"/>
                      <w:szCs w:val="21"/>
                    </w:rPr>
                    <w:t>℃</w:t>
                  </w:r>
                  <w:r>
                    <w:rPr>
                      <w:color w:val="auto"/>
                      <w:szCs w:val="21"/>
                    </w:rPr>
                    <w:t>）：</w:t>
                  </w:r>
                  <w:r>
                    <w:rPr>
                      <w:rFonts w:hint="eastAsia"/>
                      <w:color w:val="auto"/>
                      <w:szCs w:val="21"/>
                      <w:lang w:val="en-US" w:eastAsia="zh-CN"/>
                    </w:rPr>
                    <w:t>132.4</w:t>
                  </w:r>
                </w:p>
              </w:tc>
              <w:tc>
                <w:tcPr>
                  <w:tcW w:w="2580" w:type="dxa"/>
                  <w:gridSpan w:val="3"/>
                  <w:noWrap w:val="0"/>
                  <w:vAlign w:val="top"/>
                </w:tcPr>
                <w:p w14:paraId="3CF7139A">
                  <w:pPr>
                    <w:rPr>
                      <w:rFonts w:hint="default" w:eastAsia="宋体"/>
                      <w:color w:val="auto"/>
                      <w:szCs w:val="21"/>
                      <w:lang w:val="en-US" w:eastAsia="zh-CN"/>
                    </w:rPr>
                  </w:pPr>
                  <w:r>
                    <w:rPr>
                      <w:color w:val="auto"/>
                      <w:szCs w:val="21"/>
                    </w:rPr>
                    <w:t>临界压力（MPa）：</w:t>
                  </w:r>
                  <w:r>
                    <w:rPr>
                      <w:rFonts w:hint="eastAsia"/>
                      <w:color w:val="auto"/>
                      <w:szCs w:val="21"/>
                      <w:lang w:val="en-US" w:eastAsia="zh-CN"/>
                    </w:rPr>
                    <w:t>11.2</w:t>
                  </w:r>
                </w:p>
              </w:tc>
              <w:tc>
                <w:tcPr>
                  <w:tcW w:w="3307" w:type="dxa"/>
                  <w:gridSpan w:val="2"/>
                  <w:noWrap w:val="0"/>
                  <w:vAlign w:val="top"/>
                </w:tcPr>
                <w:p w14:paraId="7D536CBE">
                  <w:pPr>
                    <w:rPr>
                      <w:rFonts w:hint="default" w:eastAsia="宋体"/>
                      <w:color w:val="auto"/>
                      <w:szCs w:val="21"/>
                      <w:lang w:val="en-US" w:eastAsia="zh-CN"/>
                    </w:rPr>
                  </w:pPr>
                  <w:r>
                    <w:rPr>
                      <w:color w:val="auto"/>
                      <w:szCs w:val="21"/>
                    </w:rPr>
                    <w:t>饱和蒸汽压（UPa）：</w:t>
                  </w:r>
                  <w:r>
                    <w:rPr>
                      <w:rFonts w:hint="eastAsia"/>
                      <w:color w:val="auto"/>
                      <w:szCs w:val="21"/>
                      <w:lang w:val="en-US" w:eastAsia="zh-CN"/>
                    </w:rPr>
                    <w:t>506.62kPa</w:t>
                  </w:r>
                </w:p>
              </w:tc>
            </w:tr>
            <w:tr w14:paraId="0309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restart"/>
                  <w:noWrap w:val="0"/>
                  <w:vAlign w:val="center"/>
                </w:tcPr>
                <w:p w14:paraId="59270ABE">
                  <w:pPr>
                    <w:jc w:val="center"/>
                    <w:rPr>
                      <w:color w:val="auto"/>
                      <w:szCs w:val="21"/>
                    </w:rPr>
                  </w:pPr>
                  <w:r>
                    <w:rPr>
                      <w:color w:val="auto"/>
                      <w:szCs w:val="21"/>
                    </w:rPr>
                    <w:t>燃烧爆炸危险性</w:t>
                  </w:r>
                </w:p>
              </w:tc>
              <w:tc>
                <w:tcPr>
                  <w:tcW w:w="2512" w:type="dxa"/>
                  <w:noWrap w:val="0"/>
                  <w:vAlign w:val="top"/>
                </w:tcPr>
                <w:p w14:paraId="0291E904">
                  <w:pPr>
                    <w:rPr>
                      <w:color w:val="auto"/>
                      <w:szCs w:val="21"/>
                    </w:rPr>
                  </w:pPr>
                  <w:r>
                    <w:rPr>
                      <w:color w:val="auto"/>
                      <w:szCs w:val="21"/>
                    </w:rPr>
                    <w:t>燃烧性：易燃</w:t>
                  </w:r>
                </w:p>
              </w:tc>
              <w:tc>
                <w:tcPr>
                  <w:tcW w:w="5887" w:type="dxa"/>
                  <w:gridSpan w:val="5"/>
                  <w:noWrap w:val="0"/>
                  <w:vAlign w:val="top"/>
                </w:tcPr>
                <w:p w14:paraId="5487B6C2">
                  <w:pPr>
                    <w:rPr>
                      <w:rFonts w:hint="default" w:eastAsia="宋体"/>
                      <w:color w:val="auto"/>
                      <w:szCs w:val="21"/>
                      <w:lang w:val="en-US" w:eastAsia="zh-CN"/>
                    </w:rPr>
                  </w:pPr>
                  <w:r>
                    <w:rPr>
                      <w:color w:val="auto"/>
                      <w:szCs w:val="21"/>
                    </w:rPr>
                    <w:t>闪点（</w:t>
                  </w:r>
                  <w:r>
                    <w:rPr>
                      <w:rFonts w:hint="eastAsia" w:ascii="宋体" w:hAnsi="宋体" w:cs="宋体"/>
                      <w:color w:val="auto"/>
                      <w:szCs w:val="21"/>
                    </w:rPr>
                    <w:t>℃</w:t>
                  </w:r>
                  <w:r>
                    <w:rPr>
                      <w:color w:val="auto"/>
                      <w:szCs w:val="21"/>
                    </w:rPr>
                    <w:t>）：</w:t>
                  </w:r>
                  <w:r>
                    <w:rPr>
                      <w:rFonts w:hint="eastAsia"/>
                      <w:color w:val="auto"/>
                      <w:szCs w:val="21"/>
                      <w:lang w:val="en-US" w:eastAsia="zh-CN"/>
                    </w:rPr>
                    <w:t>11</w:t>
                  </w:r>
                </w:p>
              </w:tc>
            </w:tr>
            <w:tr w14:paraId="63AA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20" w:type="dxa"/>
                  <w:vMerge w:val="continue"/>
                  <w:noWrap w:val="0"/>
                  <w:vAlign w:val="center"/>
                </w:tcPr>
                <w:p w14:paraId="62A573E5">
                  <w:pPr>
                    <w:widowControl/>
                    <w:rPr>
                      <w:color w:val="auto"/>
                      <w:szCs w:val="21"/>
                    </w:rPr>
                  </w:pPr>
                </w:p>
              </w:tc>
              <w:tc>
                <w:tcPr>
                  <w:tcW w:w="2512" w:type="dxa"/>
                  <w:noWrap w:val="0"/>
                  <w:vAlign w:val="top"/>
                </w:tcPr>
                <w:p w14:paraId="0A8B1876">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爆炸下限（％）：</w:t>
                  </w:r>
                  <w:r>
                    <w:rPr>
                      <w:rFonts w:hint="default" w:ascii="Times New Roman" w:hAnsi="Times New Roman" w:cs="Times New Roman"/>
                      <w:color w:val="auto"/>
                      <w:szCs w:val="21"/>
                      <w:lang w:val="en-US" w:eastAsia="zh-CN"/>
                    </w:rPr>
                    <w:t>16.1</w:t>
                  </w:r>
                </w:p>
              </w:tc>
              <w:tc>
                <w:tcPr>
                  <w:tcW w:w="5887" w:type="dxa"/>
                  <w:gridSpan w:val="5"/>
                  <w:vMerge w:val="restart"/>
                  <w:noWrap w:val="0"/>
                  <w:vAlign w:val="center"/>
                </w:tcPr>
                <w:p w14:paraId="09C144FD">
                  <w:pPr>
                    <w:jc w:val="center"/>
                    <w:rPr>
                      <w:color w:val="auto"/>
                      <w:szCs w:val="21"/>
                    </w:rPr>
                  </w:pPr>
                  <w:r>
                    <w:rPr>
                      <w:color w:val="auto"/>
                      <w:szCs w:val="21"/>
                    </w:rPr>
                    <w:t>燃烧（分解）产物：</w:t>
                  </w:r>
                  <w:r>
                    <w:rPr>
                      <w:rFonts w:hint="eastAsia"/>
                      <w:color w:val="auto"/>
                      <w:szCs w:val="21"/>
                      <w:lang w:val="en-US" w:eastAsia="zh-CN"/>
                    </w:rPr>
                    <w:t>氮气</w:t>
                  </w:r>
                  <w:r>
                    <w:rPr>
                      <w:color w:val="auto"/>
                      <w:szCs w:val="21"/>
                    </w:rPr>
                    <w:t>和水（完全燃烧）。</w:t>
                  </w:r>
                </w:p>
              </w:tc>
            </w:tr>
            <w:tr w14:paraId="7482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20" w:type="dxa"/>
                  <w:vMerge w:val="continue"/>
                  <w:noWrap w:val="0"/>
                  <w:vAlign w:val="center"/>
                </w:tcPr>
                <w:p w14:paraId="49319B94">
                  <w:pPr>
                    <w:widowControl/>
                    <w:rPr>
                      <w:color w:val="auto"/>
                      <w:szCs w:val="21"/>
                    </w:rPr>
                  </w:pPr>
                </w:p>
              </w:tc>
              <w:tc>
                <w:tcPr>
                  <w:tcW w:w="2512" w:type="dxa"/>
                  <w:noWrap w:val="0"/>
                  <w:vAlign w:val="top"/>
                </w:tcPr>
                <w:p w14:paraId="06B50676">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爆炸上限（％）：</w:t>
                  </w:r>
                  <w:r>
                    <w:rPr>
                      <w:rFonts w:hint="default" w:ascii="Times New Roman" w:hAnsi="Times New Roman" w:cs="Times New Roman"/>
                      <w:color w:val="auto"/>
                      <w:szCs w:val="21"/>
                      <w:lang w:val="en-US" w:eastAsia="zh-CN"/>
                    </w:rPr>
                    <w:t>25</w:t>
                  </w:r>
                </w:p>
              </w:tc>
              <w:tc>
                <w:tcPr>
                  <w:tcW w:w="5887" w:type="dxa"/>
                  <w:gridSpan w:val="5"/>
                  <w:vMerge w:val="continue"/>
                  <w:noWrap w:val="0"/>
                  <w:vAlign w:val="top"/>
                </w:tcPr>
                <w:p w14:paraId="47490152">
                  <w:pPr>
                    <w:rPr>
                      <w:color w:val="auto"/>
                      <w:szCs w:val="21"/>
                    </w:rPr>
                  </w:pPr>
                </w:p>
              </w:tc>
            </w:tr>
            <w:tr w14:paraId="458C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trPr>
              <w:tc>
                <w:tcPr>
                  <w:tcW w:w="420" w:type="dxa"/>
                  <w:vMerge w:val="continue"/>
                  <w:noWrap w:val="0"/>
                  <w:vAlign w:val="center"/>
                </w:tcPr>
                <w:p w14:paraId="24C8D8C0">
                  <w:pPr>
                    <w:widowControl/>
                    <w:rPr>
                      <w:color w:val="auto"/>
                      <w:szCs w:val="21"/>
                    </w:rPr>
                  </w:pPr>
                </w:p>
              </w:tc>
              <w:tc>
                <w:tcPr>
                  <w:tcW w:w="8399" w:type="dxa"/>
                  <w:gridSpan w:val="6"/>
                  <w:noWrap w:val="0"/>
                  <w:vAlign w:val="top"/>
                </w:tcPr>
                <w:p w14:paraId="10FC5711">
                  <w:pPr>
                    <w:rPr>
                      <w:rFonts w:hint="eastAsia"/>
                      <w:color w:val="auto"/>
                      <w:szCs w:val="21"/>
                    </w:rPr>
                  </w:pPr>
                  <w:r>
                    <w:rPr>
                      <w:color w:val="auto"/>
                      <w:szCs w:val="21"/>
                    </w:rPr>
                    <w:t>危险特性：</w:t>
                  </w:r>
                  <w:r>
                    <w:rPr>
                      <w:rFonts w:hint="eastAsia"/>
                      <w:color w:val="auto"/>
                      <w:szCs w:val="21"/>
                    </w:rPr>
                    <w:t>氨气极易燃，能与空气形成爆炸性混合物，遇明火、高热能引起燃烧爆炸。</w:t>
                  </w:r>
                </w:p>
                <w:p w14:paraId="53A67637">
                  <w:pPr>
                    <w:rPr>
                      <w:color w:val="auto"/>
                      <w:szCs w:val="21"/>
                    </w:rPr>
                  </w:pPr>
                  <w:r>
                    <w:rPr>
                      <w:rFonts w:hint="eastAsia"/>
                      <w:color w:val="auto"/>
                      <w:szCs w:val="21"/>
                    </w:rPr>
                    <w:t>腐蚀性。氨水具有腐蚀作用，碱性烧伤比酸性物质烧伤更严重，因为碱性物质的穿透性较强，皮肤的氨水烧伤创面深、易感染、难愈合。对中枢神经系统的影响。吸入高浓度氨气，可以兴奋中枢神经系统，引起惊厥、抽搐、嗜睡和昏迷；吸入极高浓度的氨可以反射性引起心搏骤停、呼吸停止。此外，氨气还能与水、酸、氧化物等发生反应，生成相应的化合物，如在纯氧中燃烧生成氮气和水，与碳反应生成剧毒的氢氰酸。‌</w:t>
                  </w:r>
                </w:p>
              </w:tc>
            </w:tr>
            <w:tr w14:paraId="1822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20" w:type="dxa"/>
                  <w:noWrap w:val="0"/>
                  <w:vAlign w:val="center"/>
                </w:tcPr>
                <w:p w14:paraId="0AF13D9B">
                  <w:pPr>
                    <w:jc w:val="center"/>
                    <w:rPr>
                      <w:color w:val="auto"/>
                      <w:szCs w:val="21"/>
                    </w:rPr>
                  </w:pPr>
                  <w:r>
                    <w:rPr>
                      <w:color w:val="auto"/>
                      <w:szCs w:val="21"/>
                    </w:rPr>
                    <w:t>毒性</w:t>
                  </w:r>
                </w:p>
              </w:tc>
              <w:tc>
                <w:tcPr>
                  <w:tcW w:w="8399" w:type="dxa"/>
                  <w:gridSpan w:val="6"/>
                  <w:noWrap w:val="0"/>
                  <w:vAlign w:val="top"/>
                </w:tcPr>
                <w:p w14:paraId="4DF3B55D">
                  <w:pPr>
                    <w:rPr>
                      <w:rFonts w:hint="eastAsia"/>
                      <w:color w:val="auto"/>
                      <w:szCs w:val="21"/>
                      <w:lang w:eastAsia="zh-CN"/>
                    </w:rPr>
                  </w:pPr>
                  <w:r>
                    <w:rPr>
                      <w:rFonts w:hint="eastAsia"/>
                      <w:color w:val="auto"/>
                      <w:szCs w:val="21"/>
                      <w:lang w:val="en-US" w:eastAsia="zh-CN"/>
                    </w:rPr>
                    <w:t>急性毒性：</w:t>
                  </w:r>
                  <w:r>
                    <w:rPr>
                      <w:rFonts w:hint="eastAsia"/>
                      <w:color w:val="auto"/>
                      <w:szCs w:val="21"/>
                    </w:rPr>
                    <w:t>LD</w:t>
                  </w:r>
                  <w:r>
                    <w:rPr>
                      <w:rFonts w:hint="eastAsia"/>
                      <w:color w:val="auto"/>
                      <w:szCs w:val="21"/>
                      <w:vertAlign w:val="subscript"/>
                    </w:rPr>
                    <w:t>50</w:t>
                  </w:r>
                  <w:r>
                    <w:rPr>
                      <w:rFonts w:hint="eastAsia"/>
                      <w:color w:val="auto"/>
                      <w:szCs w:val="21"/>
                    </w:rPr>
                    <w:t>：350mg/kg（大鼠经口）</w:t>
                  </w:r>
                  <w:r>
                    <w:rPr>
                      <w:rFonts w:hint="eastAsia"/>
                      <w:color w:val="auto"/>
                      <w:szCs w:val="21"/>
                      <w:lang w:eastAsia="zh-CN"/>
                    </w:rPr>
                    <w:t>；</w:t>
                  </w:r>
                  <w:r>
                    <w:rPr>
                      <w:rFonts w:hint="eastAsia"/>
                      <w:color w:val="auto"/>
                      <w:szCs w:val="21"/>
                    </w:rPr>
                    <w:t>LC</w:t>
                  </w:r>
                  <w:r>
                    <w:rPr>
                      <w:rFonts w:hint="eastAsia"/>
                      <w:color w:val="auto"/>
                      <w:szCs w:val="21"/>
                      <w:vertAlign w:val="subscript"/>
                    </w:rPr>
                    <w:t>50</w:t>
                  </w:r>
                  <w:r>
                    <w:rPr>
                      <w:rFonts w:hint="eastAsia"/>
                      <w:color w:val="auto"/>
                      <w:szCs w:val="21"/>
                    </w:rPr>
                    <w:t>：4230ppm（小鼠吸入，1h）</w:t>
                  </w:r>
                  <w:r>
                    <w:rPr>
                      <w:rFonts w:hint="eastAsia"/>
                      <w:color w:val="auto"/>
                      <w:szCs w:val="21"/>
                      <w:lang w:eastAsia="zh-CN"/>
                    </w:rPr>
                    <w:t>；</w:t>
                  </w:r>
                  <w:r>
                    <w:rPr>
                      <w:rFonts w:hint="eastAsia"/>
                      <w:color w:val="auto"/>
                      <w:szCs w:val="21"/>
                    </w:rPr>
                    <w:t>LC</w:t>
                  </w:r>
                  <w:r>
                    <w:rPr>
                      <w:rFonts w:hint="eastAsia"/>
                      <w:color w:val="auto"/>
                      <w:szCs w:val="21"/>
                      <w:vertAlign w:val="subscript"/>
                    </w:rPr>
                    <w:t>50</w:t>
                  </w:r>
                  <w:r>
                    <w:rPr>
                      <w:rFonts w:hint="eastAsia"/>
                      <w:color w:val="auto"/>
                      <w:szCs w:val="21"/>
                    </w:rPr>
                    <w:t>：2000ppm（大鼠吸入，4h）</w:t>
                  </w:r>
                  <w:r>
                    <w:rPr>
                      <w:rFonts w:hint="eastAsia"/>
                      <w:color w:val="auto"/>
                      <w:szCs w:val="21"/>
                      <w:lang w:eastAsia="zh-CN"/>
                    </w:rPr>
                    <w:t>。</w:t>
                  </w:r>
                </w:p>
                <w:p w14:paraId="1335ABD2">
                  <w:pPr>
                    <w:jc w:val="left"/>
                    <w:rPr>
                      <w:rFonts w:hint="default"/>
                      <w:color w:val="auto"/>
                      <w:szCs w:val="21"/>
                      <w:lang w:val="en-US" w:eastAsia="zh-CN"/>
                    </w:rPr>
                  </w:pPr>
                  <w:r>
                    <w:rPr>
                      <w:rFonts w:hint="eastAsia"/>
                      <w:color w:val="auto"/>
                      <w:szCs w:val="21"/>
                      <w:lang w:val="en-US" w:eastAsia="zh-CN"/>
                    </w:rPr>
                    <w:t>生态毒性：LC</w:t>
                  </w:r>
                  <w:r>
                    <w:rPr>
                      <w:rFonts w:hint="eastAsia"/>
                      <w:color w:val="auto"/>
                      <w:szCs w:val="21"/>
                      <w:vertAlign w:val="subscript"/>
                      <w:lang w:val="en-US" w:eastAsia="zh-CN"/>
                    </w:rPr>
                    <w:t>50</w:t>
                  </w:r>
                  <w:r>
                    <w:rPr>
                      <w:rFonts w:hint="eastAsia"/>
                      <w:color w:val="auto"/>
                      <w:szCs w:val="21"/>
                      <w:lang w:val="en-US" w:eastAsia="zh-CN"/>
                    </w:rPr>
                    <w:t>：＞3.58mg/L（24h）（彩鲑，已受精的），LC</w:t>
                  </w:r>
                  <w:r>
                    <w:rPr>
                      <w:rFonts w:hint="eastAsia"/>
                      <w:color w:val="auto"/>
                      <w:szCs w:val="21"/>
                      <w:vertAlign w:val="subscript"/>
                      <w:lang w:val="en-US" w:eastAsia="zh-CN"/>
                    </w:rPr>
                    <w:t>50</w:t>
                  </w:r>
                  <w:r>
                    <w:rPr>
                      <w:rFonts w:hint="eastAsia"/>
                      <w:color w:val="auto"/>
                      <w:szCs w:val="21"/>
                      <w:lang w:val="en-US" w:eastAsia="zh-CN"/>
                    </w:rPr>
                    <w:t>：＞3.58mg/L（24h）（彩鲑，幼年的），LC</w:t>
                  </w:r>
                  <w:r>
                    <w:rPr>
                      <w:rFonts w:hint="eastAsia"/>
                      <w:color w:val="auto"/>
                      <w:szCs w:val="21"/>
                      <w:vertAlign w:val="subscript"/>
                      <w:lang w:val="en-US" w:eastAsia="zh-CN"/>
                    </w:rPr>
                    <w:t>50</w:t>
                  </w:r>
                  <w:r>
                    <w:rPr>
                      <w:rFonts w:hint="eastAsia"/>
                      <w:color w:val="auto"/>
                      <w:szCs w:val="21"/>
                      <w:lang w:val="en-US" w:eastAsia="zh-CN"/>
                    </w:rPr>
                    <w:t>：0.068mg/L（24h）（彩鲑，85天的鱼苗），LC</w:t>
                  </w:r>
                  <w:r>
                    <w:rPr>
                      <w:rFonts w:hint="eastAsia"/>
                      <w:color w:val="auto"/>
                      <w:szCs w:val="21"/>
                      <w:vertAlign w:val="subscript"/>
                      <w:lang w:val="en-US" w:eastAsia="zh-CN"/>
                    </w:rPr>
                    <w:t>50</w:t>
                  </w:r>
                  <w:r>
                    <w:rPr>
                      <w:rFonts w:hint="eastAsia"/>
                      <w:color w:val="auto"/>
                      <w:szCs w:val="21"/>
                      <w:lang w:val="en-US" w:eastAsia="zh-CN"/>
                    </w:rPr>
                    <w:t>：0.097mg/L（24h）（彩鲑，成年的），LC</w:t>
                  </w:r>
                  <w:r>
                    <w:rPr>
                      <w:rFonts w:hint="eastAsia"/>
                      <w:color w:val="auto"/>
                      <w:szCs w:val="21"/>
                      <w:vertAlign w:val="subscript"/>
                      <w:lang w:val="en-US" w:eastAsia="zh-CN"/>
                    </w:rPr>
                    <w:t>50</w:t>
                  </w:r>
                  <w:r>
                    <w:rPr>
                      <w:rFonts w:hint="eastAsia"/>
                      <w:color w:val="auto"/>
                      <w:szCs w:val="21"/>
                      <w:lang w:val="en-US" w:eastAsia="zh-CN"/>
                    </w:rPr>
                    <w:t>：24mg/L（48h）（水蚤）。</w:t>
                  </w:r>
                </w:p>
              </w:tc>
            </w:tr>
            <w:tr w14:paraId="66F3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420" w:type="dxa"/>
                  <w:noWrap w:val="0"/>
                  <w:vAlign w:val="center"/>
                </w:tcPr>
                <w:p w14:paraId="0F577B6F">
                  <w:pPr>
                    <w:jc w:val="center"/>
                    <w:rPr>
                      <w:color w:val="auto"/>
                      <w:szCs w:val="21"/>
                    </w:rPr>
                  </w:pPr>
                  <w:r>
                    <w:rPr>
                      <w:color w:val="auto"/>
                      <w:szCs w:val="21"/>
                    </w:rPr>
                    <w:t>危害</w:t>
                  </w:r>
                </w:p>
              </w:tc>
              <w:tc>
                <w:tcPr>
                  <w:tcW w:w="8399" w:type="dxa"/>
                  <w:gridSpan w:val="6"/>
                  <w:noWrap w:val="0"/>
                  <w:vAlign w:val="top"/>
                </w:tcPr>
                <w:p w14:paraId="549FF5AD">
                  <w:pPr>
                    <w:rPr>
                      <w:rFonts w:hint="eastAsia"/>
                      <w:color w:val="auto"/>
                      <w:szCs w:val="21"/>
                      <w:lang w:val="en-US" w:eastAsia="zh-CN"/>
                    </w:rPr>
                  </w:pPr>
                  <w:r>
                    <w:rPr>
                      <w:rFonts w:hint="eastAsia"/>
                      <w:b/>
                      <w:bCs/>
                      <w:color w:val="auto"/>
                      <w:szCs w:val="21"/>
                      <w:lang w:val="en-US" w:eastAsia="zh-CN"/>
                    </w:rPr>
                    <w:t>吸入：</w:t>
                  </w:r>
                  <w:r>
                    <w:rPr>
                      <w:rFonts w:hint="eastAsia"/>
                      <w:color w:val="auto"/>
                      <w:szCs w:val="21"/>
                      <w:lang w:val="en-US" w:eastAsia="zh-CN"/>
                    </w:rPr>
                    <w:t>氨的刺激性是可靠的有害浓度报警信号。但由于嗅觉疲劳，长期接触后对低浓度的氨会难以察觉。吸入是接触的主要途径，轻度吸入氨中毒表现有</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"https://baike.baidu.com/item/%E9%BC%BB%E7%82%8E/190075?fromModule=lemma_inlink"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鼻炎</w:t>
                  </w:r>
                  <w:r>
                    <w:rPr>
                      <w:rFonts w:hint="eastAsia"/>
                      <w:color w:val="auto"/>
                      <w:szCs w:val="21"/>
                      <w:lang w:val="en-US" w:eastAsia="zh-CN"/>
                    </w:rPr>
                    <w:fldChar w:fldCharType="end"/>
                  </w:r>
                  <w:r>
                    <w:rPr>
                      <w:rFonts w:hint="eastAsia"/>
                      <w:color w:val="auto"/>
                      <w:szCs w:val="21"/>
                      <w:lang w:val="en-US" w:eastAsia="zh-CN"/>
                    </w:rPr>
                    <w:t>、</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"https://baike.baidu.com/item/%E5%92%BD%E7%82%8E/534586?fromModule=lemma_inlink"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咽炎</w:t>
                  </w:r>
                  <w:r>
                    <w:rPr>
                      <w:rFonts w:hint="eastAsia"/>
                      <w:color w:val="auto"/>
                      <w:szCs w:val="21"/>
                      <w:lang w:val="en-US" w:eastAsia="zh-CN"/>
                    </w:rPr>
                    <w:fldChar w:fldCharType="end"/>
                  </w:r>
                  <w:r>
                    <w:rPr>
                      <w:rFonts w:hint="eastAsia"/>
                      <w:color w:val="auto"/>
                      <w:szCs w:val="21"/>
                      <w:lang w:val="en-US" w:eastAsia="zh-CN"/>
                    </w:rPr>
                    <w:t>、喉痛、发音嘶哑。氨进入</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"https://baike.baidu.com/item/%E6%B0%94%E7%AE%A1/456502?fromModule=lemma_inlink"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气管</w:t>
                  </w:r>
                  <w:r>
                    <w:rPr>
                      <w:rFonts w:hint="eastAsia"/>
                      <w:color w:val="auto"/>
                      <w:szCs w:val="21"/>
                      <w:lang w:val="en-US" w:eastAsia="zh-CN"/>
                    </w:rPr>
                    <w:fldChar w:fldCharType="end"/>
                  </w:r>
                  <w:r>
                    <w:rPr>
                      <w:rFonts w:hint="eastAsia"/>
                      <w:color w:val="auto"/>
                      <w:szCs w:val="21"/>
                      <w:lang w:val="en-US" w:eastAsia="zh-CN"/>
                    </w:rPr>
                    <w:t>、</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"https://baike.baidu.com/item/%E6%94%AF%E6%B0%94%E7%AE%A1/982505?fromModule=lemma_inlink"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支气管</w:t>
                  </w:r>
                  <w:r>
                    <w:rPr>
                      <w:rFonts w:hint="eastAsia"/>
                      <w:color w:val="auto"/>
                      <w:szCs w:val="21"/>
                      <w:lang w:val="en-US" w:eastAsia="zh-CN"/>
                    </w:rPr>
                    <w:fldChar w:fldCharType="end"/>
                  </w:r>
                  <w:r>
                    <w:rPr>
                      <w:rFonts w:hint="eastAsia"/>
                      <w:color w:val="auto"/>
                      <w:szCs w:val="21"/>
                      <w:lang w:val="en-US" w:eastAsia="zh-CN"/>
                    </w:rPr>
                    <w:t>会引起咳嗽、咯痰、痰内有血。严重时可咯血及</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"https://baike.baidu.com/item/%E8%82%BA%E6%B0%B4%E8%82%BF/813707?fromModule=lemma_inlink"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肺水肿</w:t>
                  </w:r>
                  <w:r>
                    <w:rPr>
                      <w:rFonts w:hint="eastAsia"/>
                      <w:color w:val="auto"/>
                      <w:szCs w:val="21"/>
                      <w:lang w:val="en-US" w:eastAsia="zh-CN"/>
                    </w:rPr>
                    <w:fldChar w:fldCharType="end"/>
                  </w:r>
                  <w:r>
                    <w:rPr>
                      <w:rFonts w:hint="eastAsia"/>
                      <w:color w:val="auto"/>
                      <w:szCs w:val="21"/>
                      <w:lang w:val="en-US" w:eastAsia="zh-CN"/>
                    </w:rPr>
                    <w:t>，</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"https://baike.baidu.com/item/%E5%91%BC%E5%90%B8%E5%9B%B0%E9%9A%BE/2540302?fromModule=lemma_inlink"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呼吸困难</w:t>
                  </w:r>
                  <w:r>
                    <w:rPr>
                      <w:rFonts w:hint="eastAsia"/>
                      <w:color w:val="auto"/>
                      <w:szCs w:val="21"/>
                      <w:lang w:val="en-US" w:eastAsia="zh-CN"/>
                    </w:rPr>
                    <w:fldChar w:fldCharType="end"/>
                  </w:r>
                  <w:r>
                    <w:rPr>
                      <w:rFonts w:hint="eastAsia"/>
                      <w:color w:val="auto"/>
                      <w:szCs w:val="21"/>
                      <w:lang w:val="en-US" w:eastAsia="zh-CN"/>
                    </w:rPr>
                    <w:t>、咯白色或血性泡沫痰，双肺布满大、中水泡音。患者有咽灼痛、咳嗽、咳痰或咯血、胸闷和</w:t>
                  </w:r>
                  <w:r>
                    <w:rPr>
                      <w:rFonts w:hint="eastAsia"/>
                      <w:color w:val="auto"/>
                      <w:szCs w:val="21"/>
                      <w:lang w:val="en-US" w:eastAsia="zh-CN"/>
                    </w:rPr>
                    <w:fldChar w:fldCharType="begin"/>
                  </w:r>
                  <w:r>
                    <w:rPr>
                      <w:rFonts w:hint="eastAsia"/>
                      <w:color w:val="auto"/>
                      <w:szCs w:val="21"/>
                      <w:lang w:val="en-US" w:eastAsia="zh-CN"/>
                    </w:rPr>
                    <w:instrText xml:space="preserve"> HYPERLINK "https://baike.baidu.com/item/%E8%83%B8%E9%AA%A8%E5%90%8E%E7%96%BC%E7%97%9B/10282275?fromModule=lemma_inlink" \t "https://baike.baidu.com/item/%E6%B0%A8%E6%B0%94/_blank" </w:instrText>
                  </w:r>
                  <w:r>
                    <w:rPr>
                      <w:rFonts w:hint="eastAsia"/>
                      <w:color w:val="auto"/>
                      <w:szCs w:val="21"/>
                      <w:lang w:val="en-US" w:eastAsia="zh-CN"/>
                    </w:rPr>
                    <w:fldChar w:fldCharType="separate"/>
                  </w:r>
                  <w:r>
                    <w:rPr>
                      <w:rFonts w:hint="eastAsia"/>
                      <w:color w:val="auto"/>
                      <w:szCs w:val="21"/>
                      <w:lang w:val="en-US" w:eastAsia="zh-CN"/>
                    </w:rPr>
                    <w:t>胸骨后疼痛</w:t>
                  </w:r>
                  <w:r>
                    <w:rPr>
                      <w:rFonts w:hint="eastAsia"/>
                      <w:color w:val="auto"/>
                      <w:szCs w:val="21"/>
                      <w:lang w:val="en-US" w:eastAsia="zh-CN"/>
                    </w:rPr>
                    <w:fldChar w:fldCharType="end"/>
                  </w:r>
                  <w:r>
                    <w:rPr>
                      <w:rFonts w:hint="eastAsia"/>
                      <w:color w:val="auto"/>
                      <w:szCs w:val="21"/>
                      <w:lang w:val="en-US" w:eastAsia="zh-CN"/>
                    </w:rPr>
                    <w:t>等。急性吸入氨中毒的发生多由意外事故如管道破裂、阀门爆裂等造成。急性氨中毒主要表现为呼吸道粘膜刺激和灼伤。其症状根据氨的浓度、吸入时间以及个人感受性等而轻重不同。</w:t>
                  </w:r>
                </w:p>
                <w:p w14:paraId="1D5A6EA9">
                  <w:pPr>
                    <w:rPr>
                      <w:rFonts w:hint="eastAsia"/>
                      <w:color w:val="auto"/>
                      <w:szCs w:val="21"/>
                      <w:lang w:val="en-US" w:eastAsia="zh-CN"/>
                    </w:rPr>
                  </w:pPr>
                  <w:r>
                    <w:rPr>
                      <w:rFonts w:hint="eastAsia"/>
                      <w:b/>
                      <w:bCs/>
                      <w:color w:val="auto"/>
                      <w:szCs w:val="21"/>
                      <w:lang w:val="en-US" w:eastAsia="zh-CN"/>
                    </w:rPr>
                    <w:t>皮肤和眼睛接触：</w:t>
                  </w:r>
                  <w:r>
                    <w:rPr>
                      <w:rFonts w:hint="eastAsia"/>
                      <w:color w:val="auto"/>
                      <w:szCs w:val="21"/>
                      <w:lang w:val="en-US" w:eastAsia="zh-CN"/>
                    </w:rPr>
                    <w:t>低浓度的氨对眼和潮湿的皮肤能迅速产生刺激作用。潮湿的皮肤或眼睛接触高浓度的氨气能引起严重的化学烧伤。急性轻度中毒：流泪、畏光、视物模糊、眼结膜充血。皮肤接触可引起严重疼痛和烧伤，并能发生咖啡样着色。被腐蚀部位呈胶状并发软，可发生深度组织破坏。高浓度蒸气对眼睛有强刺激性，可引起疼痛和烧伤，导致明显的炎症并可能发生水肿、上皮组织破坏、角膜混浊和虹膜发炎。轻度病例一般会缓解，严重病例可能会长期持续，并发生持续性水肿、疤痕、永久性混浊、眼睛膨出、白内障、眼睑和眼球粘连及失明等并发症。多次或持续接触氨会导致结膜炎。</w:t>
                  </w:r>
                </w:p>
              </w:tc>
            </w:tr>
          </w:tbl>
          <w:p w14:paraId="79905F94">
            <w:pPr>
              <w:widowControl/>
              <w:spacing w:line="360" w:lineRule="auto"/>
              <w:jc w:val="center"/>
              <w:rPr>
                <w:b/>
                <w:color w:val="auto"/>
                <w:kern w:val="0"/>
                <w:szCs w:val="21"/>
              </w:rPr>
            </w:pPr>
            <w:r>
              <w:rPr>
                <w:b/>
                <w:color w:val="auto"/>
                <w:kern w:val="0"/>
                <w:szCs w:val="21"/>
              </w:rPr>
              <w:t>表</w:t>
            </w:r>
            <w:r>
              <w:rPr>
                <w:rFonts w:hint="eastAsia"/>
                <w:b/>
                <w:color w:val="auto"/>
                <w:kern w:val="0"/>
                <w:szCs w:val="21"/>
              </w:rPr>
              <w:t>7-</w:t>
            </w:r>
            <w:r>
              <w:rPr>
                <w:rFonts w:hint="eastAsia"/>
                <w:b/>
                <w:color w:val="auto"/>
                <w:kern w:val="0"/>
                <w:szCs w:val="21"/>
                <w:lang w:val="en-US" w:eastAsia="zh-CN"/>
              </w:rPr>
              <w:t>17</w:t>
            </w:r>
            <w:r>
              <w:rPr>
                <w:b/>
                <w:color w:val="auto"/>
                <w:kern w:val="0"/>
                <w:szCs w:val="21"/>
              </w:rPr>
              <w:t xml:space="preserve"> 甲烷</w:t>
            </w:r>
            <w:r>
              <w:rPr>
                <w:rFonts w:hint="eastAsia"/>
                <w:b/>
                <w:color w:val="auto"/>
                <w:kern w:val="0"/>
                <w:szCs w:val="21"/>
              </w:rPr>
              <w:t>的理化</w:t>
            </w:r>
            <w:r>
              <w:rPr>
                <w:rFonts w:hint="eastAsia"/>
                <w:b/>
                <w:color w:val="auto"/>
                <w:szCs w:val="21"/>
              </w:rPr>
              <w:t>性质</w:t>
            </w:r>
            <w:r>
              <w:rPr>
                <w:rFonts w:hint="eastAsia"/>
                <w:b/>
                <w:color w:val="auto"/>
                <w:kern w:val="0"/>
                <w:szCs w:val="21"/>
              </w:rPr>
              <w:t>及危险特性表</w:t>
            </w:r>
          </w:p>
          <w:tbl>
            <w:tblPr>
              <w:tblStyle w:val="35"/>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167"/>
              <w:gridCol w:w="299"/>
              <w:gridCol w:w="536"/>
              <w:gridCol w:w="508"/>
              <w:gridCol w:w="1186"/>
              <w:gridCol w:w="1001"/>
              <w:gridCol w:w="2548"/>
            </w:tblGrid>
            <w:tr w14:paraId="7BAE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restart"/>
                  <w:noWrap w:val="0"/>
                  <w:vAlign w:val="center"/>
                </w:tcPr>
                <w:p w14:paraId="23173D5B">
                  <w:pPr>
                    <w:jc w:val="center"/>
                    <w:rPr>
                      <w:color w:val="auto"/>
                      <w:szCs w:val="21"/>
                    </w:rPr>
                  </w:pPr>
                  <w:r>
                    <w:rPr>
                      <w:color w:val="auto"/>
                      <w:szCs w:val="21"/>
                    </w:rPr>
                    <w:t>标识</w:t>
                  </w:r>
                </w:p>
              </w:tc>
              <w:tc>
                <w:tcPr>
                  <w:tcW w:w="3510" w:type="dxa"/>
                  <w:gridSpan w:val="4"/>
                  <w:noWrap w:val="0"/>
                  <w:vAlign w:val="top"/>
                </w:tcPr>
                <w:p w14:paraId="7F2EAE84">
                  <w:pPr>
                    <w:rPr>
                      <w:color w:val="auto"/>
                      <w:szCs w:val="21"/>
                    </w:rPr>
                  </w:pPr>
                  <w:r>
                    <w:rPr>
                      <w:color w:val="auto"/>
                      <w:szCs w:val="21"/>
                    </w:rPr>
                    <w:t>中文名：甲烷</w:t>
                  </w:r>
                </w:p>
              </w:tc>
              <w:tc>
                <w:tcPr>
                  <w:tcW w:w="4735" w:type="dxa"/>
                  <w:gridSpan w:val="3"/>
                  <w:noWrap w:val="0"/>
                  <w:vAlign w:val="top"/>
                </w:tcPr>
                <w:p w14:paraId="734E243F">
                  <w:pPr>
                    <w:rPr>
                      <w:color w:val="auto"/>
                      <w:szCs w:val="21"/>
                    </w:rPr>
                  </w:pPr>
                  <w:r>
                    <w:rPr>
                      <w:color w:val="auto"/>
                      <w:szCs w:val="21"/>
                    </w:rPr>
                    <w:t>英文名：bmethane</w:t>
                  </w:r>
                </w:p>
              </w:tc>
            </w:tr>
            <w:tr w14:paraId="1EE7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continue"/>
                  <w:noWrap w:val="0"/>
                  <w:vAlign w:val="center"/>
                </w:tcPr>
                <w:p w14:paraId="4143A793">
                  <w:pPr>
                    <w:widowControl/>
                    <w:rPr>
                      <w:color w:val="auto"/>
                      <w:szCs w:val="21"/>
                    </w:rPr>
                  </w:pPr>
                </w:p>
              </w:tc>
              <w:tc>
                <w:tcPr>
                  <w:tcW w:w="3002" w:type="dxa"/>
                  <w:gridSpan w:val="3"/>
                  <w:noWrap w:val="0"/>
                  <w:vAlign w:val="top"/>
                </w:tcPr>
                <w:p w14:paraId="6B78EDBB">
                  <w:pPr>
                    <w:rPr>
                      <w:color w:val="auto"/>
                      <w:szCs w:val="21"/>
                    </w:rPr>
                  </w:pPr>
                  <w:r>
                    <w:rPr>
                      <w:color w:val="auto"/>
                      <w:szCs w:val="21"/>
                    </w:rPr>
                    <w:t>分子式：CH</w:t>
                  </w:r>
                  <w:r>
                    <w:rPr>
                      <w:rFonts w:hint="eastAsia"/>
                      <w:color w:val="auto"/>
                      <w:szCs w:val="21"/>
                      <w:vertAlign w:val="subscript"/>
                    </w:rPr>
                    <w:t>4</w:t>
                  </w:r>
                </w:p>
              </w:tc>
              <w:tc>
                <w:tcPr>
                  <w:tcW w:w="2695" w:type="dxa"/>
                  <w:gridSpan w:val="3"/>
                  <w:noWrap w:val="0"/>
                  <w:vAlign w:val="top"/>
                </w:tcPr>
                <w:p w14:paraId="7E804462">
                  <w:pPr>
                    <w:rPr>
                      <w:color w:val="auto"/>
                      <w:szCs w:val="21"/>
                    </w:rPr>
                  </w:pPr>
                  <w:r>
                    <w:rPr>
                      <w:color w:val="auto"/>
                      <w:szCs w:val="21"/>
                    </w:rPr>
                    <w:t>分子量：</w:t>
                  </w:r>
                  <w:r>
                    <w:rPr>
                      <w:rFonts w:hint="eastAsia"/>
                      <w:color w:val="auto"/>
                      <w:szCs w:val="21"/>
                    </w:rPr>
                    <w:t>16.043</w:t>
                  </w:r>
                </w:p>
              </w:tc>
              <w:tc>
                <w:tcPr>
                  <w:tcW w:w="2548" w:type="dxa"/>
                  <w:noWrap w:val="0"/>
                  <w:vAlign w:val="top"/>
                </w:tcPr>
                <w:p w14:paraId="17D5E3A5">
                  <w:pPr>
                    <w:rPr>
                      <w:color w:val="auto"/>
                      <w:szCs w:val="21"/>
                    </w:rPr>
                  </w:pPr>
                  <w:r>
                    <w:rPr>
                      <w:color w:val="auto"/>
                      <w:szCs w:val="21"/>
                    </w:rPr>
                    <w:t>CAS号：7</w:t>
                  </w:r>
                  <w:r>
                    <w:rPr>
                      <w:rFonts w:hint="eastAsia"/>
                      <w:color w:val="auto"/>
                      <w:szCs w:val="21"/>
                    </w:rPr>
                    <w:t>2</w:t>
                  </w:r>
                  <w:r>
                    <w:rPr>
                      <w:color w:val="auto"/>
                      <w:szCs w:val="21"/>
                    </w:rPr>
                    <w:t>－</w:t>
                  </w:r>
                  <w:r>
                    <w:rPr>
                      <w:rFonts w:hint="eastAsia"/>
                      <w:color w:val="auto"/>
                      <w:szCs w:val="21"/>
                    </w:rPr>
                    <w:t>82</w:t>
                  </w:r>
                  <w:r>
                    <w:rPr>
                      <w:color w:val="auto"/>
                      <w:szCs w:val="21"/>
                    </w:rPr>
                    <w:t>－</w:t>
                  </w:r>
                  <w:r>
                    <w:rPr>
                      <w:rFonts w:hint="eastAsia"/>
                      <w:color w:val="auto"/>
                      <w:szCs w:val="21"/>
                    </w:rPr>
                    <w:t>8</w:t>
                  </w:r>
                </w:p>
              </w:tc>
            </w:tr>
            <w:tr w14:paraId="239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restart"/>
                  <w:noWrap w:val="0"/>
                  <w:vAlign w:val="center"/>
                </w:tcPr>
                <w:p w14:paraId="58F690BF">
                  <w:pPr>
                    <w:jc w:val="center"/>
                    <w:rPr>
                      <w:color w:val="auto"/>
                      <w:szCs w:val="21"/>
                    </w:rPr>
                  </w:pPr>
                  <w:r>
                    <w:rPr>
                      <w:color w:val="auto"/>
                      <w:szCs w:val="21"/>
                    </w:rPr>
                    <w:t>理化性质</w:t>
                  </w:r>
                </w:p>
              </w:tc>
              <w:tc>
                <w:tcPr>
                  <w:tcW w:w="8245" w:type="dxa"/>
                  <w:gridSpan w:val="7"/>
                  <w:noWrap w:val="0"/>
                  <w:vAlign w:val="top"/>
                </w:tcPr>
                <w:p w14:paraId="63B4D4B6">
                  <w:pPr>
                    <w:rPr>
                      <w:color w:val="auto"/>
                      <w:szCs w:val="21"/>
                    </w:rPr>
                  </w:pPr>
                  <w:r>
                    <w:rPr>
                      <w:color w:val="auto"/>
                      <w:szCs w:val="21"/>
                    </w:rPr>
                    <w:t>性状：无色无味。</w:t>
                  </w:r>
                </w:p>
              </w:tc>
            </w:tr>
            <w:tr w14:paraId="79DD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continue"/>
                  <w:noWrap w:val="0"/>
                  <w:vAlign w:val="center"/>
                </w:tcPr>
                <w:p w14:paraId="01ACA514">
                  <w:pPr>
                    <w:widowControl/>
                    <w:rPr>
                      <w:color w:val="auto"/>
                      <w:szCs w:val="21"/>
                    </w:rPr>
                  </w:pPr>
                </w:p>
              </w:tc>
              <w:tc>
                <w:tcPr>
                  <w:tcW w:w="8245" w:type="dxa"/>
                  <w:gridSpan w:val="7"/>
                  <w:noWrap w:val="0"/>
                  <w:vAlign w:val="top"/>
                </w:tcPr>
                <w:p w14:paraId="0B65CC87">
                  <w:pPr>
                    <w:rPr>
                      <w:color w:val="auto"/>
                      <w:szCs w:val="21"/>
                    </w:rPr>
                  </w:pPr>
                  <w:r>
                    <w:rPr>
                      <w:color w:val="auto"/>
                      <w:szCs w:val="21"/>
                    </w:rPr>
                    <w:t>溶解性：微溶于水，溶于乙醇、醚、多数有机溶剂。</w:t>
                  </w:r>
                </w:p>
              </w:tc>
            </w:tr>
            <w:tr w14:paraId="5262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413" w:type="dxa"/>
                  <w:vMerge w:val="continue"/>
                  <w:noWrap w:val="0"/>
                  <w:vAlign w:val="center"/>
                </w:tcPr>
                <w:p w14:paraId="76388C9D">
                  <w:pPr>
                    <w:widowControl/>
                    <w:rPr>
                      <w:color w:val="auto"/>
                      <w:szCs w:val="21"/>
                    </w:rPr>
                  </w:pPr>
                </w:p>
              </w:tc>
              <w:tc>
                <w:tcPr>
                  <w:tcW w:w="2466" w:type="dxa"/>
                  <w:gridSpan w:val="2"/>
                  <w:noWrap w:val="0"/>
                  <w:vAlign w:val="top"/>
                </w:tcPr>
                <w:p w14:paraId="76AEC5F5">
                  <w:pPr>
                    <w:rPr>
                      <w:color w:val="auto"/>
                      <w:szCs w:val="21"/>
                    </w:rPr>
                  </w:pPr>
                  <w:r>
                    <w:rPr>
                      <w:color w:val="auto"/>
                      <w:szCs w:val="21"/>
                    </w:rPr>
                    <w:t>熔点（</w:t>
                  </w:r>
                  <w:r>
                    <w:rPr>
                      <w:rFonts w:hint="eastAsia" w:ascii="宋体" w:hAnsi="宋体" w:cs="宋体"/>
                      <w:color w:val="auto"/>
                      <w:szCs w:val="21"/>
                    </w:rPr>
                    <w:t>℃</w:t>
                  </w:r>
                  <w:r>
                    <w:rPr>
                      <w:color w:val="auto"/>
                      <w:szCs w:val="21"/>
                    </w:rPr>
                    <w:t>）：－</w:t>
                  </w:r>
                  <w:r>
                    <w:rPr>
                      <w:rFonts w:hint="eastAsia"/>
                      <w:color w:val="auto"/>
                      <w:szCs w:val="21"/>
                    </w:rPr>
                    <w:t>82.5</w:t>
                  </w:r>
                </w:p>
              </w:tc>
              <w:tc>
                <w:tcPr>
                  <w:tcW w:w="2230" w:type="dxa"/>
                  <w:gridSpan w:val="3"/>
                  <w:noWrap w:val="0"/>
                  <w:vAlign w:val="top"/>
                </w:tcPr>
                <w:p w14:paraId="26753211">
                  <w:pPr>
                    <w:rPr>
                      <w:color w:val="auto"/>
                      <w:szCs w:val="21"/>
                    </w:rPr>
                  </w:pPr>
                  <w:r>
                    <w:rPr>
                      <w:color w:val="auto"/>
                      <w:szCs w:val="21"/>
                    </w:rPr>
                    <w:t>沸点（</w:t>
                  </w:r>
                  <w:r>
                    <w:rPr>
                      <w:rFonts w:hint="eastAsia" w:ascii="宋体" w:hAnsi="宋体" w:cs="宋体"/>
                      <w:color w:val="auto"/>
                      <w:szCs w:val="21"/>
                    </w:rPr>
                    <w:t>℃</w:t>
                  </w:r>
                  <w:r>
                    <w:rPr>
                      <w:color w:val="auto"/>
                      <w:szCs w:val="21"/>
                    </w:rPr>
                    <w:t>）：</w:t>
                  </w:r>
                  <w:r>
                    <w:rPr>
                      <w:rFonts w:hint="eastAsia"/>
                      <w:color w:val="auto"/>
                      <w:szCs w:val="21"/>
                    </w:rPr>
                    <w:t>-161.5</w:t>
                  </w:r>
                </w:p>
              </w:tc>
              <w:tc>
                <w:tcPr>
                  <w:tcW w:w="3549" w:type="dxa"/>
                  <w:gridSpan w:val="2"/>
                  <w:noWrap w:val="0"/>
                  <w:vAlign w:val="top"/>
                </w:tcPr>
                <w:p w14:paraId="1EC731BF">
                  <w:pPr>
                    <w:rPr>
                      <w:color w:val="auto"/>
                      <w:szCs w:val="21"/>
                    </w:rPr>
                  </w:pPr>
                  <w:r>
                    <w:rPr>
                      <w:color w:val="auto"/>
                      <w:szCs w:val="21"/>
                    </w:rPr>
                    <w:t>相对密度（水＝1）：0.</w:t>
                  </w:r>
                  <w:r>
                    <w:rPr>
                      <w:rFonts w:hint="eastAsia"/>
                      <w:color w:val="auto"/>
                      <w:szCs w:val="21"/>
                    </w:rPr>
                    <w:t>42</w:t>
                  </w:r>
                </w:p>
              </w:tc>
            </w:tr>
            <w:tr w14:paraId="6B1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413" w:type="dxa"/>
                  <w:vMerge w:val="continue"/>
                  <w:noWrap w:val="0"/>
                  <w:vAlign w:val="center"/>
                </w:tcPr>
                <w:p w14:paraId="6A72B450">
                  <w:pPr>
                    <w:widowControl/>
                    <w:rPr>
                      <w:color w:val="auto"/>
                      <w:szCs w:val="21"/>
                    </w:rPr>
                  </w:pPr>
                </w:p>
              </w:tc>
              <w:tc>
                <w:tcPr>
                  <w:tcW w:w="2466" w:type="dxa"/>
                  <w:gridSpan w:val="2"/>
                  <w:noWrap w:val="0"/>
                  <w:vAlign w:val="top"/>
                </w:tcPr>
                <w:p w14:paraId="482EC992">
                  <w:pPr>
                    <w:rPr>
                      <w:color w:val="auto"/>
                      <w:szCs w:val="21"/>
                    </w:rPr>
                  </w:pPr>
                  <w:r>
                    <w:rPr>
                      <w:color w:val="auto"/>
                      <w:szCs w:val="21"/>
                    </w:rPr>
                    <w:t>临界温度（</w:t>
                  </w:r>
                  <w:r>
                    <w:rPr>
                      <w:rFonts w:hint="eastAsia" w:ascii="宋体" w:hAnsi="宋体" w:cs="宋体"/>
                      <w:color w:val="auto"/>
                      <w:szCs w:val="21"/>
                    </w:rPr>
                    <w:t>℃</w:t>
                  </w:r>
                  <w:r>
                    <w:rPr>
                      <w:color w:val="auto"/>
                      <w:szCs w:val="21"/>
                    </w:rPr>
                    <w:t>）：</w:t>
                  </w:r>
                  <w:r>
                    <w:rPr>
                      <w:rFonts w:hint="eastAsia"/>
                      <w:color w:val="auto"/>
                      <w:szCs w:val="21"/>
                    </w:rPr>
                    <w:t>-82.6</w:t>
                  </w:r>
                </w:p>
              </w:tc>
              <w:tc>
                <w:tcPr>
                  <w:tcW w:w="2230" w:type="dxa"/>
                  <w:gridSpan w:val="3"/>
                  <w:noWrap w:val="0"/>
                  <w:vAlign w:val="top"/>
                </w:tcPr>
                <w:p w14:paraId="49633222">
                  <w:pPr>
                    <w:rPr>
                      <w:color w:val="auto"/>
                      <w:szCs w:val="21"/>
                    </w:rPr>
                  </w:pPr>
                  <w:r>
                    <w:rPr>
                      <w:color w:val="auto"/>
                      <w:szCs w:val="21"/>
                    </w:rPr>
                    <w:t>临界压力（MPa）：4.</w:t>
                  </w:r>
                  <w:r>
                    <w:rPr>
                      <w:rFonts w:hint="eastAsia"/>
                      <w:color w:val="auto"/>
                      <w:szCs w:val="21"/>
                    </w:rPr>
                    <w:t>59</w:t>
                  </w:r>
                </w:p>
              </w:tc>
              <w:tc>
                <w:tcPr>
                  <w:tcW w:w="3549" w:type="dxa"/>
                  <w:gridSpan w:val="2"/>
                  <w:noWrap w:val="0"/>
                  <w:vAlign w:val="top"/>
                </w:tcPr>
                <w:p w14:paraId="6A8D58F7">
                  <w:pPr>
                    <w:rPr>
                      <w:color w:val="auto"/>
                      <w:szCs w:val="21"/>
                    </w:rPr>
                  </w:pPr>
                  <w:r>
                    <w:rPr>
                      <w:color w:val="auto"/>
                      <w:szCs w:val="21"/>
                    </w:rPr>
                    <w:t>相对密度（空气＝1）：</w:t>
                  </w:r>
                  <w:r>
                    <w:rPr>
                      <w:rFonts w:hint="eastAsia"/>
                      <w:color w:val="auto"/>
                      <w:szCs w:val="21"/>
                    </w:rPr>
                    <w:t>0.5548</w:t>
                  </w:r>
                </w:p>
              </w:tc>
            </w:tr>
            <w:tr w14:paraId="3542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continue"/>
                  <w:noWrap w:val="0"/>
                  <w:vAlign w:val="center"/>
                </w:tcPr>
                <w:p w14:paraId="11C0D9F2">
                  <w:pPr>
                    <w:widowControl/>
                    <w:rPr>
                      <w:color w:val="auto"/>
                      <w:szCs w:val="21"/>
                    </w:rPr>
                  </w:pPr>
                </w:p>
              </w:tc>
              <w:tc>
                <w:tcPr>
                  <w:tcW w:w="2466" w:type="dxa"/>
                  <w:gridSpan w:val="2"/>
                  <w:noWrap w:val="0"/>
                  <w:vAlign w:val="top"/>
                </w:tcPr>
                <w:p w14:paraId="3D4F985C">
                  <w:pPr>
                    <w:rPr>
                      <w:color w:val="auto"/>
                      <w:szCs w:val="21"/>
                    </w:rPr>
                  </w:pPr>
                  <w:r>
                    <w:rPr>
                      <w:color w:val="auto"/>
                      <w:szCs w:val="21"/>
                    </w:rPr>
                    <w:t>溶解度：</w:t>
                  </w:r>
                  <w:r>
                    <w:rPr>
                      <w:rFonts w:hint="eastAsia"/>
                      <w:color w:val="auto"/>
                      <w:szCs w:val="21"/>
                    </w:rPr>
                    <w:t>0.03</w:t>
                  </w:r>
                </w:p>
              </w:tc>
              <w:tc>
                <w:tcPr>
                  <w:tcW w:w="2230" w:type="dxa"/>
                  <w:gridSpan w:val="3"/>
                  <w:noWrap w:val="0"/>
                  <w:vAlign w:val="top"/>
                </w:tcPr>
                <w:p w14:paraId="38A22CEB">
                  <w:pPr>
                    <w:rPr>
                      <w:color w:val="auto"/>
                      <w:szCs w:val="21"/>
                    </w:rPr>
                  </w:pPr>
                  <w:r>
                    <w:rPr>
                      <w:color w:val="auto"/>
                      <w:szCs w:val="21"/>
                    </w:rPr>
                    <w:t>分子直径：</w:t>
                  </w:r>
                  <w:r>
                    <w:rPr>
                      <w:rFonts w:hint="eastAsia"/>
                      <w:color w:val="auto"/>
                      <w:szCs w:val="21"/>
                    </w:rPr>
                    <w:t>0.414nm</w:t>
                  </w:r>
                </w:p>
              </w:tc>
              <w:tc>
                <w:tcPr>
                  <w:tcW w:w="3549" w:type="dxa"/>
                  <w:gridSpan w:val="2"/>
                  <w:noWrap w:val="0"/>
                  <w:vAlign w:val="top"/>
                </w:tcPr>
                <w:p w14:paraId="71639088">
                  <w:pPr>
                    <w:rPr>
                      <w:color w:val="auto"/>
                      <w:szCs w:val="21"/>
                    </w:rPr>
                  </w:pPr>
                  <w:r>
                    <w:rPr>
                      <w:color w:val="auto"/>
                      <w:szCs w:val="21"/>
                    </w:rPr>
                    <w:t>饱和蒸汽压（UPa）：</w:t>
                  </w:r>
                  <w:r>
                    <w:rPr>
                      <w:rFonts w:hint="eastAsia"/>
                      <w:color w:val="auto"/>
                      <w:szCs w:val="21"/>
                    </w:rPr>
                    <w:t>53.32</w:t>
                  </w:r>
                </w:p>
              </w:tc>
            </w:tr>
            <w:tr w14:paraId="4783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restart"/>
                  <w:noWrap w:val="0"/>
                  <w:vAlign w:val="center"/>
                </w:tcPr>
                <w:p w14:paraId="2E31DE91">
                  <w:pPr>
                    <w:jc w:val="center"/>
                    <w:rPr>
                      <w:color w:val="auto"/>
                      <w:szCs w:val="21"/>
                    </w:rPr>
                  </w:pPr>
                  <w:r>
                    <w:rPr>
                      <w:color w:val="auto"/>
                      <w:szCs w:val="21"/>
                    </w:rPr>
                    <w:t>燃烧爆炸危险性</w:t>
                  </w:r>
                </w:p>
              </w:tc>
              <w:tc>
                <w:tcPr>
                  <w:tcW w:w="2167" w:type="dxa"/>
                  <w:noWrap w:val="0"/>
                  <w:vAlign w:val="top"/>
                </w:tcPr>
                <w:p w14:paraId="056DB7D0">
                  <w:pPr>
                    <w:rPr>
                      <w:color w:val="auto"/>
                      <w:szCs w:val="21"/>
                    </w:rPr>
                  </w:pPr>
                  <w:r>
                    <w:rPr>
                      <w:color w:val="auto"/>
                      <w:szCs w:val="21"/>
                    </w:rPr>
                    <w:t>燃烧性：易燃</w:t>
                  </w:r>
                </w:p>
              </w:tc>
              <w:tc>
                <w:tcPr>
                  <w:tcW w:w="6078" w:type="dxa"/>
                  <w:gridSpan w:val="6"/>
                  <w:noWrap w:val="0"/>
                  <w:vAlign w:val="top"/>
                </w:tcPr>
                <w:p w14:paraId="44453A51">
                  <w:pPr>
                    <w:rPr>
                      <w:color w:val="auto"/>
                      <w:szCs w:val="21"/>
                    </w:rPr>
                  </w:pPr>
                  <w:r>
                    <w:rPr>
                      <w:color w:val="auto"/>
                      <w:szCs w:val="21"/>
                    </w:rPr>
                    <w:t>闪点（</w:t>
                  </w:r>
                  <w:r>
                    <w:rPr>
                      <w:rFonts w:hint="eastAsia" w:ascii="宋体" w:hAnsi="宋体" w:cs="宋体"/>
                      <w:color w:val="auto"/>
                      <w:szCs w:val="21"/>
                    </w:rPr>
                    <w:t>℃</w:t>
                  </w:r>
                  <w:r>
                    <w:rPr>
                      <w:color w:val="auto"/>
                      <w:szCs w:val="21"/>
                    </w:rPr>
                    <w:t>）：</w:t>
                  </w:r>
                  <w:r>
                    <w:rPr>
                      <w:rFonts w:hint="eastAsia"/>
                      <w:color w:val="auto"/>
                      <w:szCs w:val="21"/>
                    </w:rPr>
                    <w:t>-188</w:t>
                  </w:r>
                </w:p>
              </w:tc>
            </w:tr>
            <w:tr w14:paraId="3820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413" w:type="dxa"/>
                  <w:vMerge w:val="continue"/>
                  <w:noWrap w:val="0"/>
                  <w:vAlign w:val="center"/>
                </w:tcPr>
                <w:p w14:paraId="78A6A60E">
                  <w:pPr>
                    <w:widowControl/>
                    <w:rPr>
                      <w:color w:val="auto"/>
                      <w:szCs w:val="21"/>
                    </w:rPr>
                  </w:pPr>
                </w:p>
              </w:tc>
              <w:tc>
                <w:tcPr>
                  <w:tcW w:w="2167" w:type="dxa"/>
                  <w:noWrap w:val="0"/>
                  <w:vAlign w:val="top"/>
                </w:tcPr>
                <w:p w14:paraId="7766029E">
                  <w:pPr>
                    <w:rPr>
                      <w:color w:val="auto"/>
                      <w:szCs w:val="21"/>
                    </w:rPr>
                  </w:pPr>
                  <w:r>
                    <w:rPr>
                      <w:color w:val="auto"/>
                      <w:szCs w:val="21"/>
                    </w:rPr>
                    <w:t>爆炸下限（％）：</w:t>
                  </w:r>
                  <w:r>
                    <w:rPr>
                      <w:rFonts w:hint="eastAsia"/>
                      <w:color w:val="auto"/>
                      <w:szCs w:val="21"/>
                    </w:rPr>
                    <w:t>5.0</w:t>
                  </w:r>
                </w:p>
              </w:tc>
              <w:tc>
                <w:tcPr>
                  <w:tcW w:w="6078" w:type="dxa"/>
                  <w:gridSpan w:val="6"/>
                  <w:noWrap w:val="0"/>
                  <w:vAlign w:val="top"/>
                </w:tcPr>
                <w:p w14:paraId="2270CF4C">
                  <w:pPr>
                    <w:rPr>
                      <w:color w:val="auto"/>
                      <w:szCs w:val="21"/>
                    </w:rPr>
                  </w:pPr>
                  <w:r>
                    <w:rPr>
                      <w:color w:val="auto"/>
                      <w:szCs w:val="21"/>
                    </w:rPr>
                    <w:t>燃烧（分解）产物：碳（极不完全燃烧）、一氧化碳（不完全燃烧，有害）、二氧化碳和水（完全燃烧）。</w:t>
                  </w:r>
                </w:p>
              </w:tc>
            </w:tr>
            <w:tr w14:paraId="4BF0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413" w:type="dxa"/>
                  <w:vMerge w:val="continue"/>
                  <w:noWrap w:val="0"/>
                  <w:vAlign w:val="center"/>
                </w:tcPr>
                <w:p w14:paraId="0EEE9D75">
                  <w:pPr>
                    <w:widowControl/>
                    <w:rPr>
                      <w:color w:val="auto"/>
                      <w:szCs w:val="21"/>
                    </w:rPr>
                  </w:pPr>
                </w:p>
              </w:tc>
              <w:tc>
                <w:tcPr>
                  <w:tcW w:w="2167" w:type="dxa"/>
                  <w:noWrap w:val="0"/>
                  <w:vAlign w:val="top"/>
                </w:tcPr>
                <w:p w14:paraId="5E53B87E">
                  <w:pPr>
                    <w:rPr>
                      <w:color w:val="auto"/>
                      <w:szCs w:val="21"/>
                    </w:rPr>
                  </w:pPr>
                  <w:r>
                    <w:rPr>
                      <w:color w:val="auto"/>
                      <w:szCs w:val="21"/>
                    </w:rPr>
                    <w:t>爆炸上限（％）：1</w:t>
                  </w:r>
                  <w:r>
                    <w:rPr>
                      <w:rFonts w:hint="eastAsia"/>
                      <w:color w:val="auto"/>
                      <w:szCs w:val="21"/>
                    </w:rPr>
                    <w:t>5.4</w:t>
                  </w:r>
                </w:p>
              </w:tc>
              <w:tc>
                <w:tcPr>
                  <w:tcW w:w="6078" w:type="dxa"/>
                  <w:gridSpan w:val="6"/>
                  <w:noWrap w:val="0"/>
                  <w:vAlign w:val="top"/>
                </w:tcPr>
                <w:p w14:paraId="2BCF5A19">
                  <w:pPr>
                    <w:rPr>
                      <w:color w:val="auto"/>
                      <w:szCs w:val="21"/>
                    </w:rPr>
                  </w:pPr>
                  <w:r>
                    <w:rPr>
                      <w:color w:val="auto"/>
                      <w:szCs w:val="21"/>
                    </w:rPr>
                    <w:t>引燃温度（</w:t>
                  </w:r>
                  <w:r>
                    <w:rPr>
                      <w:rFonts w:hint="eastAsia" w:ascii="宋体" w:hAnsi="宋体" w:cs="宋体"/>
                      <w:color w:val="auto"/>
                      <w:szCs w:val="21"/>
                    </w:rPr>
                    <w:t>℃</w:t>
                  </w:r>
                  <w:r>
                    <w:rPr>
                      <w:color w:val="auto"/>
                      <w:szCs w:val="21"/>
                    </w:rPr>
                    <w:t>）：</w:t>
                  </w:r>
                  <w:r>
                    <w:rPr>
                      <w:rFonts w:hint="eastAsia"/>
                      <w:color w:val="auto"/>
                      <w:szCs w:val="21"/>
                    </w:rPr>
                    <w:t>538</w:t>
                  </w:r>
                </w:p>
              </w:tc>
            </w:tr>
            <w:tr w14:paraId="7166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trPr>
              <w:tc>
                <w:tcPr>
                  <w:tcW w:w="413" w:type="dxa"/>
                  <w:vMerge w:val="continue"/>
                  <w:noWrap w:val="0"/>
                  <w:vAlign w:val="center"/>
                </w:tcPr>
                <w:p w14:paraId="7540DC59">
                  <w:pPr>
                    <w:widowControl/>
                    <w:rPr>
                      <w:color w:val="auto"/>
                      <w:szCs w:val="21"/>
                    </w:rPr>
                  </w:pPr>
                </w:p>
              </w:tc>
              <w:tc>
                <w:tcPr>
                  <w:tcW w:w="8245" w:type="dxa"/>
                  <w:gridSpan w:val="7"/>
                  <w:noWrap w:val="0"/>
                  <w:vAlign w:val="top"/>
                </w:tcPr>
                <w:p w14:paraId="062918C8">
                  <w:pPr>
                    <w:rPr>
                      <w:color w:val="auto"/>
                      <w:szCs w:val="21"/>
                    </w:rPr>
                  </w:pPr>
                  <w:r>
                    <w:rPr>
                      <w:color w:val="auto"/>
                      <w:szCs w:val="21"/>
                    </w:rPr>
                    <w:t>危险特性：易燃，与空气混合能形成爆炸性混合物，遇热源和明火有燃烧爆炸的危险。与</w:t>
                  </w:r>
                  <w:r>
                    <w:rPr>
                      <w:color w:val="auto"/>
                      <w:szCs w:val="21"/>
                    </w:rPr>
                    <w:fldChar w:fldCharType="begin"/>
                  </w:r>
                  <w:r>
                    <w:rPr>
                      <w:color w:val="auto"/>
                      <w:szCs w:val="21"/>
                    </w:rPr>
                    <w:instrText xml:space="preserve"> HYPERLINK "https://baike.baidu.com/item/%E4%BA%94%E6%B0%9F%E5%8C%96%E6%BA%B4" \t "_blank" </w:instrText>
                  </w:r>
                  <w:r>
                    <w:rPr>
                      <w:color w:val="auto"/>
                      <w:szCs w:val="21"/>
                    </w:rPr>
                    <w:fldChar w:fldCharType="separate"/>
                  </w:r>
                  <w:r>
                    <w:rPr>
                      <w:color w:val="auto"/>
                      <w:szCs w:val="21"/>
                    </w:rPr>
                    <w:t>五氟化溴</w:t>
                  </w:r>
                  <w:r>
                    <w:rPr>
                      <w:color w:val="auto"/>
                      <w:szCs w:val="21"/>
                    </w:rPr>
                    <w:fldChar w:fldCharType="end"/>
                  </w:r>
                  <w:r>
                    <w:rPr>
                      <w:color w:val="auto"/>
                      <w:szCs w:val="21"/>
                    </w:rPr>
                    <w:t>、</w:t>
                  </w:r>
                  <w:r>
                    <w:rPr>
                      <w:color w:val="auto"/>
                      <w:szCs w:val="21"/>
                    </w:rPr>
                    <w:fldChar w:fldCharType="begin"/>
                  </w:r>
                  <w:r>
                    <w:rPr>
                      <w:color w:val="auto"/>
                      <w:szCs w:val="21"/>
                    </w:rPr>
                    <w:instrText xml:space="preserve"> HYPERLINK "https://baike.baidu.com/item/%E6%B0%AF%E6%B0%94" \t "_blank" </w:instrText>
                  </w:r>
                  <w:r>
                    <w:rPr>
                      <w:color w:val="auto"/>
                      <w:szCs w:val="21"/>
                    </w:rPr>
                    <w:fldChar w:fldCharType="separate"/>
                  </w:r>
                  <w:r>
                    <w:rPr>
                      <w:color w:val="auto"/>
                      <w:szCs w:val="21"/>
                    </w:rPr>
                    <w:t>氯气</w:t>
                  </w:r>
                  <w:r>
                    <w:rPr>
                      <w:color w:val="auto"/>
                      <w:szCs w:val="21"/>
                    </w:rPr>
                    <w:fldChar w:fldCharType="end"/>
                  </w:r>
                  <w:r>
                    <w:rPr>
                      <w:color w:val="auto"/>
                      <w:szCs w:val="21"/>
                    </w:rPr>
                    <w:t>、</w:t>
                  </w:r>
                  <w:r>
                    <w:rPr>
                      <w:color w:val="auto"/>
                      <w:szCs w:val="21"/>
                    </w:rPr>
                    <w:fldChar w:fldCharType="begin"/>
                  </w:r>
                  <w:r>
                    <w:rPr>
                      <w:color w:val="auto"/>
                      <w:szCs w:val="21"/>
                    </w:rPr>
                    <w:instrText xml:space="preserve"> HYPERLINK "https://baike.baidu.com/item/%E6%AC%A1%E6%B0%AF%E9%85%B8" \t "_blank" </w:instrText>
                  </w:r>
                  <w:r>
                    <w:rPr>
                      <w:color w:val="auto"/>
                      <w:szCs w:val="21"/>
                    </w:rPr>
                    <w:fldChar w:fldCharType="separate"/>
                  </w:r>
                  <w:r>
                    <w:rPr>
                      <w:color w:val="auto"/>
                      <w:szCs w:val="21"/>
                    </w:rPr>
                    <w:t>次氯酸</w:t>
                  </w:r>
                  <w:r>
                    <w:rPr>
                      <w:color w:val="auto"/>
                      <w:szCs w:val="21"/>
                    </w:rPr>
                    <w:fldChar w:fldCharType="end"/>
                  </w:r>
                  <w:r>
                    <w:rPr>
                      <w:color w:val="auto"/>
                      <w:szCs w:val="21"/>
                    </w:rPr>
                    <w:t>、</w:t>
                  </w:r>
                  <w:r>
                    <w:rPr>
                      <w:color w:val="auto"/>
                      <w:szCs w:val="21"/>
                    </w:rPr>
                    <w:fldChar w:fldCharType="begin"/>
                  </w:r>
                  <w:r>
                    <w:rPr>
                      <w:color w:val="auto"/>
                      <w:szCs w:val="21"/>
                    </w:rPr>
                    <w:instrText xml:space="preserve"> HYPERLINK "https://baike.baidu.com/item/%E4%B8%89%E6%B0%9F%E5%8C%96%E6%B0%AE" \t "_blank" </w:instrText>
                  </w:r>
                  <w:r>
                    <w:rPr>
                      <w:color w:val="auto"/>
                      <w:szCs w:val="21"/>
                    </w:rPr>
                    <w:fldChar w:fldCharType="separate"/>
                  </w:r>
                  <w:r>
                    <w:rPr>
                      <w:color w:val="auto"/>
                      <w:szCs w:val="21"/>
                    </w:rPr>
                    <w:t>三氟化氮</w:t>
                  </w:r>
                  <w:r>
                    <w:rPr>
                      <w:color w:val="auto"/>
                      <w:szCs w:val="21"/>
                    </w:rPr>
                    <w:fldChar w:fldCharType="end"/>
                  </w:r>
                  <w:r>
                    <w:rPr>
                      <w:color w:val="auto"/>
                      <w:szCs w:val="21"/>
                    </w:rPr>
                    <w:t>、</w:t>
                  </w:r>
                  <w:r>
                    <w:rPr>
                      <w:color w:val="auto"/>
                      <w:szCs w:val="21"/>
                    </w:rPr>
                    <w:fldChar w:fldCharType="begin"/>
                  </w:r>
                  <w:r>
                    <w:rPr>
                      <w:color w:val="auto"/>
                      <w:szCs w:val="21"/>
                    </w:rPr>
                    <w:instrText xml:space="preserve"> HYPERLINK "https://baike.baidu.com/item/%E6%B6%B2%E6%B0%A7" \t "_blank" </w:instrText>
                  </w:r>
                  <w:r>
                    <w:rPr>
                      <w:color w:val="auto"/>
                      <w:szCs w:val="21"/>
                    </w:rPr>
                    <w:fldChar w:fldCharType="separate"/>
                  </w:r>
                  <w:r>
                    <w:rPr>
                      <w:color w:val="auto"/>
                      <w:szCs w:val="21"/>
                    </w:rPr>
                    <w:t>液氧</w:t>
                  </w:r>
                  <w:r>
                    <w:rPr>
                      <w:color w:val="auto"/>
                      <w:szCs w:val="21"/>
                    </w:rPr>
                    <w:fldChar w:fldCharType="end"/>
                  </w:r>
                  <w:r>
                    <w:rPr>
                      <w:color w:val="auto"/>
                      <w:szCs w:val="21"/>
                    </w:rPr>
                    <w:t>、</w:t>
                  </w:r>
                  <w:r>
                    <w:rPr>
                      <w:color w:val="auto"/>
                      <w:szCs w:val="21"/>
                    </w:rPr>
                    <w:fldChar w:fldCharType="begin"/>
                  </w:r>
                  <w:r>
                    <w:rPr>
                      <w:color w:val="auto"/>
                      <w:szCs w:val="21"/>
                    </w:rPr>
                    <w:instrText xml:space="preserve"> HYPERLINK "https://baike.baidu.com/item/%E4%BA%8C%E6%B0%9F%E5%8C%96%E6%B0%A7" \t "_blank" </w:instrText>
                  </w:r>
                  <w:r>
                    <w:rPr>
                      <w:color w:val="auto"/>
                      <w:szCs w:val="21"/>
                    </w:rPr>
                    <w:fldChar w:fldCharType="separate"/>
                  </w:r>
                  <w:r>
                    <w:rPr>
                      <w:color w:val="auto"/>
                      <w:szCs w:val="21"/>
                    </w:rPr>
                    <w:t>二氟化氧</w:t>
                  </w:r>
                  <w:r>
                    <w:rPr>
                      <w:color w:val="auto"/>
                      <w:szCs w:val="21"/>
                    </w:rPr>
                    <w:fldChar w:fldCharType="end"/>
                  </w:r>
                  <w:r>
                    <w:rPr>
                      <w:color w:val="auto"/>
                      <w:szCs w:val="21"/>
                    </w:rPr>
                    <w:t>及其它</w:t>
                  </w:r>
                  <w:r>
                    <w:rPr>
                      <w:color w:val="auto"/>
                      <w:szCs w:val="21"/>
                    </w:rPr>
                    <w:fldChar w:fldCharType="begin"/>
                  </w:r>
                  <w:r>
                    <w:rPr>
                      <w:color w:val="auto"/>
                      <w:szCs w:val="21"/>
                    </w:rPr>
                    <w:instrText xml:space="preserve"> HYPERLINK "https://baike.baidu.com/item/%E5%BC%BA%E6%B0%A7%E5%8C%96%E5%89%82" \t "_blank" </w:instrText>
                  </w:r>
                  <w:r>
                    <w:rPr>
                      <w:color w:val="auto"/>
                      <w:szCs w:val="21"/>
                    </w:rPr>
                    <w:fldChar w:fldCharType="separate"/>
                  </w:r>
                  <w:r>
                    <w:rPr>
                      <w:color w:val="auto"/>
                      <w:szCs w:val="21"/>
                    </w:rPr>
                    <w:t>强氧化剂</w:t>
                  </w:r>
                  <w:r>
                    <w:rPr>
                      <w:color w:val="auto"/>
                      <w:szCs w:val="21"/>
                    </w:rPr>
                    <w:fldChar w:fldCharType="end"/>
                  </w:r>
                  <w:r>
                    <w:rPr>
                      <w:color w:val="auto"/>
                      <w:szCs w:val="21"/>
                    </w:rPr>
                    <w:t>接触反应剧烈。</w:t>
                  </w:r>
                </w:p>
              </w:tc>
            </w:tr>
            <w:tr w14:paraId="57CB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13" w:type="dxa"/>
                  <w:noWrap w:val="0"/>
                  <w:vAlign w:val="center"/>
                </w:tcPr>
                <w:p w14:paraId="3B771248">
                  <w:pPr>
                    <w:jc w:val="center"/>
                    <w:rPr>
                      <w:color w:val="auto"/>
                      <w:szCs w:val="21"/>
                    </w:rPr>
                  </w:pPr>
                  <w:r>
                    <w:rPr>
                      <w:color w:val="auto"/>
                      <w:szCs w:val="21"/>
                    </w:rPr>
                    <w:t>毒性</w:t>
                  </w:r>
                </w:p>
              </w:tc>
              <w:tc>
                <w:tcPr>
                  <w:tcW w:w="8245" w:type="dxa"/>
                  <w:gridSpan w:val="7"/>
                  <w:noWrap w:val="0"/>
                  <w:vAlign w:val="top"/>
                </w:tcPr>
                <w:p w14:paraId="2B07AFE8">
                  <w:pPr>
                    <w:rPr>
                      <w:color w:val="auto"/>
                      <w:szCs w:val="21"/>
                    </w:rPr>
                  </w:pPr>
                  <w:r>
                    <w:rPr>
                      <w:color w:val="auto"/>
                      <w:szCs w:val="21"/>
                    </w:rPr>
                    <w:t>小鼠吸入2%浓度×60分钟，麻醉作用；兔吸入2%浓度×60分钟，麻醉作用。本品只有在极高浓度时由于空气被置换，氧分压降低而产生窒息。空气中甲烷浓度87%使小鼠窒息，90%时呼吸停止。</w:t>
                  </w:r>
                </w:p>
              </w:tc>
            </w:tr>
            <w:tr w14:paraId="1D53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13" w:type="dxa"/>
                  <w:noWrap w:val="0"/>
                  <w:vAlign w:val="center"/>
                </w:tcPr>
                <w:p w14:paraId="0B4EC3E5">
                  <w:pPr>
                    <w:jc w:val="center"/>
                    <w:rPr>
                      <w:color w:val="auto"/>
                      <w:szCs w:val="21"/>
                    </w:rPr>
                  </w:pPr>
                  <w:r>
                    <w:rPr>
                      <w:color w:val="auto"/>
                      <w:szCs w:val="21"/>
                    </w:rPr>
                    <w:t>危害</w:t>
                  </w:r>
                </w:p>
              </w:tc>
              <w:tc>
                <w:tcPr>
                  <w:tcW w:w="8245" w:type="dxa"/>
                  <w:gridSpan w:val="7"/>
                  <w:noWrap w:val="0"/>
                  <w:vAlign w:val="top"/>
                </w:tcPr>
                <w:p w14:paraId="23D4C7A8">
                  <w:pPr>
                    <w:rPr>
                      <w:color w:val="auto"/>
                      <w:szCs w:val="21"/>
                    </w:rPr>
                  </w:pPr>
                  <w:r>
                    <w:rPr>
                      <w:color w:val="auto"/>
                      <w:szCs w:val="21"/>
                    </w:rPr>
                    <w:t>甲烷80%和氧20%的混合气体，能引起人头痛。当空气中甲烷达25%～30%时，人出现窒息前症状，如头晕、呼吸加速、心率增加、注意力不集中、乏力、共济失调，甚至窒息。皮肤接触液化的甲烷可引起冻伤，甲烷主要通过呼吸道进入体内，大部分以原形呼出，少量在体内可氧化为二氧化碳和水。因其与蛋白质结合的能力极低，故麻醉作用相当弱。</w:t>
                  </w:r>
                </w:p>
              </w:tc>
            </w:tr>
          </w:tbl>
          <w:p w14:paraId="1D25F1A6">
            <w:pPr>
              <w:widowControl/>
              <w:spacing w:line="360" w:lineRule="auto"/>
              <w:jc w:val="center"/>
              <w:rPr>
                <w:b/>
                <w:color w:val="auto"/>
                <w:kern w:val="0"/>
                <w:szCs w:val="21"/>
              </w:rPr>
            </w:pPr>
            <w:r>
              <w:rPr>
                <w:b/>
                <w:color w:val="auto"/>
                <w:kern w:val="0"/>
                <w:szCs w:val="21"/>
              </w:rPr>
              <w:t>表</w:t>
            </w:r>
            <w:r>
              <w:rPr>
                <w:rFonts w:hint="eastAsia"/>
                <w:b/>
                <w:color w:val="auto"/>
                <w:kern w:val="0"/>
                <w:szCs w:val="21"/>
              </w:rPr>
              <w:t>7-</w:t>
            </w:r>
            <w:r>
              <w:rPr>
                <w:rFonts w:hint="eastAsia"/>
                <w:b/>
                <w:color w:val="auto"/>
                <w:kern w:val="0"/>
                <w:szCs w:val="21"/>
                <w:lang w:val="en-US" w:eastAsia="zh-CN"/>
              </w:rPr>
              <w:t xml:space="preserve">18 </w:t>
            </w:r>
            <w:r>
              <w:rPr>
                <w:b/>
                <w:color w:val="auto"/>
                <w:kern w:val="0"/>
                <w:szCs w:val="21"/>
              </w:rPr>
              <w:t xml:space="preserve"> 废机油（油类）</w:t>
            </w:r>
            <w:r>
              <w:rPr>
                <w:rFonts w:hint="eastAsia"/>
                <w:b/>
                <w:color w:val="auto"/>
                <w:kern w:val="0"/>
                <w:szCs w:val="21"/>
              </w:rPr>
              <w:t>理化</w:t>
            </w:r>
            <w:r>
              <w:rPr>
                <w:rFonts w:hint="eastAsia"/>
                <w:b/>
                <w:color w:val="auto"/>
                <w:szCs w:val="21"/>
              </w:rPr>
              <w:t>性质</w:t>
            </w:r>
            <w:r>
              <w:rPr>
                <w:rFonts w:hint="eastAsia"/>
                <w:b/>
                <w:color w:val="auto"/>
                <w:kern w:val="0"/>
                <w:szCs w:val="21"/>
              </w:rPr>
              <w:t>及危险特性表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981"/>
              <w:gridCol w:w="5191"/>
            </w:tblGrid>
            <w:tr w14:paraId="4268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trPr>
              <w:tc>
                <w:tcPr>
                  <w:tcW w:w="375" w:type="pct"/>
                  <w:noWrap w:val="0"/>
                  <w:vAlign w:val="center"/>
                </w:tcPr>
                <w:p w14:paraId="699C8D48">
                  <w:pPr>
                    <w:jc w:val="center"/>
                    <w:rPr>
                      <w:color w:val="auto"/>
                      <w:szCs w:val="21"/>
                    </w:rPr>
                  </w:pPr>
                  <w:r>
                    <w:rPr>
                      <w:color w:val="auto"/>
                      <w:szCs w:val="21"/>
                    </w:rPr>
                    <w:t>标识</w:t>
                  </w:r>
                </w:p>
              </w:tc>
              <w:tc>
                <w:tcPr>
                  <w:tcW w:w="4625" w:type="pct"/>
                  <w:gridSpan w:val="2"/>
                  <w:noWrap w:val="0"/>
                  <w:vAlign w:val="top"/>
                </w:tcPr>
                <w:p w14:paraId="2A467BC3">
                  <w:pPr>
                    <w:jc w:val="center"/>
                    <w:rPr>
                      <w:color w:val="auto"/>
                      <w:szCs w:val="21"/>
                    </w:rPr>
                  </w:pPr>
                  <w:r>
                    <w:rPr>
                      <w:color w:val="auto"/>
                      <w:szCs w:val="21"/>
                    </w:rPr>
                    <w:t>中文名：</w:t>
                  </w:r>
                  <w:r>
                    <w:rPr>
                      <w:rFonts w:hint="eastAsia"/>
                      <w:color w:val="auto"/>
                      <w:szCs w:val="21"/>
                    </w:rPr>
                    <w:t>机油（</w:t>
                  </w:r>
                  <w:r>
                    <w:rPr>
                      <w:color w:val="auto"/>
                      <w:szCs w:val="21"/>
                    </w:rPr>
                    <w:t>含有高度精炼矿物油和添加剂组成润滑脂</w:t>
                  </w:r>
                  <w:r>
                    <w:rPr>
                      <w:rFonts w:hint="eastAsia"/>
                      <w:color w:val="auto"/>
                      <w:szCs w:val="21"/>
                    </w:rPr>
                    <w:t>）</w:t>
                  </w:r>
                </w:p>
              </w:tc>
            </w:tr>
            <w:tr w14:paraId="36F9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75" w:type="pct"/>
                  <w:vMerge w:val="restart"/>
                  <w:noWrap w:val="0"/>
                  <w:vAlign w:val="center"/>
                </w:tcPr>
                <w:p w14:paraId="27D1D772">
                  <w:pPr>
                    <w:jc w:val="center"/>
                    <w:rPr>
                      <w:color w:val="auto"/>
                      <w:szCs w:val="21"/>
                    </w:rPr>
                  </w:pPr>
                  <w:r>
                    <w:rPr>
                      <w:color w:val="auto"/>
                      <w:szCs w:val="21"/>
                    </w:rPr>
                    <w:t>理化性质</w:t>
                  </w:r>
                </w:p>
              </w:tc>
              <w:tc>
                <w:tcPr>
                  <w:tcW w:w="1687" w:type="pct"/>
                  <w:noWrap w:val="0"/>
                  <w:vAlign w:val="top"/>
                </w:tcPr>
                <w:p w14:paraId="44A3940E">
                  <w:pPr>
                    <w:jc w:val="center"/>
                    <w:rPr>
                      <w:color w:val="auto"/>
                      <w:szCs w:val="21"/>
                    </w:rPr>
                  </w:pPr>
                  <w:r>
                    <w:rPr>
                      <w:color w:val="auto"/>
                      <w:szCs w:val="21"/>
                    </w:rPr>
                    <w:t>性状：黄色流态（室温下）</w:t>
                  </w:r>
                </w:p>
              </w:tc>
              <w:tc>
                <w:tcPr>
                  <w:tcW w:w="2938" w:type="pct"/>
                  <w:noWrap w:val="0"/>
                  <w:vAlign w:val="top"/>
                </w:tcPr>
                <w:p w14:paraId="56B24367">
                  <w:pPr>
                    <w:jc w:val="center"/>
                    <w:rPr>
                      <w:color w:val="auto"/>
                      <w:szCs w:val="21"/>
                    </w:rPr>
                  </w:pPr>
                  <w:r>
                    <w:rPr>
                      <w:color w:val="auto"/>
                      <w:szCs w:val="21"/>
                    </w:rPr>
                    <w:t>燃烧性：易燃</w:t>
                  </w:r>
                </w:p>
              </w:tc>
            </w:tr>
            <w:tr w14:paraId="64B4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375" w:type="pct"/>
                  <w:vMerge w:val="continue"/>
                  <w:noWrap w:val="0"/>
                  <w:vAlign w:val="center"/>
                </w:tcPr>
                <w:p w14:paraId="60AEE68F">
                  <w:pPr>
                    <w:widowControl/>
                    <w:jc w:val="center"/>
                    <w:rPr>
                      <w:color w:val="auto"/>
                      <w:szCs w:val="21"/>
                    </w:rPr>
                  </w:pPr>
                </w:p>
              </w:tc>
              <w:tc>
                <w:tcPr>
                  <w:tcW w:w="1687" w:type="pct"/>
                  <w:noWrap w:val="0"/>
                  <w:vAlign w:val="center"/>
                </w:tcPr>
                <w:p w14:paraId="29A3601A">
                  <w:pPr>
                    <w:jc w:val="center"/>
                    <w:rPr>
                      <w:color w:val="auto"/>
                      <w:szCs w:val="21"/>
                    </w:rPr>
                  </w:pPr>
                  <w:r>
                    <w:rPr>
                      <w:color w:val="auto"/>
                      <w:szCs w:val="21"/>
                    </w:rPr>
                    <w:t>气味：矿物油特性。</w:t>
                  </w:r>
                </w:p>
              </w:tc>
              <w:tc>
                <w:tcPr>
                  <w:tcW w:w="2938" w:type="pct"/>
                  <w:noWrap w:val="0"/>
                  <w:vAlign w:val="center"/>
                </w:tcPr>
                <w:p w14:paraId="772AD1C1">
                  <w:pPr>
                    <w:jc w:val="center"/>
                    <w:rPr>
                      <w:color w:val="auto"/>
                      <w:szCs w:val="21"/>
                    </w:rPr>
                  </w:pPr>
                  <w:r>
                    <w:rPr>
                      <w:color w:val="auto"/>
                      <w:szCs w:val="21"/>
                    </w:rPr>
                    <w:t>爆炸上限下限（％）：</w:t>
                  </w:r>
                  <w:r>
                    <w:rPr>
                      <w:rFonts w:hint="eastAsia"/>
                      <w:color w:val="auto"/>
                      <w:szCs w:val="21"/>
                    </w:rPr>
                    <w:t>1~10%V/V</w:t>
                  </w:r>
                </w:p>
              </w:tc>
            </w:tr>
            <w:tr w14:paraId="613F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375" w:type="pct"/>
                  <w:vMerge w:val="continue"/>
                  <w:noWrap w:val="0"/>
                  <w:vAlign w:val="center"/>
                </w:tcPr>
                <w:p w14:paraId="6F20482E">
                  <w:pPr>
                    <w:widowControl/>
                    <w:jc w:val="center"/>
                    <w:rPr>
                      <w:color w:val="auto"/>
                      <w:szCs w:val="21"/>
                    </w:rPr>
                  </w:pPr>
                </w:p>
              </w:tc>
              <w:tc>
                <w:tcPr>
                  <w:tcW w:w="4625" w:type="pct"/>
                  <w:gridSpan w:val="2"/>
                  <w:noWrap w:val="0"/>
                  <w:vAlign w:val="top"/>
                </w:tcPr>
                <w:p w14:paraId="0D3F43B3">
                  <w:pPr>
                    <w:jc w:val="center"/>
                    <w:rPr>
                      <w:color w:val="auto"/>
                      <w:szCs w:val="21"/>
                    </w:rPr>
                  </w:pPr>
                  <w:r>
                    <w:rPr>
                      <w:color w:val="auto"/>
                      <w:szCs w:val="21"/>
                    </w:rPr>
                    <w:t>相对密度（空气＝1）：大于</w:t>
                  </w:r>
                  <w:r>
                    <w:rPr>
                      <w:rFonts w:hint="eastAsia"/>
                      <w:color w:val="auto"/>
                      <w:szCs w:val="21"/>
                    </w:rPr>
                    <w:t>1</w:t>
                  </w:r>
                </w:p>
              </w:tc>
            </w:tr>
            <w:tr w14:paraId="2447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14:paraId="70843740">
                  <w:pPr>
                    <w:jc w:val="center"/>
                    <w:rPr>
                      <w:color w:val="auto"/>
                      <w:szCs w:val="21"/>
                    </w:rPr>
                  </w:pPr>
                  <w:r>
                    <w:rPr>
                      <w:color w:val="auto"/>
                      <w:szCs w:val="21"/>
                    </w:rPr>
                    <w:t>毒性</w:t>
                  </w:r>
                </w:p>
              </w:tc>
              <w:tc>
                <w:tcPr>
                  <w:tcW w:w="4625" w:type="pct"/>
                  <w:gridSpan w:val="2"/>
                  <w:noWrap w:val="0"/>
                  <w:vAlign w:val="top"/>
                </w:tcPr>
                <w:p w14:paraId="594C3B67">
                  <w:pPr>
                    <w:jc w:val="center"/>
                    <w:rPr>
                      <w:color w:val="auto"/>
                      <w:szCs w:val="21"/>
                    </w:rPr>
                  </w:pPr>
                  <w:r>
                    <w:rPr>
                      <w:color w:val="auto"/>
                      <w:szCs w:val="21"/>
                    </w:rPr>
                    <w:t>LD</w:t>
                  </w:r>
                  <w:r>
                    <w:rPr>
                      <w:color w:val="auto"/>
                      <w:szCs w:val="21"/>
                      <w:vertAlign w:val="subscript"/>
                    </w:rPr>
                    <w:t>50</w:t>
                  </w:r>
                  <w:r>
                    <w:rPr>
                      <w:color w:val="auto"/>
                      <w:szCs w:val="21"/>
                    </w:rPr>
                    <w:t>（大鼠口服）：</w:t>
                  </w:r>
                  <w:r>
                    <w:rPr>
                      <w:rFonts w:hint="eastAsia"/>
                      <w:color w:val="auto"/>
                      <w:szCs w:val="21"/>
                    </w:rPr>
                    <w:t>＞20</w:t>
                  </w:r>
                  <w:r>
                    <w:rPr>
                      <w:color w:val="auto"/>
                      <w:szCs w:val="21"/>
                    </w:rPr>
                    <w:t>00mg/kg，在正常情况下使用不会有吸入危险</w:t>
                  </w:r>
                </w:p>
              </w:tc>
            </w:tr>
            <w:tr w14:paraId="1E8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375" w:type="pct"/>
                  <w:noWrap w:val="0"/>
                  <w:vAlign w:val="center"/>
                </w:tcPr>
                <w:p w14:paraId="6F273A51">
                  <w:pPr>
                    <w:jc w:val="center"/>
                    <w:rPr>
                      <w:color w:val="auto"/>
                      <w:szCs w:val="21"/>
                    </w:rPr>
                  </w:pPr>
                  <w:r>
                    <w:rPr>
                      <w:color w:val="auto"/>
                      <w:szCs w:val="21"/>
                    </w:rPr>
                    <w:t>危害</w:t>
                  </w:r>
                </w:p>
              </w:tc>
              <w:tc>
                <w:tcPr>
                  <w:tcW w:w="4625" w:type="pct"/>
                  <w:gridSpan w:val="2"/>
                  <w:noWrap w:val="0"/>
                  <w:vAlign w:val="top"/>
                </w:tcPr>
                <w:p w14:paraId="2785C82F">
                  <w:pPr>
                    <w:jc w:val="left"/>
                    <w:rPr>
                      <w:color w:val="auto"/>
                      <w:szCs w:val="21"/>
                    </w:rPr>
                  </w:pPr>
                  <w:r>
                    <w:rPr>
                      <w:rFonts w:hint="eastAsia"/>
                      <w:color w:val="auto"/>
                      <w:szCs w:val="21"/>
                    </w:rPr>
                    <w:t>长期和/或反复的接触包含矿物油的产品会引起皮肤脱脂，尤其在温度上升的情况下，这导致刺激和皮炎，特别发生在个人卫生条件不足的情况下。尽量避免皮肤接触。本品发生高压皮下注入后，如果不通过外科处理清除，可能会导致局部坏疽，使用过的润滑脂可能含有在使用过程中积累的有害的杂质，其浓度取决于使用情况，在处理时会对健康和环境产生危险。所有用过的润滑脂都要谨慎处理，尽量避免接触皮肤。</w:t>
                  </w:r>
                </w:p>
              </w:tc>
            </w:tr>
          </w:tbl>
          <w:p w14:paraId="2D610DB9">
            <w:pPr>
              <w:widowControl/>
              <w:spacing w:line="360" w:lineRule="auto"/>
              <w:jc w:val="center"/>
              <w:rPr>
                <w:b/>
                <w:color w:val="auto"/>
                <w:kern w:val="0"/>
                <w:szCs w:val="21"/>
                <w:highlight w:val="none"/>
              </w:rPr>
            </w:pPr>
            <w:r>
              <w:rPr>
                <w:b/>
                <w:color w:val="auto"/>
                <w:kern w:val="0"/>
                <w:szCs w:val="21"/>
                <w:highlight w:val="none"/>
              </w:rPr>
              <w:t>表</w:t>
            </w:r>
            <w:r>
              <w:rPr>
                <w:rFonts w:hint="eastAsia"/>
                <w:b/>
                <w:color w:val="auto"/>
                <w:kern w:val="0"/>
                <w:szCs w:val="21"/>
                <w:highlight w:val="none"/>
              </w:rPr>
              <w:t>7-</w:t>
            </w:r>
            <w:r>
              <w:rPr>
                <w:rFonts w:hint="eastAsia"/>
                <w:b/>
                <w:color w:val="auto"/>
                <w:kern w:val="0"/>
                <w:szCs w:val="21"/>
                <w:highlight w:val="none"/>
                <w:lang w:val="en-US" w:eastAsia="zh-CN"/>
              </w:rPr>
              <w:t xml:space="preserve">19 </w:t>
            </w:r>
            <w:r>
              <w:rPr>
                <w:b/>
                <w:color w:val="auto"/>
                <w:kern w:val="0"/>
                <w:szCs w:val="21"/>
                <w:highlight w:val="none"/>
              </w:rPr>
              <w:t xml:space="preserve"> </w:t>
            </w:r>
            <w:r>
              <w:rPr>
                <w:rFonts w:hint="eastAsia"/>
                <w:b/>
                <w:color w:val="auto"/>
                <w:kern w:val="0"/>
                <w:szCs w:val="21"/>
                <w:highlight w:val="none"/>
                <w:lang w:val="en-US" w:eastAsia="zh-CN"/>
              </w:rPr>
              <w:t>柴油</w:t>
            </w:r>
            <w:r>
              <w:rPr>
                <w:rFonts w:hint="eastAsia"/>
                <w:b/>
                <w:color w:val="auto"/>
                <w:kern w:val="0"/>
                <w:szCs w:val="21"/>
                <w:highlight w:val="none"/>
              </w:rPr>
              <w:t>理化</w:t>
            </w:r>
            <w:r>
              <w:rPr>
                <w:rFonts w:hint="eastAsia"/>
                <w:b/>
                <w:color w:val="auto"/>
                <w:szCs w:val="21"/>
                <w:highlight w:val="none"/>
              </w:rPr>
              <w:t>性质</w:t>
            </w:r>
            <w:r>
              <w:rPr>
                <w:rFonts w:hint="eastAsia"/>
                <w:b/>
                <w:color w:val="auto"/>
                <w:kern w:val="0"/>
                <w:szCs w:val="21"/>
                <w:highlight w:val="none"/>
              </w:rPr>
              <w:t>及危险特性表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981"/>
              <w:gridCol w:w="5191"/>
            </w:tblGrid>
            <w:tr w14:paraId="4505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374" w:type="pct"/>
                  <w:noWrap w:val="0"/>
                  <w:vAlign w:val="center"/>
                </w:tcPr>
                <w:p w14:paraId="1312EE3D">
                  <w:pPr>
                    <w:jc w:val="center"/>
                    <w:rPr>
                      <w:color w:val="auto"/>
                      <w:szCs w:val="21"/>
                      <w:highlight w:val="none"/>
                    </w:rPr>
                  </w:pPr>
                  <w:r>
                    <w:rPr>
                      <w:color w:val="auto"/>
                      <w:szCs w:val="21"/>
                      <w:highlight w:val="none"/>
                    </w:rPr>
                    <w:t>标识</w:t>
                  </w:r>
                </w:p>
              </w:tc>
              <w:tc>
                <w:tcPr>
                  <w:tcW w:w="4625" w:type="pct"/>
                  <w:gridSpan w:val="2"/>
                  <w:noWrap w:val="0"/>
                  <w:vAlign w:val="top"/>
                </w:tcPr>
                <w:p w14:paraId="19F275BB">
                  <w:pPr>
                    <w:jc w:val="center"/>
                    <w:rPr>
                      <w:rFonts w:hint="eastAsia" w:eastAsia="宋体"/>
                      <w:color w:val="auto"/>
                      <w:szCs w:val="21"/>
                      <w:highlight w:val="none"/>
                      <w:lang w:eastAsia="zh-CN"/>
                    </w:rPr>
                  </w:pPr>
                  <w:r>
                    <w:rPr>
                      <w:color w:val="auto"/>
                      <w:szCs w:val="21"/>
                      <w:highlight w:val="none"/>
                    </w:rPr>
                    <w:t>中文名：</w:t>
                  </w:r>
                  <w:r>
                    <w:rPr>
                      <w:rFonts w:hint="eastAsia"/>
                      <w:color w:val="auto"/>
                      <w:szCs w:val="21"/>
                      <w:highlight w:val="none"/>
                      <w:lang w:val="en-US" w:eastAsia="zh-CN"/>
                    </w:rPr>
                    <w:t>柴油</w:t>
                  </w:r>
                </w:p>
              </w:tc>
            </w:tr>
            <w:tr w14:paraId="679C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374" w:type="pct"/>
                  <w:vMerge w:val="restart"/>
                  <w:noWrap w:val="0"/>
                  <w:vAlign w:val="center"/>
                </w:tcPr>
                <w:p w14:paraId="7D9DDBB4">
                  <w:pPr>
                    <w:jc w:val="center"/>
                    <w:rPr>
                      <w:color w:val="auto"/>
                      <w:szCs w:val="21"/>
                      <w:highlight w:val="yellow"/>
                    </w:rPr>
                  </w:pPr>
                  <w:r>
                    <w:rPr>
                      <w:color w:val="auto"/>
                      <w:szCs w:val="21"/>
                      <w:highlight w:val="none"/>
                    </w:rPr>
                    <w:t>理化性质</w:t>
                  </w:r>
                </w:p>
              </w:tc>
              <w:tc>
                <w:tcPr>
                  <w:tcW w:w="1687" w:type="pct"/>
                  <w:noWrap w:val="0"/>
                  <w:vAlign w:val="top"/>
                </w:tcPr>
                <w:p w14:paraId="14EBB97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auto"/>
                      <w:szCs w:val="21"/>
                      <w:highlight w:val="none"/>
                    </w:rPr>
                  </w:pPr>
                  <w:r>
                    <w:rPr>
                      <w:color w:val="auto"/>
                      <w:szCs w:val="21"/>
                      <w:highlight w:val="none"/>
                    </w:rPr>
                    <w:t>性状：</w:t>
                  </w:r>
                  <w:r>
                    <w:rPr>
                      <w:rFonts w:hint="eastAsia"/>
                      <w:color w:val="auto"/>
                      <w:szCs w:val="21"/>
                      <w:highlight w:val="none"/>
                    </w:rPr>
                    <w:t>有色透明液体</w:t>
                  </w:r>
                </w:p>
              </w:tc>
              <w:tc>
                <w:tcPr>
                  <w:tcW w:w="2938" w:type="pct"/>
                  <w:noWrap w:val="0"/>
                  <w:vAlign w:val="top"/>
                </w:tcPr>
                <w:p w14:paraId="1440E57F">
                  <w:pPr>
                    <w:jc w:val="center"/>
                    <w:rPr>
                      <w:rFonts w:hint="default" w:eastAsia="宋体"/>
                      <w:color w:val="auto"/>
                      <w:szCs w:val="21"/>
                      <w:highlight w:val="none"/>
                      <w:lang w:val="en-US" w:eastAsia="zh-CN"/>
                    </w:rPr>
                  </w:pPr>
                  <w:r>
                    <w:rPr>
                      <w:rFonts w:hint="eastAsia"/>
                      <w:color w:val="auto"/>
                      <w:szCs w:val="21"/>
                      <w:highlight w:val="none"/>
                      <w:lang w:val="en-US" w:eastAsia="zh-CN"/>
                    </w:rPr>
                    <w:t>沸点：170~390℃</w:t>
                  </w:r>
                </w:p>
              </w:tc>
            </w:tr>
            <w:tr w14:paraId="4279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374" w:type="pct"/>
                  <w:vMerge w:val="continue"/>
                  <w:noWrap w:val="0"/>
                  <w:vAlign w:val="center"/>
                </w:tcPr>
                <w:p w14:paraId="167C64F9">
                  <w:pPr>
                    <w:jc w:val="center"/>
                    <w:rPr>
                      <w:color w:val="auto"/>
                      <w:szCs w:val="21"/>
                      <w:highlight w:val="yellow"/>
                    </w:rPr>
                  </w:pPr>
                </w:p>
              </w:tc>
              <w:tc>
                <w:tcPr>
                  <w:tcW w:w="1687" w:type="pct"/>
                  <w:noWrap w:val="0"/>
                  <w:vAlign w:val="top"/>
                </w:tcPr>
                <w:p w14:paraId="77E4BA7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闪点：38℃</w:t>
                  </w:r>
                </w:p>
              </w:tc>
              <w:tc>
                <w:tcPr>
                  <w:tcW w:w="2938" w:type="pct"/>
                  <w:noWrap w:val="0"/>
                  <w:vAlign w:val="top"/>
                </w:tcPr>
                <w:p w14:paraId="7B9A61D1">
                  <w:pPr>
                    <w:jc w:val="center"/>
                    <w:rPr>
                      <w:rFonts w:hint="default"/>
                      <w:color w:val="auto"/>
                      <w:szCs w:val="21"/>
                      <w:highlight w:val="none"/>
                      <w:vertAlign w:val="baseline"/>
                      <w:lang w:val="en-US" w:eastAsia="zh-CN"/>
                    </w:rPr>
                  </w:pPr>
                  <w:r>
                    <w:rPr>
                      <w:rFonts w:hint="eastAsia"/>
                      <w:color w:val="auto"/>
                      <w:szCs w:val="21"/>
                      <w:highlight w:val="none"/>
                      <w:lang w:val="en-US" w:eastAsia="zh-CN"/>
                    </w:rPr>
                    <w:t>密度：0.82~0.845g/cm</w:t>
                  </w:r>
                  <w:r>
                    <w:rPr>
                      <w:rFonts w:hint="eastAsia"/>
                      <w:color w:val="auto"/>
                      <w:szCs w:val="21"/>
                      <w:highlight w:val="none"/>
                      <w:vertAlign w:val="superscript"/>
                      <w:lang w:val="en-US" w:eastAsia="zh-CN"/>
                    </w:rPr>
                    <w:t>3</w:t>
                  </w:r>
                </w:p>
              </w:tc>
            </w:tr>
            <w:tr w14:paraId="65EA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374" w:type="pct"/>
                  <w:vMerge w:val="continue"/>
                  <w:noWrap w:val="0"/>
                  <w:vAlign w:val="center"/>
                </w:tcPr>
                <w:p w14:paraId="3DD7E8F4">
                  <w:pPr>
                    <w:widowControl/>
                    <w:jc w:val="center"/>
                    <w:rPr>
                      <w:color w:val="auto"/>
                      <w:szCs w:val="21"/>
                      <w:highlight w:val="yellow"/>
                    </w:rPr>
                  </w:pPr>
                </w:p>
              </w:tc>
              <w:tc>
                <w:tcPr>
                  <w:tcW w:w="1687" w:type="pct"/>
                  <w:noWrap w:val="0"/>
                  <w:vAlign w:val="center"/>
                </w:tcPr>
                <w:p w14:paraId="40C5DBF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auto"/>
                      <w:szCs w:val="21"/>
                      <w:highlight w:val="none"/>
                    </w:rPr>
                  </w:pPr>
                  <w:r>
                    <w:rPr>
                      <w:color w:val="auto"/>
                      <w:szCs w:val="21"/>
                      <w:highlight w:val="none"/>
                    </w:rPr>
                    <w:t>气味：</w:t>
                  </w:r>
                  <w:r>
                    <w:rPr>
                      <w:rFonts w:hint="eastAsia"/>
                      <w:color w:val="auto"/>
                      <w:szCs w:val="21"/>
                      <w:highlight w:val="none"/>
                    </w:rPr>
                    <w:t>有色透明液体</w:t>
                  </w:r>
                </w:p>
              </w:tc>
              <w:tc>
                <w:tcPr>
                  <w:tcW w:w="2938" w:type="pct"/>
                  <w:noWrap w:val="0"/>
                  <w:vAlign w:val="center"/>
                </w:tcPr>
                <w:p w14:paraId="61E06E6F">
                  <w:pPr>
                    <w:jc w:val="center"/>
                    <w:rPr>
                      <w:color w:val="auto"/>
                      <w:szCs w:val="21"/>
                      <w:highlight w:val="none"/>
                    </w:rPr>
                  </w:pPr>
                  <w:r>
                    <w:rPr>
                      <w:rFonts w:hint="eastAsia"/>
                      <w:color w:val="auto"/>
                      <w:szCs w:val="21"/>
                      <w:highlight w:val="none"/>
                    </w:rPr>
                    <w:t>热值为3.3×10</w:t>
                  </w:r>
                  <w:r>
                    <w:rPr>
                      <w:rFonts w:hint="eastAsia"/>
                      <w:color w:val="auto"/>
                      <w:szCs w:val="21"/>
                      <w:highlight w:val="none"/>
                      <w:vertAlign w:val="superscript"/>
                    </w:rPr>
                    <w:t>7</w:t>
                  </w:r>
                  <w:r>
                    <w:rPr>
                      <w:rFonts w:hint="eastAsia"/>
                      <w:color w:val="auto"/>
                      <w:szCs w:val="21"/>
                      <w:highlight w:val="none"/>
                    </w:rPr>
                    <w:t>J/L</w:t>
                  </w:r>
                </w:p>
              </w:tc>
            </w:tr>
            <w:tr w14:paraId="7844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374" w:type="pct"/>
                  <w:vMerge w:val="continue"/>
                  <w:noWrap w:val="0"/>
                  <w:vAlign w:val="center"/>
                </w:tcPr>
                <w:p w14:paraId="66296254">
                  <w:pPr>
                    <w:widowControl/>
                    <w:jc w:val="center"/>
                    <w:rPr>
                      <w:color w:val="auto"/>
                      <w:szCs w:val="21"/>
                      <w:highlight w:val="yellow"/>
                    </w:rPr>
                  </w:pPr>
                </w:p>
              </w:tc>
              <w:tc>
                <w:tcPr>
                  <w:tcW w:w="4625" w:type="pct"/>
                  <w:gridSpan w:val="2"/>
                  <w:noWrap w:val="0"/>
                  <w:vAlign w:val="top"/>
                </w:tcPr>
                <w:p w14:paraId="117B8BA3">
                  <w:pPr>
                    <w:jc w:val="center"/>
                    <w:rPr>
                      <w:color w:val="auto"/>
                      <w:szCs w:val="21"/>
                      <w:highlight w:val="none"/>
                    </w:rPr>
                  </w:pPr>
                  <w:r>
                    <w:rPr>
                      <w:color w:val="auto"/>
                      <w:szCs w:val="21"/>
                      <w:highlight w:val="none"/>
                    </w:rPr>
                    <w:t>燃烧性</w:t>
                  </w:r>
                  <w:r>
                    <w:rPr>
                      <w:rFonts w:hint="eastAsia"/>
                      <w:color w:val="auto"/>
                      <w:szCs w:val="21"/>
                      <w:highlight w:val="none"/>
                      <w:lang w:eastAsia="zh-CN"/>
                    </w:rPr>
                    <w:t>：</w:t>
                  </w:r>
                  <w:r>
                    <w:rPr>
                      <w:rFonts w:hint="eastAsia"/>
                      <w:color w:val="auto"/>
                      <w:szCs w:val="21"/>
                      <w:highlight w:val="none"/>
                      <w:lang w:val="en-US" w:eastAsia="zh-CN"/>
                    </w:rPr>
                    <w:t>难溶于水，易溶于醇和其他有机溶剂</w:t>
                  </w:r>
                  <w:r>
                    <w:rPr>
                      <w:rFonts w:hint="eastAsia"/>
                      <w:color w:val="auto"/>
                      <w:szCs w:val="21"/>
                      <w:highlight w:val="none"/>
                    </w:rPr>
                    <w:t>。</w:t>
                  </w:r>
                </w:p>
              </w:tc>
            </w:tr>
            <w:tr w14:paraId="0F9A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374" w:type="pct"/>
                  <w:noWrap w:val="0"/>
                  <w:vAlign w:val="center"/>
                </w:tcPr>
                <w:p w14:paraId="7D6E549F">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稳定性和危险性</w:t>
                  </w:r>
                </w:p>
              </w:tc>
              <w:tc>
                <w:tcPr>
                  <w:tcW w:w="4625" w:type="pct"/>
                  <w:gridSpan w:val="2"/>
                  <w:noWrap w:val="0"/>
                  <w:vAlign w:val="top"/>
                </w:tcPr>
                <w:p w14:paraId="4DA31CEC">
                  <w:pPr>
                    <w:jc w:val="both"/>
                    <w:rPr>
                      <w:rFonts w:hint="eastAsia"/>
                      <w:color w:val="auto"/>
                      <w:szCs w:val="21"/>
                      <w:highlight w:val="none"/>
                    </w:rPr>
                  </w:pPr>
                  <w:r>
                    <w:rPr>
                      <w:rFonts w:hint="eastAsia"/>
                      <w:color w:val="auto"/>
                      <w:szCs w:val="21"/>
                      <w:highlight w:val="none"/>
                    </w:rPr>
                    <w:t>稳定性</w:t>
                  </w:r>
                  <w:r>
                    <w:rPr>
                      <w:rFonts w:hint="eastAsia"/>
                      <w:color w:val="auto"/>
                      <w:szCs w:val="21"/>
                      <w:highlight w:val="none"/>
                      <w:lang w:eastAsia="zh-CN"/>
                    </w:rPr>
                    <w:t>：</w:t>
                  </w:r>
                  <w:r>
                    <w:rPr>
                      <w:rFonts w:hint="eastAsia"/>
                      <w:color w:val="auto"/>
                      <w:szCs w:val="21"/>
                      <w:highlight w:val="none"/>
                    </w:rPr>
                    <w:t>化学性质很稳定。</w:t>
                  </w:r>
                </w:p>
                <w:p w14:paraId="6AD8F557">
                  <w:pPr>
                    <w:jc w:val="center"/>
                    <w:rPr>
                      <w:color w:val="auto"/>
                      <w:szCs w:val="21"/>
                      <w:highlight w:val="none"/>
                    </w:rPr>
                  </w:pPr>
                  <w:r>
                    <w:rPr>
                      <w:rFonts w:hint="eastAsia"/>
                      <w:color w:val="auto"/>
                      <w:szCs w:val="21"/>
                      <w:highlight w:val="none"/>
                    </w:rPr>
                    <w:t>危险性</w:t>
                  </w:r>
                  <w:r>
                    <w:rPr>
                      <w:rFonts w:hint="eastAsia"/>
                      <w:color w:val="auto"/>
                      <w:szCs w:val="21"/>
                      <w:highlight w:val="none"/>
                      <w:lang w:eastAsia="zh-CN"/>
                    </w:rPr>
                    <w:t>：</w:t>
                  </w:r>
                  <w:r>
                    <w:rPr>
                      <w:rFonts w:hint="eastAsia"/>
                      <w:color w:val="auto"/>
                      <w:szCs w:val="21"/>
                      <w:highlight w:val="none"/>
                    </w:rPr>
                    <w:t>柴油属于易燃物，其蒸气在60℃时遇明火会燃烧，燃烧放出大量热</w:t>
                  </w:r>
                  <w:r>
                    <w:rPr>
                      <w:rFonts w:hint="eastAsia"/>
                      <w:color w:val="auto"/>
                      <w:szCs w:val="21"/>
                      <w:highlight w:val="none"/>
                      <w:lang w:eastAsia="zh-CN"/>
                    </w:rPr>
                    <w:t>：</w:t>
                  </w:r>
                  <w:r>
                    <w:rPr>
                      <w:rFonts w:hint="eastAsia"/>
                      <w:color w:val="auto"/>
                      <w:szCs w:val="21"/>
                      <w:highlight w:val="none"/>
                    </w:rPr>
                    <w:t>柴油是电的不良导体，在运输、灌装过程中，油分子之间、柴油与其他物质之间的摩擦会产生静电，产生电火花。燃烧产物</w:t>
                  </w:r>
                  <w:r>
                    <w:rPr>
                      <w:rFonts w:hint="eastAsia"/>
                      <w:color w:val="auto"/>
                      <w:szCs w:val="21"/>
                      <w:highlight w:val="none"/>
                      <w:lang w:eastAsia="zh-CN"/>
                    </w:rPr>
                    <w:t>：</w:t>
                  </w:r>
                  <w:r>
                    <w:rPr>
                      <w:rFonts w:hint="eastAsia"/>
                      <w:color w:val="auto"/>
                      <w:szCs w:val="21"/>
                      <w:highlight w:val="none"/>
                    </w:rPr>
                    <w:t>内燃机燃烧柴油所产生的废气含有氨氧化物、一氧化碳、氧化碳、醛类和不完全燃烧时的大量黑烟。黑烟中有未经燃烧的油、碳粒，一些高沸点的杂环和芳烃物质，并有些致癌物如3</w:t>
                  </w:r>
                  <w:r>
                    <w:rPr>
                      <w:rFonts w:hint="eastAsia"/>
                      <w:color w:val="auto"/>
                      <w:szCs w:val="21"/>
                      <w:highlight w:val="none"/>
                      <w:lang w:eastAsia="zh-CN"/>
                    </w:rPr>
                    <w:t>，</w:t>
                  </w:r>
                  <w:r>
                    <w:rPr>
                      <w:rFonts w:hint="eastAsia"/>
                      <w:color w:val="auto"/>
                      <w:szCs w:val="21"/>
                      <w:highlight w:val="none"/>
                    </w:rPr>
                    <w:t>4-</w:t>
                  </w:r>
                  <w:r>
                    <w:rPr>
                      <w:rFonts w:hint="eastAsia"/>
                      <w:color w:val="auto"/>
                      <w:szCs w:val="21"/>
                      <w:highlight w:val="none"/>
                      <w:lang w:val="en-US" w:eastAsia="zh-CN"/>
                    </w:rPr>
                    <w:t>苯</w:t>
                  </w:r>
                  <w:r>
                    <w:rPr>
                      <w:rFonts w:hint="eastAsia"/>
                      <w:color w:val="auto"/>
                      <w:szCs w:val="21"/>
                      <w:highlight w:val="none"/>
                    </w:rPr>
                    <w:t>并芘，可造成污染。</w:t>
                  </w:r>
                </w:p>
              </w:tc>
            </w:tr>
            <w:tr w14:paraId="65E4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14:paraId="05A25C27">
                  <w:pPr>
                    <w:jc w:val="left"/>
                    <w:rPr>
                      <w:color w:val="auto"/>
                      <w:szCs w:val="21"/>
                      <w:highlight w:val="none"/>
                    </w:rPr>
                  </w:pPr>
                  <w:r>
                    <w:rPr>
                      <w:color w:val="auto"/>
                      <w:szCs w:val="21"/>
                      <w:highlight w:val="none"/>
                    </w:rPr>
                    <w:t>毒性</w:t>
                  </w:r>
                </w:p>
              </w:tc>
              <w:tc>
                <w:tcPr>
                  <w:tcW w:w="4625" w:type="pct"/>
                  <w:gridSpan w:val="2"/>
                  <w:noWrap w:val="0"/>
                  <w:vAlign w:val="top"/>
                </w:tcPr>
                <w:p w14:paraId="164DD582">
                  <w:pPr>
                    <w:jc w:val="left"/>
                    <w:rPr>
                      <w:color w:val="auto"/>
                      <w:szCs w:val="21"/>
                      <w:highlight w:val="none"/>
                    </w:rPr>
                  </w:pPr>
                  <w:r>
                    <w:rPr>
                      <w:rFonts w:hint="eastAsia"/>
                      <w:color w:val="auto"/>
                      <w:szCs w:val="21"/>
                      <w:highlight w:val="none"/>
                    </w:rPr>
                    <w:t>侵入途径</w:t>
                  </w:r>
                  <w:r>
                    <w:rPr>
                      <w:rFonts w:hint="eastAsia"/>
                      <w:color w:val="auto"/>
                      <w:szCs w:val="21"/>
                      <w:highlight w:val="none"/>
                      <w:lang w:eastAsia="zh-CN"/>
                    </w:rPr>
                    <w:t>：</w:t>
                  </w:r>
                  <w:r>
                    <w:rPr>
                      <w:rFonts w:hint="eastAsia"/>
                      <w:color w:val="auto"/>
                      <w:szCs w:val="21"/>
                      <w:highlight w:val="none"/>
                    </w:rPr>
                    <w:t>皮肤吸收、呼吸道吸入。健康</w:t>
                  </w:r>
                  <w:r>
                    <w:rPr>
                      <w:rFonts w:hint="eastAsia"/>
                      <w:color w:val="auto"/>
                      <w:szCs w:val="21"/>
                      <w:highlight w:val="none"/>
                      <w:lang w:eastAsia="zh-CN"/>
                    </w:rPr>
                    <w:t>：</w:t>
                  </w:r>
                  <w:r>
                    <w:rPr>
                      <w:rFonts w:hint="eastAsia"/>
                      <w:color w:val="auto"/>
                      <w:szCs w:val="21"/>
                      <w:highlight w:val="none"/>
                    </w:rPr>
                    <w:t>柴油有麻醉和刺激作用，柴油的雾滴吸入后可致吸入性肺炎，皮肤接触柴油可致接触性皮炎，可引起眼、异刺激症状、头晕和头痛。</w:t>
                  </w:r>
                </w:p>
              </w:tc>
            </w:tr>
          </w:tbl>
          <w:p w14:paraId="7872B0DF">
            <w:pPr>
              <w:pStyle w:val="4"/>
              <w:numPr>
                <w:ilvl w:val="0"/>
                <w:numId w:val="0"/>
              </w:numPr>
              <w:spacing w:before="120" w:after="120" w:line="360" w:lineRule="auto"/>
              <w:ind w:left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(2)生产系统危险性识别</w:t>
            </w:r>
          </w:p>
          <w:p w14:paraId="18B3BE36">
            <w:pPr>
              <w:spacing w:line="360" w:lineRule="auto"/>
              <w:ind w:firstLine="420" w:firstLineChars="200"/>
              <w:rPr>
                <w:color w:val="auto"/>
              </w:rPr>
            </w:pPr>
            <w:r>
              <w:rPr>
                <w:rFonts w:hint="eastAsia"/>
                <w:color w:val="auto"/>
              </w:rPr>
              <w:t>根据事故类比调查和统计，结合对项目各工艺过程的分析，本项目生产系统可能存在的风险有：</w:t>
            </w:r>
          </w:p>
          <w:p w14:paraId="0926FE3A">
            <w:pPr>
              <w:spacing w:line="360" w:lineRule="auto"/>
              <w:ind w:firstLine="420" w:firstLineChars="200"/>
              <w:rPr>
                <w:color w:val="auto"/>
                <w:szCs w:val="21"/>
              </w:rPr>
            </w:pPr>
            <w:r>
              <w:rPr>
                <w:rFonts w:hint="eastAsia"/>
                <w:color w:val="auto"/>
                <w:szCs w:val="21"/>
              </w:rPr>
              <w:t>1、</w:t>
            </w:r>
            <w:r>
              <w:rPr>
                <w:color w:val="auto"/>
                <w:szCs w:val="21"/>
              </w:rPr>
              <w:t>主要生产装置</w:t>
            </w:r>
          </w:p>
          <w:p w14:paraId="34BB6E75">
            <w:pPr>
              <w:pStyle w:val="108"/>
              <w:ind w:firstLine="420"/>
              <w:rPr>
                <w:rFonts w:hint="eastAsia" w:eastAsia="宋体"/>
                <w:color w:val="auto"/>
                <w:sz w:val="21"/>
                <w:szCs w:val="21"/>
                <w:lang w:val="en-US" w:eastAsia="zh-CN"/>
              </w:rPr>
            </w:pPr>
            <w:r>
              <w:rPr>
                <w:rFonts w:hint="eastAsia"/>
                <w:color w:val="auto"/>
                <w:sz w:val="21"/>
                <w:szCs w:val="21"/>
                <w:lang w:val="en-US" w:eastAsia="zh-CN"/>
              </w:rPr>
              <w:t>本项目进行玻璃制品生产加工，玻璃熔窑加热温度较高，主要采用管道天然气作为能源，其他生产工序，如退火、抛光的工序使用液化石油气作为能源，</w:t>
            </w:r>
            <w:r>
              <w:rPr>
                <w:color w:val="auto"/>
                <w:sz w:val="21"/>
                <w:szCs w:val="21"/>
              </w:rPr>
              <w:t>物料泄露遇明火可能导致火灾、爆炸事故。</w:t>
            </w:r>
            <w:r>
              <w:rPr>
                <w:rFonts w:hint="eastAsia"/>
                <w:color w:val="auto"/>
                <w:sz w:val="21"/>
                <w:szCs w:val="21"/>
                <w:lang w:val="en-US" w:eastAsia="zh-CN"/>
              </w:rPr>
              <w:t>火灾、爆炸等事故可能伴随着CO等次生污染物的产生和扩散，造成人员中毒等危险。</w:t>
            </w:r>
            <w:r>
              <w:rPr>
                <w:color w:val="auto"/>
                <w:sz w:val="21"/>
                <w:szCs w:val="21"/>
              </w:rPr>
              <w:t>在泄漏以及火灾事故的消防应急处置过程中，会产生大量携带泄漏物料的消防水，如不当操作有引发二次水污染的可能。</w:t>
            </w:r>
          </w:p>
          <w:p w14:paraId="24A8D684">
            <w:pPr>
              <w:pStyle w:val="108"/>
              <w:ind w:firstLine="420"/>
              <w:rPr>
                <w:color w:val="auto"/>
                <w:sz w:val="21"/>
                <w:szCs w:val="21"/>
              </w:rPr>
            </w:pPr>
            <w:r>
              <w:rPr>
                <w:color w:val="auto"/>
                <w:sz w:val="21"/>
                <w:szCs w:val="21"/>
              </w:rPr>
              <w:t>2、储运设施</w:t>
            </w:r>
          </w:p>
          <w:p w14:paraId="563E5B7B">
            <w:pPr>
              <w:pStyle w:val="108"/>
              <w:ind w:firstLine="420"/>
              <w:rPr>
                <w:rFonts w:hint="default"/>
                <w:color w:val="auto"/>
                <w:sz w:val="21"/>
                <w:szCs w:val="21"/>
                <w:lang w:val="en-US"/>
              </w:rPr>
            </w:pPr>
            <w:r>
              <w:rPr>
                <w:color w:val="auto"/>
                <w:sz w:val="21"/>
                <w:szCs w:val="21"/>
              </w:rPr>
              <w:t>本项目原辅材料</w:t>
            </w:r>
            <w:r>
              <w:rPr>
                <w:rFonts w:hint="eastAsia"/>
                <w:color w:val="auto"/>
                <w:sz w:val="21"/>
                <w:szCs w:val="21"/>
                <w:lang w:val="en-US" w:eastAsia="zh-CN"/>
              </w:rPr>
              <w:t>涉及天然气、液化石油气、</w:t>
            </w:r>
            <w:r>
              <w:rPr>
                <w:rFonts w:hint="eastAsia" w:hAnsi="宋体"/>
                <w:color w:val="auto"/>
                <w:sz w:val="21"/>
                <w:szCs w:val="21"/>
                <w:lang w:val="en-US" w:eastAsia="zh-CN"/>
              </w:rPr>
              <w:t>柴油</w:t>
            </w:r>
            <w:r>
              <w:rPr>
                <w:rFonts w:hint="eastAsia" w:hAnsi="宋体"/>
                <w:color w:val="auto"/>
                <w:sz w:val="21"/>
                <w:szCs w:val="21"/>
              </w:rPr>
              <w:t>、</w:t>
            </w:r>
            <w:r>
              <w:rPr>
                <w:rFonts w:hint="eastAsia" w:hAnsi="宋体"/>
                <w:color w:val="auto"/>
                <w:sz w:val="21"/>
                <w:szCs w:val="21"/>
                <w:lang w:val="en-US" w:eastAsia="zh-CN"/>
              </w:rPr>
              <w:t>机油及脱硝还原剂氨水</w:t>
            </w:r>
            <w:r>
              <w:rPr>
                <w:color w:val="auto"/>
                <w:sz w:val="21"/>
                <w:szCs w:val="21"/>
              </w:rPr>
              <w:t>，</w:t>
            </w:r>
            <w:r>
              <w:rPr>
                <w:rFonts w:hint="eastAsia"/>
                <w:color w:val="auto"/>
                <w:sz w:val="21"/>
                <w:szCs w:val="21"/>
                <w:lang w:val="en-US" w:eastAsia="zh-CN"/>
              </w:rPr>
              <w:t>柴油存储位于柴油机房，机油存储位于辅料库，废机油暂存于危废间</w:t>
            </w:r>
            <w:r>
              <w:rPr>
                <w:rFonts w:hint="eastAsia"/>
                <w:color w:val="auto"/>
                <w:sz w:val="21"/>
                <w:szCs w:val="21"/>
                <w:lang w:eastAsia="zh-CN"/>
              </w:rPr>
              <w:t>，</w:t>
            </w:r>
            <w:r>
              <w:rPr>
                <w:rFonts w:hint="eastAsia"/>
                <w:color w:val="auto"/>
                <w:sz w:val="21"/>
                <w:szCs w:val="21"/>
                <w:lang w:val="en-US" w:eastAsia="zh-CN"/>
              </w:rPr>
              <w:t>氨水位于罐区，各类液体物料</w:t>
            </w:r>
            <w:r>
              <w:rPr>
                <w:color w:val="auto"/>
                <w:sz w:val="21"/>
                <w:szCs w:val="21"/>
              </w:rPr>
              <w:t>存放或使用不当也会发生泄漏事故的风险。</w:t>
            </w:r>
            <w:r>
              <w:rPr>
                <w:rFonts w:hint="eastAsia"/>
                <w:color w:val="auto"/>
                <w:sz w:val="21"/>
                <w:szCs w:val="21"/>
                <w:lang w:val="en-US"/>
              </w:rPr>
              <w:t>若</w:t>
            </w:r>
            <w:r>
              <w:rPr>
                <w:rFonts w:hint="eastAsia"/>
                <w:color w:val="auto"/>
                <w:sz w:val="21"/>
                <w:szCs w:val="21"/>
                <w:lang w:val="en-US" w:eastAsia="zh-CN"/>
              </w:rPr>
              <w:t>天气燃气管道破损、</w:t>
            </w:r>
            <w:r>
              <w:rPr>
                <w:rFonts w:hint="eastAsia"/>
                <w:color w:val="auto"/>
                <w:sz w:val="21"/>
                <w:szCs w:val="21"/>
                <w:lang w:val="en-US"/>
              </w:rPr>
              <w:t>各辅料罐、</w:t>
            </w:r>
            <w:r>
              <w:rPr>
                <w:rFonts w:hint="eastAsia"/>
                <w:color w:val="auto"/>
                <w:sz w:val="21"/>
                <w:szCs w:val="21"/>
                <w:lang w:val="en-US" w:eastAsia="zh-CN"/>
              </w:rPr>
              <w:t>燃料</w:t>
            </w:r>
            <w:r>
              <w:rPr>
                <w:rFonts w:hint="eastAsia"/>
                <w:color w:val="auto"/>
                <w:sz w:val="21"/>
                <w:szCs w:val="21"/>
                <w:lang w:val="en-US"/>
              </w:rPr>
              <w:t>输送管道破损</w:t>
            </w:r>
            <w:r>
              <w:rPr>
                <w:color w:val="auto"/>
                <w:sz w:val="21"/>
                <w:szCs w:val="21"/>
              </w:rPr>
              <w:t>，物料泄露遇明火可能导致火灾、爆炸事故。</w:t>
            </w:r>
            <w:r>
              <w:rPr>
                <w:rFonts w:hint="eastAsia"/>
                <w:color w:val="auto"/>
                <w:sz w:val="21"/>
                <w:szCs w:val="21"/>
                <w:lang w:val="en-US" w:eastAsia="zh-CN"/>
              </w:rPr>
              <w:t>火灾、爆炸等事故可能伴随着CO等次生污染物的产生和扩散，造成人员中毒等危险。氨水泄漏逸散挥发氨气。</w:t>
            </w:r>
          </w:p>
          <w:p w14:paraId="0ED7B8DF">
            <w:pPr>
              <w:pStyle w:val="108"/>
              <w:ind w:left="420" w:leftChars="200" w:firstLine="0" w:firstLineChars="0"/>
              <w:rPr>
                <w:color w:val="auto"/>
                <w:sz w:val="21"/>
                <w:szCs w:val="21"/>
              </w:rPr>
            </w:pPr>
            <w:r>
              <w:rPr>
                <w:color w:val="auto"/>
                <w:sz w:val="21"/>
                <w:szCs w:val="21"/>
              </w:rPr>
              <w:t>3、环保措施</w:t>
            </w:r>
          </w:p>
          <w:p w14:paraId="510E486A">
            <w:pPr>
              <w:pStyle w:val="108"/>
              <w:ind w:firstLine="420"/>
              <w:rPr>
                <w:color w:val="auto"/>
                <w:sz w:val="21"/>
                <w:szCs w:val="21"/>
              </w:rPr>
            </w:pPr>
            <w:r>
              <w:rPr>
                <w:color w:val="auto"/>
                <w:sz w:val="21"/>
                <w:szCs w:val="21"/>
              </w:rPr>
              <w:t>（1）废气处理措施环境风险识别：本项目产生的</w:t>
            </w:r>
            <w:r>
              <w:rPr>
                <w:rFonts w:hint="eastAsia"/>
                <w:color w:val="auto"/>
                <w:sz w:val="21"/>
                <w:szCs w:val="21"/>
                <w:lang w:val="en-US" w:eastAsia="zh-CN"/>
              </w:rPr>
              <w:t>熔窑废气</w:t>
            </w:r>
            <w:r>
              <w:rPr>
                <w:color w:val="auto"/>
                <w:sz w:val="21"/>
                <w:szCs w:val="21"/>
              </w:rPr>
              <w:t>采用</w:t>
            </w:r>
            <w:r>
              <w:rPr>
                <w:rFonts w:hint="eastAsia"/>
                <w:color w:val="auto"/>
                <w:sz w:val="21"/>
                <w:szCs w:val="21"/>
                <w:lang w:val="en-US" w:eastAsia="zh-CN"/>
              </w:rPr>
              <w:t>陶瓷纤维脱硝除尘一体烟气净化系统（调质脱硫塔+陶瓷滤筒脱硝除尘）</w:t>
            </w:r>
            <w:r>
              <w:rPr>
                <w:color w:val="auto"/>
                <w:sz w:val="21"/>
                <w:szCs w:val="21"/>
              </w:rPr>
              <w:t>处理，若废气处理装置发生故障，不能正常运行，则会造成</w:t>
            </w:r>
            <w:r>
              <w:rPr>
                <w:rFonts w:hint="eastAsia"/>
                <w:color w:val="auto"/>
                <w:sz w:val="21"/>
                <w:szCs w:val="21"/>
                <w:lang w:val="en-US" w:eastAsia="zh-CN"/>
              </w:rPr>
              <w:t>烟尘、氮氧化物</w:t>
            </w:r>
            <w:r>
              <w:rPr>
                <w:color w:val="auto"/>
                <w:sz w:val="21"/>
                <w:szCs w:val="21"/>
              </w:rPr>
              <w:t>超标排放；</w:t>
            </w:r>
          </w:p>
          <w:p w14:paraId="6E074128">
            <w:pPr>
              <w:pStyle w:val="108"/>
              <w:ind w:firstLine="420"/>
              <w:rPr>
                <w:color w:val="auto"/>
                <w:sz w:val="21"/>
                <w:szCs w:val="21"/>
              </w:rPr>
            </w:pPr>
            <w:r>
              <w:rPr>
                <w:color w:val="auto"/>
                <w:sz w:val="21"/>
                <w:szCs w:val="21"/>
              </w:rPr>
              <w:t>（2）废水处理措施环境风险识别：本项目废水主要是生活污水，经化粪池处理后进污水处理厂处理后达标排放，风险性较小；</w:t>
            </w:r>
          </w:p>
          <w:p w14:paraId="0D62C8D2">
            <w:pPr>
              <w:pStyle w:val="108"/>
              <w:ind w:firstLine="420"/>
              <w:rPr>
                <w:color w:val="auto"/>
                <w:sz w:val="21"/>
                <w:szCs w:val="21"/>
              </w:rPr>
            </w:pPr>
            <w:r>
              <w:rPr>
                <w:color w:val="auto"/>
                <w:sz w:val="21"/>
                <w:szCs w:val="21"/>
              </w:rPr>
              <w:t>（3）企业产生的危废可能存在的环境风险：无危险废物台账或危险废物台账不完整、危险废弃物去向不明、危险废物随意堆放等增加环境风险概率。</w:t>
            </w:r>
          </w:p>
          <w:p w14:paraId="7E626F8D">
            <w:pPr>
              <w:spacing w:line="360" w:lineRule="auto"/>
              <w:ind w:firstLine="420" w:firstLineChars="200"/>
              <w:rPr>
                <w:color w:val="auto"/>
                <w:szCs w:val="21"/>
              </w:rPr>
            </w:pPr>
            <w:r>
              <w:rPr>
                <w:rFonts w:hint="eastAsia"/>
                <w:color w:val="auto"/>
                <w:szCs w:val="21"/>
              </w:rPr>
              <w:t>通过对本项目各类风险事故分析可知：造成风险事故的隐患取决于安全管理、操作管理水平等方面，事故发生往往是因为安全管理方面的疏忽，在异常状态下，生产设备和工艺方面潜伏下来的一些事故隐患纷纷暴露出来，最终酿成灾难事故，因此，选用先进的工艺、设备，完善安全设施以及提高水平管理是减少事故发生的重要因素。</w:t>
            </w:r>
            <w:r>
              <w:rPr>
                <w:rFonts w:hAnsi="宋体"/>
                <w:color w:val="auto"/>
                <w:szCs w:val="21"/>
              </w:rPr>
              <w:t>拟建项目危险单元识别详见表</w:t>
            </w:r>
            <w:r>
              <w:rPr>
                <w:rFonts w:hint="eastAsia"/>
                <w:color w:val="auto"/>
                <w:szCs w:val="21"/>
              </w:rPr>
              <w:t>7-2</w:t>
            </w:r>
            <w:r>
              <w:rPr>
                <w:rFonts w:hint="eastAsia"/>
                <w:color w:val="auto"/>
                <w:szCs w:val="21"/>
                <w:lang w:val="en-US" w:eastAsia="zh-CN"/>
              </w:rPr>
              <w:t>0</w:t>
            </w:r>
            <w:r>
              <w:rPr>
                <w:rFonts w:hAnsi="宋体"/>
                <w:color w:val="auto"/>
                <w:szCs w:val="21"/>
              </w:rPr>
              <w:t>。</w:t>
            </w:r>
          </w:p>
          <w:p w14:paraId="6B409181">
            <w:pPr>
              <w:widowControl/>
              <w:spacing w:line="360" w:lineRule="auto"/>
              <w:jc w:val="center"/>
              <w:rPr>
                <w:rFonts w:hint="eastAsia"/>
                <w:b/>
                <w:color w:val="auto"/>
                <w:kern w:val="0"/>
                <w:szCs w:val="21"/>
              </w:rPr>
            </w:pPr>
            <w:r>
              <w:rPr>
                <w:b/>
                <w:color w:val="auto"/>
                <w:kern w:val="0"/>
                <w:szCs w:val="21"/>
              </w:rPr>
              <w:t>表</w:t>
            </w:r>
            <w:r>
              <w:rPr>
                <w:rFonts w:hint="eastAsia"/>
                <w:b/>
                <w:color w:val="auto"/>
                <w:kern w:val="0"/>
                <w:szCs w:val="21"/>
              </w:rPr>
              <w:t>7-2</w:t>
            </w:r>
            <w:r>
              <w:rPr>
                <w:rFonts w:hint="eastAsia"/>
                <w:b/>
                <w:color w:val="auto"/>
                <w:kern w:val="0"/>
                <w:szCs w:val="21"/>
                <w:lang w:val="en-US" w:eastAsia="zh-CN"/>
              </w:rPr>
              <w:t>0</w:t>
            </w:r>
            <w:r>
              <w:rPr>
                <w:b/>
                <w:color w:val="auto"/>
                <w:kern w:val="0"/>
                <w:szCs w:val="21"/>
              </w:rPr>
              <w:t xml:space="preserve">  项目危险单元</w:t>
            </w:r>
            <w:r>
              <w:rPr>
                <w:rFonts w:hint="eastAsia"/>
                <w:b/>
                <w:color w:val="auto"/>
                <w:kern w:val="0"/>
                <w:szCs w:val="21"/>
              </w:rPr>
              <w:t>识别表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04"/>
              <w:gridCol w:w="1205"/>
              <w:gridCol w:w="2007"/>
              <w:gridCol w:w="2004"/>
              <w:gridCol w:w="2177"/>
            </w:tblGrid>
            <w:tr w14:paraId="12E8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6E6B2463">
                  <w:pPr>
                    <w:snapToGrid w:val="0"/>
                    <w:jc w:val="center"/>
                    <w:rPr>
                      <w:b/>
                      <w:color w:val="auto"/>
                      <w:kern w:val="0"/>
                      <w:szCs w:val="21"/>
                    </w:rPr>
                  </w:pPr>
                  <w:r>
                    <w:rPr>
                      <w:rFonts w:hint="eastAsia"/>
                      <w:b/>
                      <w:color w:val="auto"/>
                      <w:kern w:val="0"/>
                      <w:szCs w:val="21"/>
                    </w:rPr>
                    <w:t>序号</w:t>
                  </w:r>
                </w:p>
              </w:tc>
              <w:tc>
                <w:tcPr>
                  <w:tcW w:w="455" w:type="pct"/>
                  <w:noWrap w:val="0"/>
                  <w:vAlign w:val="center"/>
                </w:tcPr>
                <w:p w14:paraId="0130E43D">
                  <w:pPr>
                    <w:snapToGrid w:val="0"/>
                    <w:jc w:val="center"/>
                    <w:rPr>
                      <w:b/>
                      <w:color w:val="auto"/>
                      <w:kern w:val="0"/>
                      <w:szCs w:val="21"/>
                    </w:rPr>
                  </w:pPr>
                  <w:r>
                    <w:rPr>
                      <w:rFonts w:hint="eastAsia"/>
                      <w:b/>
                      <w:color w:val="auto"/>
                      <w:kern w:val="0"/>
                      <w:szCs w:val="21"/>
                    </w:rPr>
                    <w:t>危险单元</w:t>
                  </w:r>
                </w:p>
              </w:tc>
              <w:tc>
                <w:tcPr>
                  <w:tcW w:w="682" w:type="pct"/>
                  <w:noWrap w:val="0"/>
                  <w:vAlign w:val="center"/>
                </w:tcPr>
                <w:p w14:paraId="0DDFF869">
                  <w:pPr>
                    <w:snapToGrid w:val="0"/>
                    <w:jc w:val="center"/>
                    <w:rPr>
                      <w:b/>
                      <w:color w:val="auto"/>
                      <w:kern w:val="0"/>
                      <w:szCs w:val="21"/>
                    </w:rPr>
                  </w:pPr>
                  <w:r>
                    <w:rPr>
                      <w:rFonts w:hint="eastAsia"/>
                      <w:b/>
                      <w:color w:val="auto"/>
                      <w:kern w:val="0"/>
                      <w:szCs w:val="21"/>
                    </w:rPr>
                    <w:t>风险源</w:t>
                  </w:r>
                </w:p>
              </w:tc>
              <w:tc>
                <w:tcPr>
                  <w:tcW w:w="1135" w:type="pct"/>
                  <w:noWrap w:val="0"/>
                  <w:vAlign w:val="center"/>
                </w:tcPr>
                <w:p w14:paraId="5C8E56B2">
                  <w:pPr>
                    <w:snapToGrid w:val="0"/>
                    <w:jc w:val="center"/>
                    <w:rPr>
                      <w:b/>
                      <w:color w:val="auto"/>
                      <w:kern w:val="0"/>
                      <w:szCs w:val="21"/>
                    </w:rPr>
                  </w:pPr>
                  <w:r>
                    <w:rPr>
                      <w:rFonts w:hint="eastAsia"/>
                      <w:b/>
                      <w:color w:val="auto"/>
                      <w:kern w:val="0"/>
                      <w:szCs w:val="21"/>
                    </w:rPr>
                    <w:t>主要危险物质</w:t>
                  </w:r>
                </w:p>
              </w:tc>
              <w:tc>
                <w:tcPr>
                  <w:tcW w:w="1134" w:type="pct"/>
                  <w:noWrap w:val="0"/>
                  <w:vAlign w:val="center"/>
                </w:tcPr>
                <w:p w14:paraId="58C0A704">
                  <w:pPr>
                    <w:snapToGrid w:val="0"/>
                    <w:jc w:val="center"/>
                    <w:rPr>
                      <w:b/>
                      <w:color w:val="auto"/>
                      <w:kern w:val="0"/>
                      <w:szCs w:val="21"/>
                    </w:rPr>
                  </w:pPr>
                  <w:r>
                    <w:rPr>
                      <w:rFonts w:hint="eastAsia"/>
                      <w:b/>
                      <w:color w:val="auto"/>
                      <w:kern w:val="0"/>
                      <w:szCs w:val="21"/>
                    </w:rPr>
                    <w:t>事故类型</w:t>
                  </w:r>
                </w:p>
              </w:tc>
              <w:tc>
                <w:tcPr>
                  <w:tcW w:w="1232" w:type="pct"/>
                  <w:noWrap w:val="0"/>
                  <w:vAlign w:val="center"/>
                </w:tcPr>
                <w:p w14:paraId="7042B17A">
                  <w:pPr>
                    <w:snapToGrid w:val="0"/>
                    <w:jc w:val="center"/>
                    <w:rPr>
                      <w:b/>
                      <w:color w:val="auto"/>
                      <w:kern w:val="0"/>
                      <w:szCs w:val="21"/>
                    </w:rPr>
                  </w:pPr>
                  <w:r>
                    <w:rPr>
                      <w:rFonts w:hint="eastAsia"/>
                      <w:b/>
                      <w:color w:val="auto"/>
                      <w:kern w:val="0"/>
                      <w:szCs w:val="21"/>
                    </w:rPr>
                    <w:t>原因</w:t>
                  </w:r>
                </w:p>
              </w:tc>
            </w:tr>
            <w:tr w14:paraId="7AD1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60" w:type="pct"/>
                  <w:vMerge w:val="restart"/>
                  <w:noWrap w:val="0"/>
                  <w:vAlign w:val="center"/>
                </w:tcPr>
                <w:p w14:paraId="19E38E4E">
                  <w:pPr>
                    <w:snapToGrid w:val="0"/>
                    <w:jc w:val="center"/>
                    <w:rPr>
                      <w:color w:val="auto"/>
                      <w:kern w:val="0"/>
                      <w:szCs w:val="21"/>
                    </w:rPr>
                  </w:pPr>
                  <w:r>
                    <w:rPr>
                      <w:color w:val="auto"/>
                      <w:kern w:val="0"/>
                      <w:szCs w:val="21"/>
                    </w:rPr>
                    <w:t>1</w:t>
                  </w:r>
                </w:p>
              </w:tc>
              <w:tc>
                <w:tcPr>
                  <w:tcW w:w="455" w:type="pct"/>
                  <w:vMerge w:val="restart"/>
                  <w:noWrap w:val="0"/>
                  <w:vAlign w:val="center"/>
                </w:tcPr>
                <w:p w14:paraId="2B079988">
                  <w:pPr>
                    <w:snapToGrid w:val="0"/>
                    <w:jc w:val="center"/>
                    <w:rPr>
                      <w:color w:val="auto"/>
                      <w:kern w:val="0"/>
                      <w:szCs w:val="21"/>
                    </w:rPr>
                  </w:pPr>
                  <w:r>
                    <w:rPr>
                      <w:color w:val="auto"/>
                      <w:kern w:val="0"/>
                      <w:szCs w:val="21"/>
                    </w:rPr>
                    <w:t>装置区</w:t>
                  </w:r>
                </w:p>
              </w:tc>
              <w:tc>
                <w:tcPr>
                  <w:tcW w:w="682" w:type="pct"/>
                  <w:noWrap w:val="0"/>
                  <w:vAlign w:val="center"/>
                </w:tcPr>
                <w:p w14:paraId="0CCA3D04">
                  <w:pPr>
                    <w:snapToGrid w:val="0"/>
                    <w:jc w:val="center"/>
                    <w:rPr>
                      <w:rFonts w:hint="eastAsia" w:eastAsia="宋体"/>
                      <w:color w:val="auto"/>
                      <w:kern w:val="0"/>
                      <w:szCs w:val="21"/>
                      <w:highlight w:val="yellow"/>
                      <w:lang w:eastAsia="zh-CN"/>
                    </w:rPr>
                  </w:pPr>
                  <w:r>
                    <w:rPr>
                      <w:rFonts w:hint="eastAsia"/>
                      <w:color w:val="auto"/>
                      <w:kern w:val="0"/>
                      <w:szCs w:val="21"/>
                      <w:lang w:val="en-US" w:eastAsia="zh-CN"/>
                    </w:rPr>
                    <w:t>玻璃熔窑</w:t>
                  </w:r>
                </w:p>
              </w:tc>
              <w:tc>
                <w:tcPr>
                  <w:tcW w:w="1135" w:type="pct"/>
                  <w:noWrap w:val="0"/>
                  <w:vAlign w:val="center"/>
                </w:tcPr>
                <w:p w14:paraId="068EA925">
                  <w:pPr>
                    <w:snapToGrid w:val="0"/>
                    <w:jc w:val="center"/>
                    <w:rPr>
                      <w:rFonts w:hint="eastAsia" w:eastAsia="宋体"/>
                      <w:color w:val="auto"/>
                      <w:kern w:val="0"/>
                      <w:szCs w:val="21"/>
                      <w:highlight w:val="yellow"/>
                      <w:lang w:val="en-US" w:eastAsia="zh-CN"/>
                    </w:rPr>
                  </w:pPr>
                  <w:r>
                    <w:rPr>
                      <w:rFonts w:hint="eastAsia"/>
                      <w:color w:val="auto"/>
                      <w:kern w:val="0"/>
                      <w:szCs w:val="21"/>
                      <w:highlight w:val="none"/>
                      <w:lang w:val="en-US" w:eastAsia="zh-CN"/>
                    </w:rPr>
                    <w:t>天然气（甲烷）</w:t>
                  </w:r>
                </w:p>
              </w:tc>
              <w:tc>
                <w:tcPr>
                  <w:tcW w:w="1134" w:type="pct"/>
                  <w:noWrap w:val="0"/>
                  <w:vAlign w:val="center"/>
                </w:tcPr>
                <w:p w14:paraId="7CABB3BA">
                  <w:pPr>
                    <w:snapToGrid w:val="0"/>
                    <w:jc w:val="center"/>
                    <w:rPr>
                      <w:color w:val="auto"/>
                      <w:kern w:val="0"/>
                      <w:szCs w:val="21"/>
                      <w:highlight w:val="yellow"/>
                    </w:rPr>
                  </w:pPr>
                  <w:r>
                    <w:rPr>
                      <w:rFonts w:hint="eastAsia"/>
                      <w:color w:val="auto"/>
                      <w:kern w:val="0"/>
                      <w:szCs w:val="21"/>
                    </w:rPr>
                    <w:t>泄露、火灾或爆炸</w:t>
                  </w:r>
                </w:p>
              </w:tc>
              <w:tc>
                <w:tcPr>
                  <w:tcW w:w="1232" w:type="pct"/>
                  <w:noWrap w:val="0"/>
                  <w:vAlign w:val="center"/>
                </w:tcPr>
                <w:p w14:paraId="2E6F9B14">
                  <w:pPr>
                    <w:snapToGrid w:val="0"/>
                    <w:jc w:val="center"/>
                    <w:rPr>
                      <w:color w:val="auto"/>
                      <w:kern w:val="0"/>
                      <w:szCs w:val="21"/>
                      <w:highlight w:val="yellow"/>
                    </w:rPr>
                  </w:pPr>
                  <w:r>
                    <w:rPr>
                      <w:rFonts w:hint="eastAsia" w:hAnsi="宋体"/>
                      <w:color w:val="auto"/>
                      <w:kern w:val="0"/>
                      <w:szCs w:val="21"/>
                    </w:rPr>
                    <w:t>遇高温或明火</w:t>
                  </w:r>
                </w:p>
              </w:tc>
            </w:tr>
            <w:tr w14:paraId="4BAA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60" w:type="pct"/>
                  <w:vMerge w:val="continue"/>
                  <w:noWrap w:val="0"/>
                  <w:vAlign w:val="center"/>
                </w:tcPr>
                <w:p w14:paraId="2F7FB8D2">
                  <w:pPr>
                    <w:snapToGrid w:val="0"/>
                    <w:jc w:val="center"/>
                    <w:rPr>
                      <w:color w:val="auto"/>
                      <w:kern w:val="0"/>
                      <w:szCs w:val="21"/>
                    </w:rPr>
                  </w:pPr>
                </w:p>
              </w:tc>
              <w:tc>
                <w:tcPr>
                  <w:tcW w:w="455" w:type="pct"/>
                  <w:vMerge w:val="continue"/>
                  <w:noWrap w:val="0"/>
                  <w:vAlign w:val="center"/>
                </w:tcPr>
                <w:p w14:paraId="304F2147">
                  <w:pPr>
                    <w:snapToGrid w:val="0"/>
                    <w:jc w:val="center"/>
                    <w:rPr>
                      <w:rFonts w:hint="eastAsia"/>
                      <w:color w:val="auto"/>
                      <w:kern w:val="0"/>
                      <w:szCs w:val="21"/>
                    </w:rPr>
                  </w:pPr>
                </w:p>
              </w:tc>
              <w:tc>
                <w:tcPr>
                  <w:tcW w:w="682" w:type="pct"/>
                  <w:noWrap w:val="0"/>
                  <w:vAlign w:val="center"/>
                </w:tcPr>
                <w:p w14:paraId="7300F158">
                  <w:pPr>
                    <w:snapToGrid w:val="0"/>
                    <w:jc w:val="center"/>
                    <w:rPr>
                      <w:rFonts w:hint="default" w:eastAsia="宋体"/>
                      <w:color w:val="auto"/>
                      <w:kern w:val="0"/>
                      <w:szCs w:val="21"/>
                      <w:lang w:val="en-US" w:eastAsia="zh-CN"/>
                    </w:rPr>
                  </w:pPr>
                  <w:r>
                    <w:rPr>
                      <w:rFonts w:hint="eastAsia"/>
                      <w:color w:val="auto"/>
                      <w:kern w:val="0"/>
                      <w:szCs w:val="21"/>
                      <w:lang w:val="en-US" w:eastAsia="zh-CN"/>
                    </w:rPr>
                    <w:t>退火炉、抛光机等</w:t>
                  </w:r>
                </w:p>
              </w:tc>
              <w:tc>
                <w:tcPr>
                  <w:tcW w:w="1135" w:type="pct"/>
                  <w:noWrap w:val="0"/>
                  <w:vAlign w:val="center"/>
                </w:tcPr>
                <w:p w14:paraId="69EEC009">
                  <w:pPr>
                    <w:snapToGrid w:val="0"/>
                    <w:jc w:val="center"/>
                    <w:rPr>
                      <w:rFonts w:hint="eastAsia" w:eastAsia="宋体"/>
                      <w:color w:val="auto"/>
                      <w:kern w:val="0"/>
                      <w:szCs w:val="21"/>
                      <w:lang w:eastAsia="zh-CN"/>
                    </w:rPr>
                  </w:pPr>
                  <w:r>
                    <w:rPr>
                      <w:rFonts w:hint="eastAsia" w:hAnsi="宋体"/>
                      <w:color w:val="auto"/>
                      <w:szCs w:val="21"/>
                      <w:lang w:val="en-US" w:eastAsia="zh-CN"/>
                    </w:rPr>
                    <w:t>液化石油气（丙烷）</w:t>
                  </w:r>
                </w:p>
              </w:tc>
              <w:tc>
                <w:tcPr>
                  <w:tcW w:w="1134" w:type="pct"/>
                  <w:noWrap w:val="0"/>
                  <w:vAlign w:val="center"/>
                </w:tcPr>
                <w:p w14:paraId="0B894AC1">
                  <w:pPr>
                    <w:snapToGrid w:val="0"/>
                    <w:jc w:val="center"/>
                    <w:rPr>
                      <w:rFonts w:hint="eastAsia"/>
                      <w:color w:val="auto"/>
                      <w:kern w:val="0"/>
                      <w:szCs w:val="21"/>
                    </w:rPr>
                  </w:pPr>
                  <w:r>
                    <w:rPr>
                      <w:rFonts w:hint="eastAsia"/>
                      <w:color w:val="auto"/>
                      <w:kern w:val="0"/>
                      <w:szCs w:val="21"/>
                    </w:rPr>
                    <w:t>泄露、火灾或爆炸</w:t>
                  </w:r>
                </w:p>
              </w:tc>
              <w:tc>
                <w:tcPr>
                  <w:tcW w:w="1232" w:type="pct"/>
                  <w:noWrap w:val="0"/>
                  <w:vAlign w:val="center"/>
                </w:tcPr>
                <w:p w14:paraId="66D3E8D5">
                  <w:pPr>
                    <w:snapToGrid w:val="0"/>
                    <w:jc w:val="center"/>
                    <w:rPr>
                      <w:rFonts w:hint="eastAsia" w:hAnsi="宋体"/>
                      <w:color w:val="auto"/>
                      <w:kern w:val="0"/>
                      <w:szCs w:val="21"/>
                    </w:rPr>
                  </w:pPr>
                  <w:r>
                    <w:rPr>
                      <w:rFonts w:hint="eastAsia" w:hAnsi="宋体"/>
                      <w:color w:val="auto"/>
                      <w:kern w:val="0"/>
                      <w:szCs w:val="21"/>
                    </w:rPr>
                    <w:t>遇高温或明火</w:t>
                  </w:r>
                </w:p>
              </w:tc>
            </w:tr>
            <w:tr w14:paraId="3A71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restart"/>
                  <w:noWrap w:val="0"/>
                  <w:vAlign w:val="center"/>
                </w:tcPr>
                <w:p w14:paraId="09603B56">
                  <w:pPr>
                    <w:snapToGrid w:val="0"/>
                    <w:jc w:val="center"/>
                    <w:rPr>
                      <w:color w:val="auto"/>
                      <w:kern w:val="0"/>
                      <w:szCs w:val="21"/>
                    </w:rPr>
                  </w:pPr>
                  <w:r>
                    <w:rPr>
                      <w:rFonts w:hint="eastAsia"/>
                      <w:color w:val="auto"/>
                      <w:kern w:val="0"/>
                      <w:szCs w:val="21"/>
                    </w:rPr>
                    <w:t>2</w:t>
                  </w:r>
                </w:p>
              </w:tc>
              <w:tc>
                <w:tcPr>
                  <w:tcW w:w="455" w:type="pct"/>
                  <w:vMerge w:val="restart"/>
                  <w:noWrap w:val="0"/>
                  <w:vAlign w:val="center"/>
                </w:tcPr>
                <w:p w14:paraId="38149799">
                  <w:pPr>
                    <w:snapToGrid w:val="0"/>
                    <w:jc w:val="center"/>
                    <w:rPr>
                      <w:rFonts w:hint="eastAsia"/>
                      <w:color w:val="auto"/>
                      <w:kern w:val="0"/>
                      <w:szCs w:val="21"/>
                    </w:rPr>
                  </w:pPr>
                  <w:r>
                    <w:rPr>
                      <w:rFonts w:hint="eastAsia"/>
                      <w:color w:val="auto"/>
                      <w:kern w:val="0"/>
                      <w:szCs w:val="21"/>
                    </w:rPr>
                    <w:t>仓储</w:t>
                  </w:r>
                </w:p>
              </w:tc>
              <w:tc>
                <w:tcPr>
                  <w:tcW w:w="682" w:type="pct"/>
                  <w:noWrap w:val="0"/>
                  <w:vAlign w:val="center"/>
                </w:tcPr>
                <w:p w14:paraId="06E59E3F">
                  <w:pPr>
                    <w:snapToGrid w:val="0"/>
                    <w:jc w:val="center"/>
                    <w:rPr>
                      <w:rFonts w:hint="default" w:eastAsia="宋体"/>
                      <w:color w:val="auto"/>
                      <w:kern w:val="0"/>
                      <w:szCs w:val="21"/>
                      <w:lang w:val="en-US" w:eastAsia="zh-CN"/>
                    </w:rPr>
                  </w:pPr>
                  <w:r>
                    <w:rPr>
                      <w:rFonts w:hint="eastAsia"/>
                      <w:color w:val="auto"/>
                      <w:kern w:val="0"/>
                      <w:szCs w:val="21"/>
                    </w:rPr>
                    <w:t>储罐区</w:t>
                  </w:r>
                </w:p>
              </w:tc>
              <w:tc>
                <w:tcPr>
                  <w:tcW w:w="1135" w:type="pct"/>
                  <w:noWrap w:val="0"/>
                  <w:vAlign w:val="center"/>
                </w:tcPr>
                <w:p w14:paraId="4ADC5AA9">
                  <w:pPr>
                    <w:snapToGrid w:val="0"/>
                    <w:jc w:val="center"/>
                    <w:rPr>
                      <w:color w:val="auto"/>
                      <w:kern w:val="0"/>
                      <w:szCs w:val="21"/>
                    </w:rPr>
                  </w:pPr>
                  <w:r>
                    <w:rPr>
                      <w:rFonts w:hint="eastAsia"/>
                      <w:color w:val="auto"/>
                      <w:kern w:val="0"/>
                      <w:szCs w:val="21"/>
                      <w:lang w:val="en-US" w:eastAsia="zh-CN"/>
                    </w:rPr>
                    <w:t>液化天然气</w:t>
                  </w:r>
                </w:p>
              </w:tc>
              <w:tc>
                <w:tcPr>
                  <w:tcW w:w="1134" w:type="pct"/>
                  <w:noWrap w:val="0"/>
                  <w:vAlign w:val="center"/>
                </w:tcPr>
                <w:p w14:paraId="4C0F5A9F">
                  <w:pPr>
                    <w:snapToGrid w:val="0"/>
                    <w:jc w:val="center"/>
                    <w:rPr>
                      <w:color w:val="auto"/>
                      <w:kern w:val="0"/>
                      <w:szCs w:val="21"/>
                    </w:rPr>
                  </w:pPr>
                  <w:r>
                    <w:rPr>
                      <w:rFonts w:hint="eastAsia"/>
                      <w:color w:val="auto"/>
                      <w:kern w:val="0"/>
                      <w:szCs w:val="21"/>
                    </w:rPr>
                    <w:t>泄露、火灾或爆炸</w:t>
                  </w:r>
                </w:p>
              </w:tc>
              <w:tc>
                <w:tcPr>
                  <w:tcW w:w="1232" w:type="pct"/>
                  <w:noWrap w:val="0"/>
                  <w:vAlign w:val="center"/>
                </w:tcPr>
                <w:p w14:paraId="3B25C3B0">
                  <w:pPr>
                    <w:snapToGrid w:val="0"/>
                    <w:jc w:val="center"/>
                    <w:rPr>
                      <w:color w:val="auto"/>
                      <w:kern w:val="0"/>
                      <w:szCs w:val="21"/>
                    </w:rPr>
                  </w:pPr>
                  <w:r>
                    <w:rPr>
                      <w:rFonts w:hint="eastAsia" w:hAnsi="宋体"/>
                      <w:color w:val="auto"/>
                      <w:kern w:val="0"/>
                      <w:szCs w:val="21"/>
                    </w:rPr>
                    <w:t>遇高温或明火</w:t>
                  </w:r>
                </w:p>
              </w:tc>
            </w:tr>
            <w:tr w14:paraId="14C5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continue"/>
                  <w:noWrap w:val="0"/>
                  <w:vAlign w:val="center"/>
                </w:tcPr>
                <w:p w14:paraId="0BD2FFE5">
                  <w:pPr>
                    <w:snapToGrid w:val="0"/>
                    <w:jc w:val="center"/>
                    <w:rPr>
                      <w:rFonts w:hint="eastAsia"/>
                      <w:color w:val="auto"/>
                      <w:kern w:val="0"/>
                      <w:szCs w:val="21"/>
                    </w:rPr>
                  </w:pPr>
                </w:p>
              </w:tc>
              <w:tc>
                <w:tcPr>
                  <w:tcW w:w="455" w:type="pct"/>
                  <w:vMerge w:val="continue"/>
                  <w:noWrap w:val="0"/>
                  <w:vAlign w:val="center"/>
                </w:tcPr>
                <w:p w14:paraId="0A295001">
                  <w:pPr>
                    <w:snapToGrid w:val="0"/>
                    <w:jc w:val="center"/>
                    <w:rPr>
                      <w:rFonts w:hint="eastAsia"/>
                      <w:color w:val="auto"/>
                      <w:kern w:val="0"/>
                      <w:szCs w:val="21"/>
                    </w:rPr>
                  </w:pPr>
                </w:p>
              </w:tc>
              <w:tc>
                <w:tcPr>
                  <w:tcW w:w="682" w:type="pct"/>
                  <w:noWrap w:val="0"/>
                  <w:vAlign w:val="center"/>
                </w:tcPr>
                <w:p w14:paraId="118B6C0C">
                  <w:pPr>
                    <w:snapToGrid w:val="0"/>
                    <w:jc w:val="center"/>
                    <w:rPr>
                      <w:rFonts w:hint="eastAsia"/>
                      <w:color w:val="auto"/>
                      <w:kern w:val="0"/>
                      <w:szCs w:val="21"/>
                    </w:rPr>
                  </w:pPr>
                  <w:r>
                    <w:rPr>
                      <w:rFonts w:hint="eastAsia"/>
                      <w:color w:val="auto"/>
                      <w:kern w:val="0"/>
                      <w:szCs w:val="21"/>
                    </w:rPr>
                    <w:t>储罐区</w:t>
                  </w:r>
                </w:p>
              </w:tc>
              <w:tc>
                <w:tcPr>
                  <w:tcW w:w="1135" w:type="pct"/>
                  <w:noWrap w:val="0"/>
                  <w:vAlign w:val="center"/>
                </w:tcPr>
                <w:p w14:paraId="10A3D6AE">
                  <w:pPr>
                    <w:snapToGrid w:val="0"/>
                    <w:jc w:val="center"/>
                    <w:rPr>
                      <w:rFonts w:hint="default"/>
                      <w:color w:val="auto"/>
                      <w:kern w:val="0"/>
                      <w:szCs w:val="21"/>
                      <w:lang w:val="en-US" w:eastAsia="zh-CN"/>
                    </w:rPr>
                  </w:pPr>
                  <w:r>
                    <w:rPr>
                      <w:rFonts w:hint="eastAsia"/>
                      <w:color w:val="auto"/>
                      <w:kern w:val="0"/>
                      <w:szCs w:val="21"/>
                      <w:lang w:val="en-US" w:eastAsia="zh-CN"/>
                    </w:rPr>
                    <w:t>氨水</w:t>
                  </w:r>
                </w:p>
              </w:tc>
              <w:tc>
                <w:tcPr>
                  <w:tcW w:w="1134" w:type="pct"/>
                  <w:noWrap w:val="0"/>
                  <w:vAlign w:val="center"/>
                </w:tcPr>
                <w:p w14:paraId="68A99408">
                  <w:pPr>
                    <w:snapToGrid w:val="0"/>
                    <w:jc w:val="center"/>
                    <w:rPr>
                      <w:rFonts w:hint="eastAsia" w:eastAsia="宋体"/>
                      <w:color w:val="auto"/>
                      <w:kern w:val="0"/>
                      <w:szCs w:val="21"/>
                      <w:lang w:val="en-US" w:eastAsia="zh-CN"/>
                    </w:rPr>
                  </w:pPr>
                  <w:r>
                    <w:rPr>
                      <w:rFonts w:hint="eastAsia"/>
                      <w:color w:val="auto"/>
                      <w:kern w:val="0"/>
                      <w:szCs w:val="21"/>
                      <w:lang w:val="en-US" w:eastAsia="zh-CN"/>
                    </w:rPr>
                    <w:t>泄漏</w:t>
                  </w:r>
                </w:p>
              </w:tc>
              <w:tc>
                <w:tcPr>
                  <w:tcW w:w="1232" w:type="pct"/>
                  <w:noWrap w:val="0"/>
                  <w:vAlign w:val="center"/>
                </w:tcPr>
                <w:p w14:paraId="158CD75C">
                  <w:pPr>
                    <w:snapToGrid w:val="0"/>
                    <w:jc w:val="center"/>
                    <w:rPr>
                      <w:rFonts w:hint="default" w:hAnsi="宋体" w:eastAsia="宋体"/>
                      <w:color w:val="auto"/>
                      <w:kern w:val="0"/>
                      <w:szCs w:val="21"/>
                      <w:lang w:val="en-US" w:eastAsia="zh-CN"/>
                    </w:rPr>
                  </w:pPr>
                  <w:r>
                    <w:rPr>
                      <w:rFonts w:hint="eastAsia" w:hAnsi="宋体"/>
                      <w:color w:val="auto"/>
                      <w:kern w:val="0"/>
                      <w:szCs w:val="21"/>
                      <w:lang w:val="en-US" w:eastAsia="zh-CN"/>
                    </w:rPr>
                    <w:t>管理不当、储罐破损</w:t>
                  </w:r>
                </w:p>
              </w:tc>
            </w:tr>
            <w:tr w14:paraId="4658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continue"/>
                  <w:noWrap w:val="0"/>
                  <w:vAlign w:val="center"/>
                </w:tcPr>
                <w:p w14:paraId="437CF95C">
                  <w:pPr>
                    <w:snapToGrid w:val="0"/>
                    <w:jc w:val="center"/>
                    <w:rPr>
                      <w:rFonts w:hint="eastAsia"/>
                      <w:color w:val="auto"/>
                      <w:kern w:val="0"/>
                      <w:szCs w:val="21"/>
                    </w:rPr>
                  </w:pPr>
                </w:p>
              </w:tc>
              <w:tc>
                <w:tcPr>
                  <w:tcW w:w="455" w:type="pct"/>
                  <w:vMerge w:val="continue"/>
                  <w:noWrap w:val="0"/>
                  <w:vAlign w:val="center"/>
                </w:tcPr>
                <w:p w14:paraId="59385A3F">
                  <w:pPr>
                    <w:snapToGrid w:val="0"/>
                    <w:jc w:val="center"/>
                    <w:rPr>
                      <w:rFonts w:hint="eastAsia"/>
                      <w:color w:val="auto"/>
                      <w:kern w:val="0"/>
                      <w:szCs w:val="21"/>
                    </w:rPr>
                  </w:pPr>
                </w:p>
              </w:tc>
              <w:tc>
                <w:tcPr>
                  <w:tcW w:w="682" w:type="pct"/>
                  <w:noWrap w:val="0"/>
                  <w:vAlign w:val="center"/>
                </w:tcPr>
                <w:p w14:paraId="73992E44">
                  <w:pPr>
                    <w:snapToGrid w:val="0"/>
                    <w:jc w:val="center"/>
                    <w:rPr>
                      <w:rFonts w:hint="eastAsia" w:eastAsia="宋体"/>
                      <w:color w:val="auto"/>
                      <w:kern w:val="0"/>
                      <w:szCs w:val="21"/>
                      <w:lang w:val="en-US" w:eastAsia="zh-CN"/>
                    </w:rPr>
                  </w:pPr>
                  <w:r>
                    <w:rPr>
                      <w:rFonts w:hint="eastAsia"/>
                      <w:color w:val="auto"/>
                      <w:kern w:val="0"/>
                      <w:szCs w:val="21"/>
                      <w:lang w:val="en-US" w:eastAsia="zh-CN"/>
                    </w:rPr>
                    <w:t>气瓶暂存区</w:t>
                  </w:r>
                </w:p>
              </w:tc>
              <w:tc>
                <w:tcPr>
                  <w:tcW w:w="1135" w:type="pct"/>
                  <w:noWrap w:val="0"/>
                  <w:vAlign w:val="center"/>
                </w:tcPr>
                <w:p w14:paraId="70307BA8">
                  <w:pPr>
                    <w:snapToGrid w:val="0"/>
                    <w:jc w:val="center"/>
                    <w:rPr>
                      <w:color w:val="auto"/>
                      <w:kern w:val="0"/>
                      <w:szCs w:val="21"/>
                    </w:rPr>
                  </w:pPr>
                  <w:r>
                    <w:rPr>
                      <w:rFonts w:hint="eastAsia"/>
                      <w:color w:val="auto"/>
                      <w:kern w:val="0"/>
                      <w:szCs w:val="21"/>
                      <w:lang w:val="en-US" w:eastAsia="zh-CN"/>
                    </w:rPr>
                    <w:t>液化石油气</w:t>
                  </w:r>
                </w:p>
              </w:tc>
              <w:tc>
                <w:tcPr>
                  <w:tcW w:w="1134" w:type="pct"/>
                  <w:noWrap w:val="0"/>
                  <w:vAlign w:val="center"/>
                </w:tcPr>
                <w:p w14:paraId="0899C75C">
                  <w:pPr>
                    <w:snapToGrid w:val="0"/>
                    <w:jc w:val="center"/>
                    <w:rPr>
                      <w:rFonts w:hint="eastAsia"/>
                      <w:color w:val="auto"/>
                      <w:kern w:val="0"/>
                      <w:szCs w:val="21"/>
                    </w:rPr>
                  </w:pPr>
                  <w:r>
                    <w:rPr>
                      <w:rFonts w:hint="eastAsia"/>
                      <w:color w:val="auto"/>
                      <w:kern w:val="0"/>
                      <w:szCs w:val="21"/>
                    </w:rPr>
                    <w:t>泄露、火灾或爆炸</w:t>
                  </w:r>
                </w:p>
              </w:tc>
              <w:tc>
                <w:tcPr>
                  <w:tcW w:w="1232" w:type="pct"/>
                  <w:noWrap w:val="0"/>
                  <w:vAlign w:val="center"/>
                </w:tcPr>
                <w:p w14:paraId="7883A0EB">
                  <w:pPr>
                    <w:snapToGrid w:val="0"/>
                    <w:jc w:val="center"/>
                    <w:rPr>
                      <w:rFonts w:hint="eastAsia" w:hAnsi="宋体"/>
                      <w:color w:val="auto"/>
                      <w:kern w:val="0"/>
                      <w:szCs w:val="21"/>
                    </w:rPr>
                  </w:pPr>
                  <w:r>
                    <w:rPr>
                      <w:rFonts w:hint="eastAsia" w:hAnsi="宋体"/>
                      <w:color w:val="auto"/>
                      <w:kern w:val="0"/>
                      <w:szCs w:val="21"/>
                    </w:rPr>
                    <w:t>遇高温或明火</w:t>
                  </w:r>
                </w:p>
              </w:tc>
            </w:tr>
            <w:tr w14:paraId="3AF7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15AF71FF">
                  <w:pPr>
                    <w:snapToGrid w:val="0"/>
                    <w:jc w:val="center"/>
                    <w:rPr>
                      <w:rFonts w:hint="eastAsia"/>
                      <w:color w:val="auto"/>
                      <w:kern w:val="0"/>
                      <w:szCs w:val="21"/>
                    </w:rPr>
                  </w:pPr>
                  <w:r>
                    <w:rPr>
                      <w:rFonts w:hint="eastAsia"/>
                      <w:color w:val="auto"/>
                      <w:kern w:val="0"/>
                      <w:szCs w:val="21"/>
                    </w:rPr>
                    <w:t>3</w:t>
                  </w:r>
                </w:p>
              </w:tc>
              <w:tc>
                <w:tcPr>
                  <w:tcW w:w="455" w:type="pct"/>
                  <w:noWrap w:val="0"/>
                  <w:vAlign w:val="center"/>
                </w:tcPr>
                <w:p w14:paraId="16048BEC">
                  <w:pPr>
                    <w:snapToGrid w:val="0"/>
                    <w:jc w:val="center"/>
                    <w:rPr>
                      <w:rFonts w:hint="eastAsia"/>
                      <w:color w:val="auto"/>
                      <w:kern w:val="0"/>
                      <w:szCs w:val="21"/>
                    </w:rPr>
                  </w:pPr>
                  <w:r>
                    <w:rPr>
                      <w:rFonts w:hint="eastAsia"/>
                      <w:color w:val="auto"/>
                      <w:kern w:val="0"/>
                      <w:szCs w:val="21"/>
                    </w:rPr>
                    <w:t>仓储</w:t>
                  </w:r>
                </w:p>
              </w:tc>
              <w:tc>
                <w:tcPr>
                  <w:tcW w:w="682" w:type="pct"/>
                  <w:noWrap w:val="0"/>
                  <w:vAlign w:val="center"/>
                </w:tcPr>
                <w:p w14:paraId="54088F46">
                  <w:pPr>
                    <w:snapToGrid w:val="0"/>
                    <w:jc w:val="center"/>
                    <w:rPr>
                      <w:rFonts w:hint="eastAsia"/>
                      <w:color w:val="auto"/>
                      <w:kern w:val="0"/>
                      <w:szCs w:val="21"/>
                    </w:rPr>
                  </w:pPr>
                  <w:r>
                    <w:rPr>
                      <w:rFonts w:hint="eastAsia"/>
                      <w:color w:val="auto"/>
                      <w:kern w:val="0"/>
                      <w:szCs w:val="21"/>
                    </w:rPr>
                    <w:t>危废暂存间</w:t>
                  </w:r>
                </w:p>
              </w:tc>
              <w:tc>
                <w:tcPr>
                  <w:tcW w:w="1135" w:type="pct"/>
                  <w:noWrap w:val="0"/>
                  <w:vAlign w:val="center"/>
                </w:tcPr>
                <w:p w14:paraId="41663269">
                  <w:pPr>
                    <w:snapToGrid w:val="0"/>
                    <w:jc w:val="center"/>
                    <w:rPr>
                      <w:color w:val="auto"/>
                      <w:kern w:val="0"/>
                      <w:szCs w:val="21"/>
                    </w:rPr>
                  </w:pPr>
                  <w:r>
                    <w:rPr>
                      <w:color w:val="auto"/>
                      <w:kern w:val="0"/>
                      <w:szCs w:val="21"/>
                    </w:rPr>
                    <w:t>废机油</w:t>
                  </w:r>
                </w:p>
              </w:tc>
              <w:tc>
                <w:tcPr>
                  <w:tcW w:w="1134" w:type="pct"/>
                  <w:noWrap w:val="0"/>
                  <w:vAlign w:val="center"/>
                </w:tcPr>
                <w:p w14:paraId="2DA88CBF">
                  <w:pPr>
                    <w:snapToGrid w:val="0"/>
                    <w:jc w:val="center"/>
                    <w:rPr>
                      <w:rFonts w:hint="eastAsia"/>
                      <w:color w:val="auto"/>
                      <w:kern w:val="0"/>
                      <w:szCs w:val="21"/>
                    </w:rPr>
                  </w:pPr>
                  <w:r>
                    <w:rPr>
                      <w:rFonts w:hint="eastAsia"/>
                      <w:color w:val="auto"/>
                      <w:kern w:val="0"/>
                      <w:szCs w:val="21"/>
                    </w:rPr>
                    <w:t>泄露、火灾或爆炸</w:t>
                  </w:r>
                </w:p>
              </w:tc>
              <w:tc>
                <w:tcPr>
                  <w:tcW w:w="1232" w:type="pct"/>
                  <w:noWrap w:val="0"/>
                  <w:vAlign w:val="center"/>
                </w:tcPr>
                <w:p w14:paraId="38C11353">
                  <w:pPr>
                    <w:snapToGrid w:val="0"/>
                    <w:jc w:val="center"/>
                    <w:rPr>
                      <w:rFonts w:hint="eastAsia" w:hAnsi="宋体"/>
                      <w:color w:val="auto"/>
                      <w:kern w:val="0"/>
                      <w:szCs w:val="21"/>
                    </w:rPr>
                  </w:pPr>
                  <w:r>
                    <w:rPr>
                      <w:rFonts w:hint="eastAsia" w:hAnsi="宋体"/>
                      <w:color w:val="auto"/>
                      <w:kern w:val="0"/>
                      <w:szCs w:val="21"/>
                    </w:rPr>
                    <w:t>遇高温或明火、管理不当</w:t>
                  </w:r>
                </w:p>
              </w:tc>
            </w:tr>
            <w:tr w14:paraId="624A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53A098CB">
                  <w:pPr>
                    <w:snapToGrid w:val="0"/>
                    <w:jc w:val="center"/>
                    <w:rPr>
                      <w:color w:val="auto"/>
                      <w:kern w:val="0"/>
                      <w:szCs w:val="21"/>
                    </w:rPr>
                  </w:pPr>
                  <w:r>
                    <w:rPr>
                      <w:rFonts w:hint="eastAsia"/>
                      <w:color w:val="auto"/>
                      <w:kern w:val="0"/>
                      <w:szCs w:val="21"/>
                    </w:rPr>
                    <w:t>4</w:t>
                  </w:r>
                </w:p>
              </w:tc>
              <w:tc>
                <w:tcPr>
                  <w:tcW w:w="455" w:type="pct"/>
                  <w:noWrap w:val="0"/>
                  <w:vAlign w:val="center"/>
                </w:tcPr>
                <w:p w14:paraId="740C5323">
                  <w:pPr>
                    <w:snapToGrid w:val="0"/>
                    <w:jc w:val="center"/>
                    <w:rPr>
                      <w:color w:val="auto"/>
                      <w:kern w:val="0"/>
                      <w:szCs w:val="21"/>
                    </w:rPr>
                  </w:pPr>
                  <w:r>
                    <w:rPr>
                      <w:rFonts w:hint="eastAsia"/>
                      <w:color w:val="auto"/>
                      <w:kern w:val="0"/>
                      <w:szCs w:val="21"/>
                    </w:rPr>
                    <w:t>环保</w:t>
                  </w:r>
                </w:p>
                <w:p w14:paraId="2A7C0EA9">
                  <w:pPr>
                    <w:snapToGrid w:val="0"/>
                    <w:jc w:val="center"/>
                    <w:rPr>
                      <w:color w:val="auto"/>
                      <w:kern w:val="0"/>
                      <w:szCs w:val="21"/>
                    </w:rPr>
                  </w:pPr>
                  <w:r>
                    <w:rPr>
                      <w:rFonts w:hint="eastAsia"/>
                      <w:color w:val="auto"/>
                      <w:kern w:val="0"/>
                      <w:szCs w:val="21"/>
                    </w:rPr>
                    <w:t>系统</w:t>
                  </w:r>
                </w:p>
              </w:tc>
              <w:tc>
                <w:tcPr>
                  <w:tcW w:w="682" w:type="pct"/>
                  <w:noWrap w:val="0"/>
                  <w:vAlign w:val="center"/>
                </w:tcPr>
                <w:p w14:paraId="77579B3B">
                  <w:pPr>
                    <w:snapToGrid w:val="0"/>
                    <w:jc w:val="center"/>
                    <w:rPr>
                      <w:color w:val="auto"/>
                      <w:kern w:val="0"/>
                      <w:szCs w:val="21"/>
                    </w:rPr>
                  </w:pPr>
                  <w:r>
                    <w:rPr>
                      <w:rFonts w:hint="eastAsia"/>
                      <w:color w:val="auto"/>
                      <w:kern w:val="0"/>
                      <w:szCs w:val="21"/>
                    </w:rPr>
                    <w:t>废气处理</w:t>
                  </w:r>
                </w:p>
              </w:tc>
              <w:tc>
                <w:tcPr>
                  <w:tcW w:w="1135" w:type="pct"/>
                  <w:noWrap w:val="0"/>
                  <w:vAlign w:val="center"/>
                </w:tcPr>
                <w:p w14:paraId="24EEF535">
                  <w:pPr>
                    <w:snapToGrid w:val="0"/>
                    <w:jc w:val="center"/>
                    <w:rPr>
                      <w:rFonts w:hint="default" w:eastAsia="宋体"/>
                      <w:color w:val="auto"/>
                      <w:kern w:val="0"/>
                      <w:szCs w:val="21"/>
                      <w:lang w:val="en-US" w:eastAsia="zh-CN"/>
                    </w:rPr>
                  </w:pPr>
                  <w:r>
                    <w:rPr>
                      <w:rFonts w:hint="eastAsia"/>
                      <w:color w:val="auto"/>
                      <w:kern w:val="0"/>
                      <w:szCs w:val="21"/>
                      <w:lang w:val="en-US" w:eastAsia="zh-CN"/>
                    </w:rPr>
                    <w:t>烟尘、二氧化硫、氮氧化物、氨气</w:t>
                  </w:r>
                </w:p>
              </w:tc>
              <w:tc>
                <w:tcPr>
                  <w:tcW w:w="1134" w:type="pct"/>
                  <w:noWrap w:val="0"/>
                  <w:vAlign w:val="center"/>
                </w:tcPr>
                <w:p w14:paraId="343CFD7F">
                  <w:pPr>
                    <w:snapToGrid w:val="0"/>
                    <w:jc w:val="center"/>
                    <w:rPr>
                      <w:color w:val="auto"/>
                      <w:kern w:val="0"/>
                      <w:szCs w:val="21"/>
                    </w:rPr>
                  </w:pPr>
                  <w:r>
                    <w:rPr>
                      <w:rFonts w:hint="eastAsia"/>
                      <w:color w:val="auto"/>
                      <w:kern w:val="0"/>
                      <w:szCs w:val="21"/>
                    </w:rPr>
                    <w:t>泄露</w:t>
                  </w:r>
                </w:p>
              </w:tc>
              <w:tc>
                <w:tcPr>
                  <w:tcW w:w="1232" w:type="pct"/>
                  <w:noWrap w:val="0"/>
                  <w:vAlign w:val="center"/>
                </w:tcPr>
                <w:p w14:paraId="3D2922DD">
                  <w:pPr>
                    <w:snapToGrid w:val="0"/>
                    <w:ind w:left="-105" w:leftChars="-50" w:right="-105" w:rightChars="-50"/>
                    <w:jc w:val="center"/>
                    <w:rPr>
                      <w:color w:val="auto"/>
                      <w:kern w:val="0"/>
                      <w:szCs w:val="21"/>
                    </w:rPr>
                  </w:pPr>
                  <w:r>
                    <w:rPr>
                      <w:rFonts w:hint="eastAsia"/>
                      <w:color w:val="auto"/>
                      <w:kern w:val="0"/>
                      <w:szCs w:val="21"/>
                    </w:rPr>
                    <w:t>事故性排放、误操作等</w:t>
                  </w:r>
                </w:p>
              </w:tc>
            </w:tr>
          </w:tbl>
          <w:p w14:paraId="5E603C54">
            <w:pPr>
              <w:pStyle w:val="4"/>
              <w:numPr>
                <w:ilvl w:val="0"/>
                <w:numId w:val="0"/>
              </w:numPr>
              <w:spacing w:before="120" w:after="120" w:line="360" w:lineRule="auto"/>
              <w:ind w:leftChars="0"/>
              <w:jc w:val="left"/>
              <w:rPr>
                <w:rFonts w:hint="eastAsia"/>
                <w:color w:val="auto"/>
                <w:sz w:val="21"/>
                <w:szCs w:val="21"/>
                <w:lang w:eastAsia="zh-CN"/>
              </w:rPr>
            </w:pPr>
            <w:r>
              <w:rPr>
                <w:rFonts w:hint="eastAsia"/>
                <w:color w:val="auto"/>
                <w:sz w:val="21"/>
                <w:szCs w:val="21"/>
                <w:lang w:eastAsia="zh-CN"/>
              </w:rPr>
              <w:t>(3)事故影响途径</w:t>
            </w:r>
            <w:r>
              <w:rPr>
                <w:color w:val="auto"/>
                <w:sz w:val="21"/>
                <w:szCs w:val="21"/>
                <w:lang w:eastAsia="zh-CN"/>
              </w:rPr>
              <w:t>识别</w:t>
            </w:r>
          </w:p>
          <w:p w14:paraId="32C796D2">
            <w:pPr>
              <w:pStyle w:val="140"/>
              <w:ind w:firstLine="422"/>
              <w:rPr>
                <w:rFonts w:hint="eastAsia"/>
                <w:b/>
                <w:color w:val="auto"/>
                <w:kern w:val="24"/>
                <w:sz w:val="21"/>
                <w:szCs w:val="21"/>
              </w:rPr>
            </w:pPr>
            <w:r>
              <w:rPr>
                <w:rFonts w:hint="eastAsia"/>
                <w:b/>
                <w:color w:val="auto"/>
                <w:kern w:val="24"/>
                <w:sz w:val="21"/>
                <w:szCs w:val="21"/>
              </w:rPr>
              <w:t>1、直接污染</w:t>
            </w:r>
          </w:p>
          <w:p w14:paraId="25BE50B6">
            <w:pPr>
              <w:pStyle w:val="140"/>
              <w:ind w:firstLine="420"/>
              <w:rPr>
                <w:rFonts w:hint="eastAsia"/>
                <w:bCs/>
                <w:color w:val="auto"/>
                <w:kern w:val="24"/>
                <w:sz w:val="21"/>
                <w:szCs w:val="21"/>
              </w:rPr>
            </w:pPr>
            <w:r>
              <w:rPr>
                <w:rFonts w:hint="eastAsia"/>
                <w:bCs/>
                <w:color w:val="auto"/>
                <w:kern w:val="24"/>
                <w:sz w:val="21"/>
                <w:szCs w:val="21"/>
              </w:rPr>
              <w:t>该类事故通常的起因是设备（包括管线、阀门或其它设施）出现故障或操作失误、仪表失灵等，使物料泄漏，弥散在空气中，此时的直接危险是有毒有害物质的扩散对周围环境的污染；事故发生后，通常采取切断泄漏源、切断火源，隔离泄漏场所的措施，通过适当方式合理通风，加速有害物质的扩散，降低泄漏点的浓度，避免引起爆炸。</w:t>
            </w:r>
          </w:p>
          <w:p w14:paraId="4F0CB2E5">
            <w:pPr>
              <w:pStyle w:val="140"/>
              <w:ind w:firstLine="422"/>
              <w:rPr>
                <w:rFonts w:hint="eastAsia"/>
                <w:b/>
                <w:color w:val="auto"/>
                <w:kern w:val="24"/>
                <w:sz w:val="21"/>
                <w:szCs w:val="21"/>
              </w:rPr>
            </w:pPr>
            <w:r>
              <w:rPr>
                <w:rFonts w:hint="eastAsia"/>
                <w:b/>
                <w:color w:val="auto"/>
                <w:kern w:val="24"/>
                <w:sz w:val="21"/>
                <w:szCs w:val="21"/>
              </w:rPr>
              <w:t>2、次生/伴生污染</w:t>
            </w:r>
          </w:p>
          <w:p w14:paraId="19C15951">
            <w:pPr>
              <w:pStyle w:val="140"/>
              <w:ind w:firstLine="420"/>
              <w:rPr>
                <w:rFonts w:hint="eastAsia"/>
                <w:bCs/>
                <w:color w:val="auto"/>
                <w:kern w:val="24"/>
                <w:sz w:val="21"/>
                <w:szCs w:val="21"/>
              </w:rPr>
            </w:pPr>
            <w:r>
              <w:rPr>
                <w:rFonts w:hint="eastAsia"/>
                <w:bCs/>
                <w:color w:val="auto"/>
                <w:kern w:val="24"/>
                <w:sz w:val="21"/>
                <w:szCs w:val="21"/>
              </w:rPr>
              <w:t>可燃或易燃泄漏物若遇明火将会引发火灾、爆炸，发生次生灾害，火灾燃烧时产生的烟气为伴生污染物，将会对周围环境造成一定污染。例如项目产生的废油易燃</w:t>
            </w:r>
            <w:r>
              <w:rPr>
                <w:rFonts w:hint="eastAsia"/>
                <w:bCs/>
                <w:color w:val="auto"/>
                <w:kern w:val="24"/>
                <w:sz w:val="21"/>
                <w:szCs w:val="21"/>
                <w:lang w:eastAsia="zh-CN"/>
              </w:rPr>
              <w:t>、</w:t>
            </w:r>
            <w:r>
              <w:rPr>
                <w:rFonts w:hint="eastAsia"/>
                <w:bCs/>
                <w:color w:val="auto"/>
                <w:kern w:val="24"/>
                <w:sz w:val="21"/>
                <w:szCs w:val="21"/>
                <w:lang w:val="en-US" w:eastAsia="zh-CN"/>
              </w:rPr>
              <w:t>泄漏天然气易燃易爆、泄漏液化石油气易燃易爆</w:t>
            </w:r>
            <w:r>
              <w:rPr>
                <w:rFonts w:hint="eastAsia"/>
                <w:bCs/>
                <w:color w:val="auto"/>
                <w:kern w:val="24"/>
                <w:sz w:val="21"/>
                <w:szCs w:val="21"/>
              </w:rPr>
              <w:t>，在泄露发生时易引发次生的火灾、爆炸等风险。</w:t>
            </w:r>
          </w:p>
          <w:p w14:paraId="2174CCA0">
            <w:pPr>
              <w:widowControl/>
              <w:spacing w:line="360" w:lineRule="auto"/>
              <w:jc w:val="center"/>
              <w:rPr>
                <w:rFonts w:hint="eastAsia"/>
                <w:b/>
                <w:color w:val="auto"/>
                <w:kern w:val="24"/>
              </w:rPr>
            </w:pPr>
            <w:r>
              <w:rPr>
                <w:rFonts w:hint="eastAsia"/>
                <w:b/>
                <w:color w:val="auto"/>
                <w:kern w:val="0"/>
                <w:szCs w:val="21"/>
              </w:rPr>
              <w:t>表7-2</w:t>
            </w:r>
            <w:r>
              <w:rPr>
                <w:rFonts w:hint="eastAsia"/>
                <w:b/>
                <w:color w:val="auto"/>
                <w:kern w:val="0"/>
                <w:szCs w:val="21"/>
                <w:lang w:val="en-US" w:eastAsia="zh-CN"/>
              </w:rPr>
              <w:t>1</w:t>
            </w:r>
            <w:r>
              <w:rPr>
                <w:rFonts w:hint="eastAsia"/>
                <w:b/>
                <w:color w:val="auto"/>
                <w:kern w:val="0"/>
                <w:szCs w:val="21"/>
              </w:rPr>
              <w:t xml:space="preserve">   事故影响途径分析一览表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133"/>
              <w:gridCol w:w="1276"/>
              <w:gridCol w:w="993"/>
              <w:gridCol w:w="995"/>
              <w:gridCol w:w="993"/>
              <w:gridCol w:w="1559"/>
              <w:gridCol w:w="898"/>
            </w:tblGrid>
            <w:tr w14:paraId="16CB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noWrap w:val="0"/>
                  <w:vAlign w:val="center"/>
                </w:tcPr>
                <w:p w14:paraId="0C4DB22F">
                  <w:pPr>
                    <w:spacing w:line="240" w:lineRule="atLeast"/>
                    <w:jc w:val="center"/>
                    <w:rPr>
                      <w:rFonts w:hint="eastAsia"/>
                      <w:color w:val="auto"/>
                      <w:szCs w:val="21"/>
                    </w:rPr>
                  </w:pPr>
                  <w:r>
                    <w:rPr>
                      <w:rFonts w:hint="eastAsia"/>
                      <w:color w:val="auto"/>
                      <w:szCs w:val="21"/>
                    </w:rPr>
                    <w:t>事故类型</w:t>
                  </w:r>
                </w:p>
              </w:tc>
              <w:tc>
                <w:tcPr>
                  <w:tcW w:w="641" w:type="pct"/>
                  <w:vMerge w:val="restart"/>
                  <w:noWrap w:val="0"/>
                  <w:vAlign w:val="center"/>
                </w:tcPr>
                <w:p w14:paraId="3380E962">
                  <w:pPr>
                    <w:spacing w:line="240" w:lineRule="atLeast"/>
                    <w:jc w:val="center"/>
                    <w:rPr>
                      <w:rFonts w:hint="eastAsia"/>
                      <w:color w:val="auto"/>
                      <w:szCs w:val="21"/>
                    </w:rPr>
                  </w:pPr>
                  <w:r>
                    <w:rPr>
                      <w:rFonts w:hint="eastAsia"/>
                      <w:color w:val="auto"/>
                      <w:szCs w:val="21"/>
                    </w:rPr>
                    <w:t>事故位置</w:t>
                  </w:r>
                </w:p>
              </w:tc>
              <w:tc>
                <w:tcPr>
                  <w:tcW w:w="722" w:type="pct"/>
                  <w:vMerge w:val="restart"/>
                  <w:noWrap w:val="0"/>
                  <w:vAlign w:val="center"/>
                </w:tcPr>
                <w:p w14:paraId="13C8FAA8">
                  <w:pPr>
                    <w:spacing w:line="240" w:lineRule="atLeast"/>
                    <w:jc w:val="center"/>
                    <w:rPr>
                      <w:rFonts w:hint="eastAsia"/>
                      <w:color w:val="auto"/>
                      <w:szCs w:val="21"/>
                    </w:rPr>
                  </w:pPr>
                  <w:r>
                    <w:rPr>
                      <w:rFonts w:hint="eastAsia"/>
                      <w:color w:val="auto"/>
                      <w:szCs w:val="21"/>
                    </w:rPr>
                    <w:t>事故危害类型</w:t>
                  </w:r>
                </w:p>
              </w:tc>
              <w:tc>
                <w:tcPr>
                  <w:tcW w:w="1687" w:type="pct"/>
                  <w:gridSpan w:val="3"/>
                  <w:noWrap w:val="0"/>
                  <w:vAlign w:val="center"/>
                </w:tcPr>
                <w:p w14:paraId="1875B6A8">
                  <w:pPr>
                    <w:spacing w:line="240" w:lineRule="atLeast"/>
                    <w:jc w:val="center"/>
                    <w:rPr>
                      <w:rFonts w:hint="eastAsia"/>
                      <w:color w:val="auto"/>
                      <w:szCs w:val="21"/>
                    </w:rPr>
                  </w:pPr>
                  <w:r>
                    <w:rPr>
                      <w:rFonts w:hint="eastAsia"/>
                      <w:color w:val="auto"/>
                      <w:szCs w:val="21"/>
                    </w:rPr>
                    <w:t>污染物转移途径</w:t>
                  </w:r>
                </w:p>
              </w:tc>
              <w:tc>
                <w:tcPr>
                  <w:tcW w:w="882" w:type="pct"/>
                  <w:vMerge w:val="restart"/>
                  <w:noWrap w:val="0"/>
                  <w:vAlign w:val="center"/>
                </w:tcPr>
                <w:p w14:paraId="2A0E3752">
                  <w:pPr>
                    <w:spacing w:line="240" w:lineRule="atLeast"/>
                    <w:jc w:val="center"/>
                    <w:rPr>
                      <w:rFonts w:hint="eastAsia"/>
                      <w:color w:val="auto"/>
                      <w:szCs w:val="21"/>
                    </w:rPr>
                  </w:pPr>
                  <w:r>
                    <w:rPr>
                      <w:rFonts w:hint="eastAsia"/>
                      <w:color w:val="auto"/>
                      <w:szCs w:val="21"/>
                    </w:rPr>
                    <w:t>危害形式</w:t>
                  </w:r>
                </w:p>
              </w:tc>
              <w:tc>
                <w:tcPr>
                  <w:tcW w:w="508" w:type="pct"/>
                  <w:vMerge w:val="restart"/>
                  <w:noWrap w:val="0"/>
                  <w:vAlign w:val="center"/>
                </w:tcPr>
                <w:p w14:paraId="04AF0447">
                  <w:pPr>
                    <w:spacing w:line="240" w:lineRule="atLeast"/>
                    <w:jc w:val="center"/>
                    <w:rPr>
                      <w:rFonts w:hint="eastAsia"/>
                      <w:color w:val="auto"/>
                      <w:szCs w:val="21"/>
                    </w:rPr>
                  </w:pPr>
                  <w:r>
                    <w:rPr>
                      <w:rFonts w:hint="eastAsia"/>
                      <w:color w:val="auto"/>
                      <w:szCs w:val="21"/>
                    </w:rPr>
                    <w:t>环境敏感目标</w:t>
                  </w:r>
                </w:p>
              </w:tc>
            </w:tr>
            <w:tr w14:paraId="0F6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noWrap w:val="0"/>
                  <w:vAlign w:val="center"/>
                </w:tcPr>
                <w:p w14:paraId="6E142E1E">
                  <w:pPr>
                    <w:spacing w:line="240" w:lineRule="atLeast"/>
                    <w:jc w:val="center"/>
                    <w:rPr>
                      <w:rFonts w:hint="eastAsia"/>
                      <w:color w:val="auto"/>
                      <w:szCs w:val="21"/>
                    </w:rPr>
                  </w:pPr>
                </w:p>
              </w:tc>
              <w:tc>
                <w:tcPr>
                  <w:tcW w:w="641" w:type="pct"/>
                  <w:vMerge w:val="continue"/>
                  <w:noWrap w:val="0"/>
                  <w:vAlign w:val="center"/>
                </w:tcPr>
                <w:p w14:paraId="5B0B22E1">
                  <w:pPr>
                    <w:spacing w:line="240" w:lineRule="atLeast"/>
                    <w:jc w:val="center"/>
                    <w:rPr>
                      <w:rFonts w:hint="eastAsia"/>
                      <w:color w:val="auto"/>
                      <w:szCs w:val="21"/>
                    </w:rPr>
                  </w:pPr>
                </w:p>
              </w:tc>
              <w:tc>
                <w:tcPr>
                  <w:tcW w:w="722" w:type="pct"/>
                  <w:vMerge w:val="continue"/>
                  <w:noWrap w:val="0"/>
                  <w:vAlign w:val="center"/>
                </w:tcPr>
                <w:p w14:paraId="7572B33D">
                  <w:pPr>
                    <w:spacing w:line="240" w:lineRule="atLeast"/>
                    <w:jc w:val="center"/>
                    <w:rPr>
                      <w:rFonts w:hint="eastAsia"/>
                      <w:color w:val="auto"/>
                      <w:szCs w:val="21"/>
                    </w:rPr>
                  </w:pPr>
                </w:p>
              </w:tc>
              <w:tc>
                <w:tcPr>
                  <w:tcW w:w="562" w:type="pct"/>
                  <w:noWrap w:val="0"/>
                  <w:vAlign w:val="center"/>
                </w:tcPr>
                <w:p w14:paraId="65AA6432">
                  <w:pPr>
                    <w:spacing w:line="240" w:lineRule="atLeast"/>
                    <w:jc w:val="center"/>
                    <w:rPr>
                      <w:rFonts w:hint="eastAsia"/>
                      <w:color w:val="auto"/>
                      <w:szCs w:val="21"/>
                    </w:rPr>
                  </w:pPr>
                  <w:r>
                    <w:rPr>
                      <w:rFonts w:hint="eastAsia"/>
                      <w:color w:val="auto"/>
                      <w:szCs w:val="21"/>
                    </w:rPr>
                    <w:t>大气</w:t>
                  </w:r>
                </w:p>
              </w:tc>
              <w:tc>
                <w:tcPr>
                  <w:tcW w:w="563" w:type="pct"/>
                  <w:noWrap w:val="0"/>
                  <w:vAlign w:val="center"/>
                </w:tcPr>
                <w:p w14:paraId="4490B3D5">
                  <w:pPr>
                    <w:spacing w:line="240" w:lineRule="atLeast"/>
                    <w:jc w:val="center"/>
                    <w:rPr>
                      <w:rFonts w:hint="eastAsia"/>
                      <w:color w:val="auto"/>
                      <w:szCs w:val="21"/>
                    </w:rPr>
                  </w:pPr>
                  <w:r>
                    <w:rPr>
                      <w:rFonts w:hint="eastAsia"/>
                      <w:color w:val="auto"/>
                      <w:szCs w:val="21"/>
                    </w:rPr>
                    <w:t>排水系统</w:t>
                  </w:r>
                </w:p>
              </w:tc>
              <w:tc>
                <w:tcPr>
                  <w:tcW w:w="562" w:type="pct"/>
                  <w:noWrap w:val="0"/>
                  <w:vAlign w:val="center"/>
                </w:tcPr>
                <w:p w14:paraId="263C5C51">
                  <w:pPr>
                    <w:spacing w:line="240" w:lineRule="atLeast"/>
                    <w:jc w:val="center"/>
                    <w:rPr>
                      <w:rFonts w:hint="eastAsia"/>
                      <w:color w:val="auto"/>
                      <w:szCs w:val="21"/>
                    </w:rPr>
                  </w:pPr>
                  <w:r>
                    <w:rPr>
                      <w:rFonts w:hint="eastAsia"/>
                      <w:color w:val="auto"/>
                      <w:szCs w:val="21"/>
                    </w:rPr>
                    <w:t>土壤、地下水</w:t>
                  </w:r>
                </w:p>
              </w:tc>
              <w:tc>
                <w:tcPr>
                  <w:tcW w:w="882" w:type="pct"/>
                  <w:vMerge w:val="continue"/>
                  <w:noWrap w:val="0"/>
                  <w:vAlign w:val="center"/>
                </w:tcPr>
                <w:p w14:paraId="5CB91352">
                  <w:pPr>
                    <w:spacing w:line="240" w:lineRule="atLeast"/>
                    <w:jc w:val="center"/>
                    <w:rPr>
                      <w:rFonts w:hint="eastAsia"/>
                      <w:color w:val="auto"/>
                      <w:szCs w:val="21"/>
                    </w:rPr>
                  </w:pPr>
                </w:p>
              </w:tc>
              <w:tc>
                <w:tcPr>
                  <w:tcW w:w="508" w:type="pct"/>
                  <w:vMerge w:val="continue"/>
                  <w:noWrap w:val="0"/>
                  <w:vAlign w:val="center"/>
                </w:tcPr>
                <w:p w14:paraId="4B233D1A">
                  <w:pPr>
                    <w:spacing w:line="240" w:lineRule="atLeast"/>
                    <w:jc w:val="center"/>
                    <w:rPr>
                      <w:rFonts w:hint="eastAsia"/>
                      <w:color w:val="auto"/>
                      <w:szCs w:val="21"/>
                    </w:rPr>
                  </w:pPr>
                </w:p>
              </w:tc>
            </w:tr>
            <w:tr w14:paraId="6053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noWrap w:val="0"/>
                  <w:vAlign w:val="center"/>
                </w:tcPr>
                <w:p w14:paraId="25B3730D">
                  <w:pPr>
                    <w:spacing w:line="240" w:lineRule="atLeast"/>
                    <w:jc w:val="center"/>
                    <w:rPr>
                      <w:rFonts w:hint="eastAsia"/>
                      <w:color w:val="auto"/>
                      <w:szCs w:val="21"/>
                    </w:rPr>
                  </w:pPr>
                  <w:r>
                    <w:rPr>
                      <w:rFonts w:hint="eastAsia"/>
                      <w:color w:val="auto"/>
                      <w:szCs w:val="21"/>
                    </w:rPr>
                    <w:t>泄漏</w:t>
                  </w:r>
                </w:p>
              </w:tc>
              <w:tc>
                <w:tcPr>
                  <w:tcW w:w="641" w:type="pct"/>
                  <w:vMerge w:val="restart"/>
                  <w:noWrap w:val="0"/>
                  <w:vAlign w:val="center"/>
                </w:tcPr>
                <w:p w14:paraId="40BF8EA4">
                  <w:pPr>
                    <w:spacing w:line="240" w:lineRule="atLeast"/>
                    <w:jc w:val="center"/>
                    <w:rPr>
                      <w:rFonts w:hint="default" w:eastAsia="宋体"/>
                      <w:color w:val="auto"/>
                      <w:szCs w:val="21"/>
                      <w:lang w:val="en-US" w:eastAsia="zh-CN"/>
                    </w:rPr>
                  </w:pPr>
                  <w:r>
                    <w:rPr>
                      <w:rFonts w:hint="eastAsia"/>
                      <w:color w:val="auto"/>
                      <w:szCs w:val="21"/>
                    </w:rPr>
                    <w:t>装置区、储罐区、</w:t>
                  </w:r>
                  <w:r>
                    <w:rPr>
                      <w:rFonts w:hint="eastAsia"/>
                      <w:color w:val="auto"/>
                      <w:szCs w:val="21"/>
                      <w:lang w:val="en-US" w:eastAsia="zh-CN"/>
                    </w:rPr>
                    <w:t>气瓶暂存区、</w:t>
                  </w:r>
                  <w:r>
                    <w:rPr>
                      <w:rFonts w:hint="eastAsia"/>
                      <w:color w:val="auto"/>
                      <w:szCs w:val="21"/>
                    </w:rPr>
                    <w:t>危废暂存间</w:t>
                  </w:r>
                  <w:r>
                    <w:rPr>
                      <w:rFonts w:hint="eastAsia"/>
                      <w:color w:val="auto"/>
                      <w:szCs w:val="21"/>
                      <w:lang w:eastAsia="zh-CN"/>
                    </w:rPr>
                    <w:t>、</w:t>
                  </w:r>
                  <w:r>
                    <w:rPr>
                      <w:rFonts w:hint="eastAsia"/>
                      <w:color w:val="auto"/>
                      <w:szCs w:val="21"/>
                      <w:lang w:val="en-US" w:eastAsia="zh-CN"/>
                    </w:rPr>
                    <w:t>环保装置</w:t>
                  </w:r>
                </w:p>
              </w:tc>
              <w:tc>
                <w:tcPr>
                  <w:tcW w:w="722" w:type="pct"/>
                  <w:noWrap w:val="0"/>
                  <w:vAlign w:val="center"/>
                </w:tcPr>
                <w:p w14:paraId="300B9AAD">
                  <w:pPr>
                    <w:spacing w:line="240" w:lineRule="atLeast"/>
                    <w:jc w:val="center"/>
                    <w:rPr>
                      <w:rFonts w:hint="eastAsia"/>
                      <w:color w:val="auto"/>
                      <w:szCs w:val="21"/>
                    </w:rPr>
                  </w:pPr>
                  <w:r>
                    <w:rPr>
                      <w:rFonts w:hint="eastAsia"/>
                      <w:color w:val="auto"/>
                      <w:szCs w:val="21"/>
                    </w:rPr>
                    <w:t>气态毒物</w:t>
                  </w:r>
                </w:p>
              </w:tc>
              <w:tc>
                <w:tcPr>
                  <w:tcW w:w="562" w:type="pct"/>
                  <w:noWrap w:val="0"/>
                  <w:vAlign w:val="center"/>
                </w:tcPr>
                <w:p w14:paraId="09EDA270">
                  <w:pPr>
                    <w:spacing w:line="240" w:lineRule="atLeast"/>
                    <w:jc w:val="center"/>
                    <w:rPr>
                      <w:rFonts w:hint="eastAsia"/>
                      <w:color w:val="auto"/>
                      <w:szCs w:val="21"/>
                    </w:rPr>
                  </w:pPr>
                  <w:r>
                    <w:rPr>
                      <w:rFonts w:hint="eastAsia"/>
                      <w:color w:val="auto"/>
                      <w:szCs w:val="21"/>
                    </w:rPr>
                    <w:t>扩散</w:t>
                  </w:r>
                </w:p>
              </w:tc>
              <w:tc>
                <w:tcPr>
                  <w:tcW w:w="563" w:type="pct"/>
                  <w:noWrap w:val="0"/>
                  <w:vAlign w:val="center"/>
                </w:tcPr>
                <w:p w14:paraId="54D4D0CE">
                  <w:pPr>
                    <w:spacing w:line="240" w:lineRule="atLeast"/>
                    <w:jc w:val="center"/>
                    <w:rPr>
                      <w:color w:val="auto"/>
                      <w:szCs w:val="21"/>
                    </w:rPr>
                  </w:pPr>
                  <w:r>
                    <w:rPr>
                      <w:rFonts w:hint="eastAsia"/>
                      <w:color w:val="auto"/>
                      <w:szCs w:val="21"/>
                    </w:rPr>
                    <w:t>/</w:t>
                  </w:r>
                </w:p>
              </w:tc>
              <w:tc>
                <w:tcPr>
                  <w:tcW w:w="562" w:type="pct"/>
                  <w:noWrap w:val="0"/>
                  <w:vAlign w:val="center"/>
                </w:tcPr>
                <w:p w14:paraId="17F638FE">
                  <w:pPr>
                    <w:spacing w:line="240" w:lineRule="atLeast"/>
                    <w:jc w:val="center"/>
                    <w:rPr>
                      <w:color w:val="auto"/>
                      <w:szCs w:val="21"/>
                    </w:rPr>
                  </w:pPr>
                  <w:r>
                    <w:rPr>
                      <w:rFonts w:hint="eastAsia"/>
                      <w:color w:val="auto"/>
                      <w:szCs w:val="21"/>
                    </w:rPr>
                    <w:t>/</w:t>
                  </w:r>
                </w:p>
              </w:tc>
              <w:tc>
                <w:tcPr>
                  <w:tcW w:w="882" w:type="pct"/>
                  <w:noWrap w:val="0"/>
                  <w:vAlign w:val="center"/>
                </w:tcPr>
                <w:p w14:paraId="66C2B32F">
                  <w:pPr>
                    <w:spacing w:line="240" w:lineRule="atLeast"/>
                    <w:jc w:val="center"/>
                    <w:rPr>
                      <w:rFonts w:hint="eastAsia"/>
                      <w:color w:val="auto"/>
                      <w:szCs w:val="21"/>
                    </w:rPr>
                  </w:pPr>
                  <w:r>
                    <w:rPr>
                      <w:rFonts w:hint="eastAsia"/>
                      <w:color w:val="auto"/>
                      <w:szCs w:val="21"/>
                    </w:rPr>
                    <w:t>人民伤亡，大气污染物</w:t>
                  </w:r>
                </w:p>
              </w:tc>
              <w:tc>
                <w:tcPr>
                  <w:tcW w:w="508" w:type="pct"/>
                  <w:vMerge w:val="restart"/>
                  <w:noWrap w:val="0"/>
                  <w:vAlign w:val="center"/>
                </w:tcPr>
                <w:p w14:paraId="2289FA33">
                  <w:pPr>
                    <w:spacing w:line="240" w:lineRule="atLeast"/>
                    <w:jc w:val="center"/>
                    <w:rPr>
                      <w:rFonts w:hint="eastAsia"/>
                      <w:color w:val="auto"/>
                      <w:szCs w:val="21"/>
                    </w:rPr>
                  </w:pPr>
                  <w:r>
                    <w:rPr>
                      <w:rFonts w:hint="eastAsia"/>
                      <w:color w:val="auto"/>
                      <w:szCs w:val="21"/>
                    </w:rPr>
                    <w:t>评价范围内大气、地表水、地下水、土壤环境敏感目标</w:t>
                  </w:r>
                </w:p>
              </w:tc>
            </w:tr>
            <w:tr w14:paraId="4B7C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59" w:type="pct"/>
                  <w:vMerge w:val="continue"/>
                  <w:noWrap w:val="0"/>
                  <w:vAlign w:val="center"/>
                </w:tcPr>
                <w:p w14:paraId="63CEBD82">
                  <w:pPr>
                    <w:spacing w:line="240" w:lineRule="atLeast"/>
                    <w:jc w:val="center"/>
                    <w:rPr>
                      <w:rFonts w:hint="eastAsia"/>
                      <w:color w:val="auto"/>
                      <w:szCs w:val="21"/>
                    </w:rPr>
                  </w:pPr>
                </w:p>
              </w:tc>
              <w:tc>
                <w:tcPr>
                  <w:tcW w:w="641" w:type="pct"/>
                  <w:vMerge w:val="continue"/>
                  <w:noWrap w:val="0"/>
                  <w:vAlign w:val="center"/>
                </w:tcPr>
                <w:p w14:paraId="1F435E0F">
                  <w:pPr>
                    <w:spacing w:line="240" w:lineRule="atLeast"/>
                    <w:jc w:val="center"/>
                    <w:rPr>
                      <w:rFonts w:hint="eastAsia"/>
                      <w:color w:val="auto"/>
                      <w:szCs w:val="21"/>
                    </w:rPr>
                  </w:pPr>
                </w:p>
              </w:tc>
              <w:tc>
                <w:tcPr>
                  <w:tcW w:w="722" w:type="pct"/>
                  <w:noWrap w:val="0"/>
                  <w:vAlign w:val="center"/>
                </w:tcPr>
                <w:p w14:paraId="30D97722">
                  <w:pPr>
                    <w:spacing w:line="240" w:lineRule="atLeast"/>
                    <w:jc w:val="center"/>
                    <w:rPr>
                      <w:rFonts w:hint="eastAsia"/>
                      <w:color w:val="auto"/>
                      <w:szCs w:val="21"/>
                    </w:rPr>
                  </w:pPr>
                  <w:r>
                    <w:rPr>
                      <w:rFonts w:hint="eastAsia"/>
                      <w:color w:val="auto"/>
                      <w:szCs w:val="21"/>
                    </w:rPr>
                    <w:t>液态毒物</w:t>
                  </w:r>
                </w:p>
              </w:tc>
              <w:tc>
                <w:tcPr>
                  <w:tcW w:w="562" w:type="pct"/>
                  <w:noWrap w:val="0"/>
                  <w:vAlign w:val="center"/>
                </w:tcPr>
                <w:p w14:paraId="478DD224">
                  <w:pPr>
                    <w:spacing w:line="240" w:lineRule="atLeast"/>
                    <w:jc w:val="center"/>
                    <w:rPr>
                      <w:rFonts w:hint="eastAsia"/>
                      <w:color w:val="auto"/>
                      <w:szCs w:val="21"/>
                    </w:rPr>
                  </w:pPr>
                  <w:r>
                    <w:rPr>
                      <w:rFonts w:hint="eastAsia"/>
                      <w:color w:val="auto"/>
                      <w:szCs w:val="21"/>
                    </w:rPr>
                    <w:t>扩散</w:t>
                  </w:r>
                </w:p>
              </w:tc>
              <w:tc>
                <w:tcPr>
                  <w:tcW w:w="563" w:type="pct"/>
                  <w:noWrap w:val="0"/>
                  <w:vAlign w:val="center"/>
                </w:tcPr>
                <w:p w14:paraId="4F253280">
                  <w:pPr>
                    <w:spacing w:line="240" w:lineRule="atLeast"/>
                    <w:jc w:val="center"/>
                    <w:rPr>
                      <w:rFonts w:hint="eastAsia"/>
                      <w:color w:val="auto"/>
                      <w:szCs w:val="21"/>
                    </w:rPr>
                  </w:pPr>
                  <w:r>
                    <w:rPr>
                      <w:rFonts w:hint="eastAsia"/>
                      <w:color w:val="auto"/>
                      <w:szCs w:val="21"/>
                    </w:rPr>
                    <w:t>生产废水、雨水、消防废水等</w:t>
                  </w:r>
                </w:p>
              </w:tc>
              <w:tc>
                <w:tcPr>
                  <w:tcW w:w="562" w:type="pct"/>
                  <w:noWrap w:val="0"/>
                  <w:vAlign w:val="center"/>
                </w:tcPr>
                <w:p w14:paraId="49401D51">
                  <w:pPr>
                    <w:spacing w:line="240" w:lineRule="atLeast"/>
                    <w:jc w:val="center"/>
                    <w:rPr>
                      <w:rFonts w:hint="eastAsia"/>
                      <w:color w:val="auto"/>
                      <w:szCs w:val="21"/>
                    </w:rPr>
                  </w:pPr>
                  <w:r>
                    <w:rPr>
                      <w:rFonts w:hint="eastAsia"/>
                      <w:color w:val="auto"/>
                      <w:szCs w:val="21"/>
                    </w:rPr>
                    <w:t>渗透、吸收</w:t>
                  </w:r>
                </w:p>
              </w:tc>
              <w:tc>
                <w:tcPr>
                  <w:tcW w:w="882" w:type="pct"/>
                  <w:noWrap w:val="0"/>
                  <w:vAlign w:val="center"/>
                </w:tcPr>
                <w:p w14:paraId="656DCE2D">
                  <w:pPr>
                    <w:spacing w:line="240" w:lineRule="atLeast"/>
                    <w:jc w:val="center"/>
                    <w:rPr>
                      <w:rFonts w:hint="eastAsia"/>
                      <w:color w:val="auto"/>
                      <w:szCs w:val="21"/>
                    </w:rPr>
                  </w:pPr>
                  <w:r>
                    <w:rPr>
                      <w:rFonts w:hint="eastAsia"/>
                      <w:color w:val="auto"/>
                      <w:szCs w:val="21"/>
                    </w:rPr>
                    <w:t>地表水、地下水、土壤环境污染</w:t>
                  </w:r>
                </w:p>
              </w:tc>
              <w:tc>
                <w:tcPr>
                  <w:tcW w:w="508" w:type="pct"/>
                  <w:vMerge w:val="continue"/>
                  <w:noWrap w:val="0"/>
                  <w:vAlign w:val="center"/>
                </w:tcPr>
                <w:p w14:paraId="14F35428">
                  <w:pPr>
                    <w:spacing w:line="240" w:lineRule="atLeast"/>
                    <w:jc w:val="center"/>
                    <w:rPr>
                      <w:rFonts w:hint="eastAsia"/>
                      <w:color w:val="auto"/>
                      <w:szCs w:val="21"/>
                    </w:rPr>
                  </w:pPr>
                </w:p>
              </w:tc>
            </w:tr>
            <w:tr w14:paraId="4DDE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noWrap w:val="0"/>
                  <w:vAlign w:val="center"/>
                </w:tcPr>
                <w:p w14:paraId="074D4387">
                  <w:pPr>
                    <w:spacing w:line="240" w:lineRule="atLeast"/>
                    <w:jc w:val="center"/>
                    <w:rPr>
                      <w:rFonts w:hint="eastAsia"/>
                      <w:color w:val="auto"/>
                      <w:szCs w:val="21"/>
                    </w:rPr>
                  </w:pPr>
                  <w:r>
                    <w:rPr>
                      <w:rFonts w:hint="eastAsia"/>
                      <w:color w:val="auto"/>
                      <w:szCs w:val="21"/>
                    </w:rPr>
                    <w:t>火灾</w:t>
                  </w:r>
                </w:p>
              </w:tc>
              <w:tc>
                <w:tcPr>
                  <w:tcW w:w="641" w:type="pct"/>
                  <w:vMerge w:val="restart"/>
                  <w:noWrap w:val="0"/>
                  <w:vAlign w:val="center"/>
                </w:tcPr>
                <w:p w14:paraId="44FBB769">
                  <w:pPr>
                    <w:spacing w:line="240" w:lineRule="atLeast"/>
                    <w:jc w:val="center"/>
                    <w:rPr>
                      <w:rFonts w:hint="eastAsia"/>
                      <w:color w:val="auto"/>
                      <w:szCs w:val="21"/>
                    </w:rPr>
                  </w:pPr>
                  <w:r>
                    <w:rPr>
                      <w:rFonts w:hint="eastAsia"/>
                      <w:color w:val="auto"/>
                      <w:szCs w:val="21"/>
                    </w:rPr>
                    <w:t>装置区、储罐区、</w:t>
                  </w:r>
                  <w:r>
                    <w:rPr>
                      <w:rFonts w:hint="eastAsia"/>
                      <w:color w:val="auto"/>
                      <w:szCs w:val="21"/>
                      <w:lang w:val="en-US" w:eastAsia="zh-CN"/>
                    </w:rPr>
                    <w:t>气瓶暂存区、</w:t>
                  </w:r>
                  <w:r>
                    <w:rPr>
                      <w:rFonts w:hint="eastAsia"/>
                      <w:color w:val="auto"/>
                      <w:szCs w:val="21"/>
                    </w:rPr>
                    <w:t>危废暂存间</w:t>
                  </w:r>
                </w:p>
              </w:tc>
              <w:tc>
                <w:tcPr>
                  <w:tcW w:w="722" w:type="pct"/>
                  <w:noWrap w:val="0"/>
                  <w:vAlign w:val="center"/>
                </w:tcPr>
                <w:p w14:paraId="0DB4C5B3">
                  <w:pPr>
                    <w:spacing w:line="240" w:lineRule="atLeast"/>
                    <w:jc w:val="center"/>
                    <w:rPr>
                      <w:rFonts w:hint="eastAsia"/>
                      <w:color w:val="auto"/>
                      <w:szCs w:val="21"/>
                    </w:rPr>
                  </w:pPr>
                  <w:r>
                    <w:rPr>
                      <w:rFonts w:hint="eastAsia"/>
                      <w:color w:val="auto"/>
                      <w:szCs w:val="21"/>
                    </w:rPr>
                    <w:t>热辐射</w:t>
                  </w:r>
                </w:p>
              </w:tc>
              <w:tc>
                <w:tcPr>
                  <w:tcW w:w="562" w:type="pct"/>
                  <w:noWrap w:val="0"/>
                  <w:vAlign w:val="center"/>
                </w:tcPr>
                <w:p w14:paraId="23362035">
                  <w:pPr>
                    <w:spacing w:line="240" w:lineRule="atLeast"/>
                    <w:jc w:val="center"/>
                    <w:rPr>
                      <w:rFonts w:hint="eastAsia"/>
                      <w:color w:val="auto"/>
                      <w:szCs w:val="21"/>
                    </w:rPr>
                  </w:pPr>
                  <w:r>
                    <w:rPr>
                      <w:rFonts w:hint="eastAsia"/>
                      <w:color w:val="auto"/>
                      <w:szCs w:val="21"/>
                    </w:rPr>
                    <w:t>扩散</w:t>
                  </w:r>
                </w:p>
              </w:tc>
              <w:tc>
                <w:tcPr>
                  <w:tcW w:w="563" w:type="pct"/>
                  <w:noWrap w:val="0"/>
                  <w:vAlign w:val="center"/>
                </w:tcPr>
                <w:p w14:paraId="2D300703">
                  <w:pPr>
                    <w:spacing w:line="240" w:lineRule="atLeast"/>
                    <w:jc w:val="center"/>
                    <w:rPr>
                      <w:color w:val="auto"/>
                      <w:szCs w:val="21"/>
                    </w:rPr>
                  </w:pPr>
                  <w:r>
                    <w:rPr>
                      <w:rFonts w:hint="eastAsia"/>
                      <w:color w:val="auto"/>
                      <w:szCs w:val="21"/>
                    </w:rPr>
                    <w:t>/</w:t>
                  </w:r>
                </w:p>
              </w:tc>
              <w:tc>
                <w:tcPr>
                  <w:tcW w:w="562" w:type="pct"/>
                  <w:noWrap w:val="0"/>
                  <w:vAlign w:val="center"/>
                </w:tcPr>
                <w:p w14:paraId="4CF9CD69">
                  <w:pPr>
                    <w:spacing w:line="240" w:lineRule="atLeast"/>
                    <w:jc w:val="center"/>
                    <w:rPr>
                      <w:color w:val="auto"/>
                      <w:szCs w:val="21"/>
                    </w:rPr>
                  </w:pPr>
                  <w:r>
                    <w:rPr>
                      <w:rFonts w:hint="eastAsia"/>
                      <w:color w:val="auto"/>
                      <w:szCs w:val="21"/>
                    </w:rPr>
                    <w:t>/</w:t>
                  </w:r>
                </w:p>
              </w:tc>
              <w:tc>
                <w:tcPr>
                  <w:tcW w:w="882" w:type="pct"/>
                  <w:vMerge w:val="restart"/>
                  <w:noWrap w:val="0"/>
                  <w:vAlign w:val="center"/>
                </w:tcPr>
                <w:p w14:paraId="42EDF180">
                  <w:pPr>
                    <w:spacing w:line="240" w:lineRule="atLeast"/>
                    <w:jc w:val="center"/>
                    <w:rPr>
                      <w:rFonts w:hint="eastAsia"/>
                      <w:color w:val="auto"/>
                      <w:szCs w:val="21"/>
                    </w:rPr>
                  </w:pPr>
                  <w:r>
                    <w:rPr>
                      <w:rFonts w:hint="eastAsia"/>
                      <w:color w:val="auto"/>
                      <w:szCs w:val="21"/>
                    </w:rPr>
                    <w:t>人民伤亡，大气污染物</w:t>
                  </w:r>
                </w:p>
              </w:tc>
              <w:tc>
                <w:tcPr>
                  <w:tcW w:w="508" w:type="pct"/>
                  <w:vMerge w:val="continue"/>
                  <w:noWrap w:val="0"/>
                  <w:vAlign w:val="center"/>
                </w:tcPr>
                <w:p w14:paraId="7ED980FE">
                  <w:pPr>
                    <w:spacing w:line="240" w:lineRule="atLeast"/>
                    <w:jc w:val="center"/>
                    <w:rPr>
                      <w:rFonts w:hint="eastAsia"/>
                      <w:color w:val="auto"/>
                      <w:szCs w:val="21"/>
                    </w:rPr>
                  </w:pPr>
                </w:p>
              </w:tc>
            </w:tr>
            <w:tr w14:paraId="34F7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noWrap w:val="0"/>
                  <w:vAlign w:val="center"/>
                </w:tcPr>
                <w:p w14:paraId="46CD7273">
                  <w:pPr>
                    <w:spacing w:line="240" w:lineRule="atLeast"/>
                    <w:jc w:val="center"/>
                    <w:rPr>
                      <w:rFonts w:hint="eastAsia"/>
                      <w:color w:val="auto"/>
                      <w:szCs w:val="21"/>
                    </w:rPr>
                  </w:pPr>
                </w:p>
              </w:tc>
              <w:tc>
                <w:tcPr>
                  <w:tcW w:w="641" w:type="pct"/>
                  <w:vMerge w:val="continue"/>
                  <w:noWrap w:val="0"/>
                  <w:vAlign w:val="center"/>
                </w:tcPr>
                <w:p w14:paraId="55B16F8F">
                  <w:pPr>
                    <w:spacing w:line="240" w:lineRule="atLeast"/>
                    <w:jc w:val="center"/>
                    <w:rPr>
                      <w:rFonts w:hint="eastAsia"/>
                      <w:color w:val="auto"/>
                      <w:szCs w:val="21"/>
                    </w:rPr>
                  </w:pPr>
                </w:p>
              </w:tc>
              <w:tc>
                <w:tcPr>
                  <w:tcW w:w="722" w:type="pct"/>
                  <w:noWrap w:val="0"/>
                  <w:vAlign w:val="center"/>
                </w:tcPr>
                <w:p w14:paraId="1EAF9A3F">
                  <w:pPr>
                    <w:spacing w:line="240" w:lineRule="atLeast"/>
                    <w:jc w:val="center"/>
                    <w:rPr>
                      <w:rFonts w:hint="eastAsia"/>
                      <w:color w:val="auto"/>
                      <w:szCs w:val="21"/>
                    </w:rPr>
                  </w:pPr>
                  <w:r>
                    <w:rPr>
                      <w:rFonts w:hint="eastAsia"/>
                      <w:color w:val="auto"/>
                      <w:szCs w:val="21"/>
                    </w:rPr>
                    <w:t>毒物蒸发</w:t>
                  </w:r>
                </w:p>
              </w:tc>
              <w:tc>
                <w:tcPr>
                  <w:tcW w:w="562" w:type="pct"/>
                  <w:noWrap w:val="0"/>
                  <w:vAlign w:val="center"/>
                </w:tcPr>
                <w:p w14:paraId="021E368B">
                  <w:pPr>
                    <w:spacing w:line="240" w:lineRule="atLeast"/>
                    <w:jc w:val="center"/>
                    <w:rPr>
                      <w:rFonts w:hint="eastAsia"/>
                      <w:color w:val="auto"/>
                      <w:szCs w:val="21"/>
                    </w:rPr>
                  </w:pPr>
                  <w:r>
                    <w:rPr>
                      <w:rFonts w:hint="eastAsia"/>
                      <w:color w:val="auto"/>
                      <w:szCs w:val="21"/>
                    </w:rPr>
                    <w:t>扩散</w:t>
                  </w:r>
                </w:p>
              </w:tc>
              <w:tc>
                <w:tcPr>
                  <w:tcW w:w="563" w:type="pct"/>
                  <w:noWrap w:val="0"/>
                  <w:vAlign w:val="center"/>
                </w:tcPr>
                <w:p w14:paraId="267B2836">
                  <w:pPr>
                    <w:spacing w:line="240" w:lineRule="atLeast"/>
                    <w:jc w:val="center"/>
                    <w:rPr>
                      <w:color w:val="auto"/>
                      <w:szCs w:val="21"/>
                    </w:rPr>
                  </w:pPr>
                  <w:r>
                    <w:rPr>
                      <w:rFonts w:hint="eastAsia"/>
                      <w:color w:val="auto"/>
                      <w:szCs w:val="21"/>
                    </w:rPr>
                    <w:t>/</w:t>
                  </w:r>
                </w:p>
              </w:tc>
              <w:tc>
                <w:tcPr>
                  <w:tcW w:w="562" w:type="pct"/>
                  <w:noWrap w:val="0"/>
                  <w:vAlign w:val="center"/>
                </w:tcPr>
                <w:p w14:paraId="6C44E390">
                  <w:pPr>
                    <w:spacing w:line="240" w:lineRule="atLeast"/>
                    <w:jc w:val="center"/>
                    <w:rPr>
                      <w:color w:val="auto"/>
                      <w:szCs w:val="21"/>
                    </w:rPr>
                  </w:pPr>
                  <w:r>
                    <w:rPr>
                      <w:rFonts w:hint="eastAsia"/>
                      <w:color w:val="auto"/>
                      <w:szCs w:val="21"/>
                    </w:rPr>
                    <w:t>/</w:t>
                  </w:r>
                </w:p>
              </w:tc>
              <w:tc>
                <w:tcPr>
                  <w:tcW w:w="882" w:type="pct"/>
                  <w:vMerge w:val="continue"/>
                  <w:noWrap w:val="0"/>
                  <w:vAlign w:val="center"/>
                </w:tcPr>
                <w:p w14:paraId="6250685E">
                  <w:pPr>
                    <w:spacing w:line="240" w:lineRule="atLeast"/>
                    <w:jc w:val="center"/>
                    <w:rPr>
                      <w:rFonts w:hint="eastAsia"/>
                      <w:color w:val="auto"/>
                      <w:szCs w:val="21"/>
                    </w:rPr>
                  </w:pPr>
                </w:p>
              </w:tc>
              <w:tc>
                <w:tcPr>
                  <w:tcW w:w="508" w:type="pct"/>
                  <w:vMerge w:val="continue"/>
                  <w:noWrap w:val="0"/>
                  <w:vAlign w:val="center"/>
                </w:tcPr>
                <w:p w14:paraId="4C06129F">
                  <w:pPr>
                    <w:spacing w:line="240" w:lineRule="atLeast"/>
                    <w:jc w:val="center"/>
                    <w:rPr>
                      <w:rFonts w:hint="eastAsia"/>
                      <w:color w:val="auto"/>
                      <w:szCs w:val="21"/>
                    </w:rPr>
                  </w:pPr>
                </w:p>
              </w:tc>
            </w:tr>
            <w:tr w14:paraId="4095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59" w:type="pct"/>
                  <w:vMerge w:val="continue"/>
                  <w:noWrap w:val="0"/>
                  <w:vAlign w:val="center"/>
                </w:tcPr>
                <w:p w14:paraId="78427F16">
                  <w:pPr>
                    <w:spacing w:line="240" w:lineRule="atLeast"/>
                    <w:jc w:val="center"/>
                    <w:rPr>
                      <w:rFonts w:hint="eastAsia"/>
                      <w:color w:val="auto"/>
                      <w:szCs w:val="21"/>
                    </w:rPr>
                  </w:pPr>
                </w:p>
              </w:tc>
              <w:tc>
                <w:tcPr>
                  <w:tcW w:w="641" w:type="pct"/>
                  <w:vMerge w:val="continue"/>
                  <w:noWrap w:val="0"/>
                  <w:vAlign w:val="center"/>
                </w:tcPr>
                <w:p w14:paraId="7C7EB422">
                  <w:pPr>
                    <w:spacing w:line="240" w:lineRule="atLeast"/>
                    <w:jc w:val="center"/>
                    <w:rPr>
                      <w:rFonts w:hint="eastAsia"/>
                      <w:color w:val="auto"/>
                      <w:szCs w:val="21"/>
                    </w:rPr>
                  </w:pPr>
                </w:p>
              </w:tc>
              <w:tc>
                <w:tcPr>
                  <w:tcW w:w="722" w:type="pct"/>
                  <w:noWrap w:val="0"/>
                  <w:vAlign w:val="center"/>
                </w:tcPr>
                <w:p w14:paraId="4621FF75">
                  <w:pPr>
                    <w:spacing w:line="240" w:lineRule="atLeast"/>
                    <w:jc w:val="center"/>
                    <w:rPr>
                      <w:rFonts w:hint="eastAsia"/>
                      <w:color w:val="auto"/>
                      <w:szCs w:val="21"/>
                    </w:rPr>
                  </w:pPr>
                  <w:r>
                    <w:rPr>
                      <w:rFonts w:hint="eastAsia"/>
                      <w:color w:val="auto"/>
                      <w:szCs w:val="21"/>
                    </w:rPr>
                    <w:t>消防水</w:t>
                  </w:r>
                </w:p>
              </w:tc>
              <w:tc>
                <w:tcPr>
                  <w:tcW w:w="562" w:type="pct"/>
                  <w:noWrap w:val="0"/>
                  <w:vAlign w:val="center"/>
                </w:tcPr>
                <w:p w14:paraId="25403C98">
                  <w:pPr>
                    <w:spacing w:line="240" w:lineRule="atLeast"/>
                    <w:jc w:val="center"/>
                    <w:rPr>
                      <w:rFonts w:hint="eastAsia"/>
                      <w:color w:val="auto"/>
                      <w:szCs w:val="21"/>
                    </w:rPr>
                  </w:pPr>
                  <w:r>
                    <w:rPr>
                      <w:rFonts w:hint="eastAsia"/>
                      <w:color w:val="auto"/>
                      <w:szCs w:val="21"/>
                    </w:rPr>
                    <w:t>/</w:t>
                  </w:r>
                </w:p>
              </w:tc>
              <w:tc>
                <w:tcPr>
                  <w:tcW w:w="563" w:type="pct"/>
                  <w:noWrap w:val="0"/>
                  <w:vAlign w:val="center"/>
                </w:tcPr>
                <w:p w14:paraId="1AAFCDFB">
                  <w:pPr>
                    <w:spacing w:line="240" w:lineRule="atLeast"/>
                    <w:jc w:val="center"/>
                    <w:rPr>
                      <w:color w:val="auto"/>
                      <w:szCs w:val="21"/>
                    </w:rPr>
                  </w:pPr>
                  <w:r>
                    <w:rPr>
                      <w:rFonts w:hint="eastAsia"/>
                      <w:color w:val="auto"/>
                      <w:szCs w:val="21"/>
                    </w:rPr>
                    <w:t>生产废水、雨水、消防废水等</w:t>
                  </w:r>
                </w:p>
              </w:tc>
              <w:tc>
                <w:tcPr>
                  <w:tcW w:w="562" w:type="pct"/>
                  <w:noWrap w:val="0"/>
                  <w:vAlign w:val="center"/>
                </w:tcPr>
                <w:p w14:paraId="122409D7">
                  <w:pPr>
                    <w:spacing w:line="240" w:lineRule="atLeast"/>
                    <w:jc w:val="center"/>
                    <w:rPr>
                      <w:color w:val="auto"/>
                      <w:szCs w:val="21"/>
                    </w:rPr>
                  </w:pPr>
                  <w:r>
                    <w:rPr>
                      <w:rFonts w:hint="eastAsia"/>
                      <w:color w:val="auto"/>
                      <w:szCs w:val="21"/>
                    </w:rPr>
                    <w:t>渗透、吸收</w:t>
                  </w:r>
                </w:p>
              </w:tc>
              <w:tc>
                <w:tcPr>
                  <w:tcW w:w="882" w:type="pct"/>
                  <w:noWrap w:val="0"/>
                  <w:vAlign w:val="center"/>
                </w:tcPr>
                <w:p w14:paraId="4B6AE450">
                  <w:pPr>
                    <w:spacing w:line="240" w:lineRule="atLeast"/>
                    <w:jc w:val="center"/>
                    <w:rPr>
                      <w:rFonts w:hint="eastAsia"/>
                      <w:color w:val="auto"/>
                      <w:szCs w:val="21"/>
                    </w:rPr>
                  </w:pPr>
                  <w:r>
                    <w:rPr>
                      <w:rFonts w:hint="eastAsia"/>
                      <w:color w:val="auto"/>
                      <w:szCs w:val="21"/>
                    </w:rPr>
                    <w:t>/</w:t>
                  </w:r>
                </w:p>
              </w:tc>
              <w:tc>
                <w:tcPr>
                  <w:tcW w:w="508" w:type="pct"/>
                  <w:vMerge w:val="continue"/>
                  <w:noWrap w:val="0"/>
                  <w:vAlign w:val="center"/>
                </w:tcPr>
                <w:p w14:paraId="7B144CCF">
                  <w:pPr>
                    <w:spacing w:line="240" w:lineRule="atLeast"/>
                    <w:jc w:val="center"/>
                    <w:rPr>
                      <w:rFonts w:hint="eastAsia"/>
                      <w:color w:val="auto"/>
                      <w:szCs w:val="21"/>
                    </w:rPr>
                  </w:pPr>
                </w:p>
              </w:tc>
            </w:tr>
            <w:tr w14:paraId="62EC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noWrap w:val="0"/>
                  <w:vAlign w:val="center"/>
                </w:tcPr>
                <w:p w14:paraId="179E725E">
                  <w:pPr>
                    <w:spacing w:line="240" w:lineRule="atLeast"/>
                    <w:jc w:val="center"/>
                    <w:rPr>
                      <w:rFonts w:hint="eastAsia"/>
                      <w:color w:val="auto"/>
                      <w:szCs w:val="21"/>
                    </w:rPr>
                  </w:pPr>
                  <w:r>
                    <w:rPr>
                      <w:rFonts w:hint="eastAsia"/>
                      <w:color w:val="auto"/>
                      <w:szCs w:val="21"/>
                    </w:rPr>
                    <w:t>爆炸</w:t>
                  </w:r>
                </w:p>
              </w:tc>
              <w:tc>
                <w:tcPr>
                  <w:tcW w:w="641" w:type="pct"/>
                  <w:vMerge w:val="restart"/>
                  <w:noWrap w:val="0"/>
                  <w:vAlign w:val="center"/>
                </w:tcPr>
                <w:p w14:paraId="66815AFC">
                  <w:pPr>
                    <w:spacing w:line="240" w:lineRule="atLeast"/>
                    <w:jc w:val="center"/>
                    <w:rPr>
                      <w:rFonts w:hint="eastAsia"/>
                      <w:color w:val="auto"/>
                      <w:szCs w:val="21"/>
                    </w:rPr>
                  </w:pPr>
                  <w:r>
                    <w:rPr>
                      <w:rFonts w:hint="eastAsia"/>
                      <w:color w:val="auto"/>
                      <w:szCs w:val="21"/>
                    </w:rPr>
                    <w:t>装置区、储罐区、</w:t>
                  </w:r>
                  <w:r>
                    <w:rPr>
                      <w:rFonts w:hint="eastAsia"/>
                      <w:color w:val="auto"/>
                      <w:szCs w:val="21"/>
                      <w:lang w:val="en-US" w:eastAsia="zh-CN"/>
                    </w:rPr>
                    <w:t>气瓶暂存区、</w:t>
                  </w:r>
                  <w:r>
                    <w:rPr>
                      <w:rFonts w:hint="eastAsia"/>
                      <w:color w:val="auto"/>
                      <w:szCs w:val="21"/>
                    </w:rPr>
                    <w:t>危废暂存间</w:t>
                  </w:r>
                </w:p>
              </w:tc>
              <w:tc>
                <w:tcPr>
                  <w:tcW w:w="722" w:type="pct"/>
                  <w:noWrap w:val="0"/>
                  <w:vAlign w:val="center"/>
                </w:tcPr>
                <w:p w14:paraId="30B64A08">
                  <w:pPr>
                    <w:spacing w:line="240" w:lineRule="atLeast"/>
                    <w:jc w:val="center"/>
                    <w:rPr>
                      <w:rFonts w:hint="eastAsia"/>
                      <w:color w:val="auto"/>
                      <w:szCs w:val="21"/>
                    </w:rPr>
                  </w:pPr>
                  <w:r>
                    <w:rPr>
                      <w:rFonts w:hint="eastAsia"/>
                      <w:color w:val="auto"/>
                      <w:szCs w:val="21"/>
                    </w:rPr>
                    <w:t>冲击波</w:t>
                  </w:r>
                </w:p>
              </w:tc>
              <w:tc>
                <w:tcPr>
                  <w:tcW w:w="562" w:type="pct"/>
                  <w:noWrap w:val="0"/>
                  <w:vAlign w:val="center"/>
                </w:tcPr>
                <w:p w14:paraId="27DD2247">
                  <w:pPr>
                    <w:spacing w:line="240" w:lineRule="atLeast"/>
                    <w:jc w:val="center"/>
                    <w:rPr>
                      <w:rFonts w:hint="eastAsia"/>
                      <w:color w:val="auto"/>
                      <w:szCs w:val="21"/>
                    </w:rPr>
                  </w:pPr>
                  <w:r>
                    <w:rPr>
                      <w:rFonts w:hint="eastAsia"/>
                      <w:color w:val="auto"/>
                      <w:szCs w:val="21"/>
                    </w:rPr>
                    <w:t>传输</w:t>
                  </w:r>
                </w:p>
              </w:tc>
              <w:tc>
                <w:tcPr>
                  <w:tcW w:w="563" w:type="pct"/>
                  <w:noWrap w:val="0"/>
                  <w:vAlign w:val="center"/>
                </w:tcPr>
                <w:p w14:paraId="784CD428">
                  <w:pPr>
                    <w:spacing w:line="240" w:lineRule="atLeast"/>
                    <w:jc w:val="center"/>
                    <w:rPr>
                      <w:color w:val="auto"/>
                      <w:szCs w:val="21"/>
                    </w:rPr>
                  </w:pPr>
                  <w:r>
                    <w:rPr>
                      <w:rFonts w:hint="eastAsia"/>
                      <w:color w:val="auto"/>
                      <w:szCs w:val="21"/>
                    </w:rPr>
                    <w:t>/</w:t>
                  </w:r>
                </w:p>
              </w:tc>
              <w:tc>
                <w:tcPr>
                  <w:tcW w:w="562" w:type="pct"/>
                  <w:noWrap w:val="0"/>
                  <w:vAlign w:val="center"/>
                </w:tcPr>
                <w:p w14:paraId="39ABAF26">
                  <w:pPr>
                    <w:spacing w:line="240" w:lineRule="atLeast"/>
                    <w:jc w:val="center"/>
                    <w:rPr>
                      <w:color w:val="auto"/>
                      <w:szCs w:val="21"/>
                    </w:rPr>
                  </w:pPr>
                  <w:r>
                    <w:rPr>
                      <w:rFonts w:hint="eastAsia"/>
                      <w:color w:val="auto"/>
                      <w:szCs w:val="21"/>
                    </w:rPr>
                    <w:t>/</w:t>
                  </w:r>
                </w:p>
              </w:tc>
              <w:tc>
                <w:tcPr>
                  <w:tcW w:w="882" w:type="pct"/>
                  <w:vMerge w:val="restart"/>
                  <w:noWrap w:val="0"/>
                  <w:vAlign w:val="center"/>
                </w:tcPr>
                <w:p w14:paraId="63F218A7">
                  <w:pPr>
                    <w:spacing w:line="240" w:lineRule="atLeast"/>
                    <w:jc w:val="center"/>
                    <w:rPr>
                      <w:rFonts w:hint="eastAsia"/>
                      <w:color w:val="auto"/>
                      <w:szCs w:val="21"/>
                    </w:rPr>
                  </w:pPr>
                  <w:r>
                    <w:rPr>
                      <w:rFonts w:hint="eastAsia"/>
                      <w:color w:val="auto"/>
                      <w:szCs w:val="21"/>
                    </w:rPr>
                    <w:t>人员伤亡，大气污染物</w:t>
                  </w:r>
                </w:p>
              </w:tc>
              <w:tc>
                <w:tcPr>
                  <w:tcW w:w="508" w:type="pct"/>
                  <w:vMerge w:val="continue"/>
                  <w:noWrap w:val="0"/>
                  <w:vAlign w:val="center"/>
                </w:tcPr>
                <w:p w14:paraId="7D3F53A8">
                  <w:pPr>
                    <w:spacing w:line="240" w:lineRule="atLeast"/>
                    <w:jc w:val="center"/>
                    <w:rPr>
                      <w:rFonts w:hint="eastAsia"/>
                      <w:color w:val="auto"/>
                      <w:szCs w:val="21"/>
                    </w:rPr>
                  </w:pPr>
                </w:p>
              </w:tc>
            </w:tr>
            <w:tr w14:paraId="4851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noWrap w:val="0"/>
                  <w:vAlign w:val="center"/>
                </w:tcPr>
                <w:p w14:paraId="7D688744">
                  <w:pPr>
                    <w:spacing w:line="240" w:lineRule="atLeast"/>
                    <w:jc w:val="center"/>
                    <w:rPr>
                      <w:rFonts w:hint="eastAsia"/>
                      <w:color w:val="auto"/>
                      <w:szCs w:val="21"/>
                    </w:rPr>
                  </w:pPr>
                </w:p>
              </w:tc>
              <w:tc>
                <w:tcPr>
                  <w:tcW w:w="641" w:type="pct"/>
                  <w:vMerge w:val="continue"/>
                  <w:noWrap w:val="0"/>
                  <w:vAlign w:val="center"/>
                </w:tcPr>
                <w:p w14:paraId="4B71AEE7">
                  <w:pPr>
                    <w:spacing w:line="240" w:lineRule="atLeast"/>
                    <w:jc w:val="center"/>
                    <w:rPr>
                      <w:rFonts w:hint="eastAsia"/>
                      <w:color w:val="auto"/>
                      <w:szCs w:val="21"/>
                    </w:rPr>
                  </w:pPr>
                </w:p>
              </w:tc>
              <w:tc>
                <w:tcPr>
                  <w:tcW w:w="722" w:type="pct"/>
                  <w:noWrap w:val="0"/>
                  <w:vAlign w:val="center"/>
                </w:tcPr>
                <w:p w14:paraId="42F541A0">
                  <w:pPr>
                    <w:spacing w:line="240" w:lineRule="atLeast"/>
                    <w:jc w:val="center"/>
                    <w:rPr>
                      <w:rFonts w:hint="eastAsia"/>
                      <w:color w:val="auto"/>
                      <w:szCs w:val="21"/>
                    </w:rPr>
                  </w:pPr>
                  <w:r>
                    <w:rPr>
                      <w:rFonts w:hint="eastAsia"/>
                      <w:color w:val="auto"/>
                      <w:szCs w:val="21"/>
                    </w:rPr>
                    <w:t>抛射物</w:t>
                  </w:r>
                </w:p>
              </w:tc>
              <w:tc>
                <w:tcPr>
                  <w:tcW w:w="562" w:type="pct"/>
                  <w:noWrap w:val="0"/>
                  <w:vAlign w:val="center"/>
                </w:tcPr>
                <w:p w14:paraId="112A2A7B">
                  <w:pPr>
                    <w:spacing w:line="240" w:lineRule="atLeast"/>
                    <w:jc w:val="center"/>
                    <w:rPr>
                      <w:rFonts w:hint="eastAsia"/>
                      <w:color w:val="auto"/>
                      <w:szCs w:val="21"/>
                    </w:rPr>
                  </w:pPr>
                  <w:r>
                    <w:rPr>
                      <w:rFonts w:hint="eastAsia"/>
                      <w:color w:val="auto"/>
                      <w:szCs w:val="21"/>
                    </w:rPr>
                    <w:t>抛射</w:t>
                  </w:r>
                </w:p>
              </w:tc>
              <w:tc>
                <w:tcPr>
                  <w:tcW w:w="563" w:type="pct"/>
                  <w:noWrap w:val="0"/>
                  <w:vAlign w:val="center"/>
                </w:tcPr>
                <w:p w14:paraId="3FE13B29">
                  <w:pPr>
                    <w:spacing w:line="240" w:lineRule="atLeast"/>
                    <w:jc w:val="center"/>
                    <w:rPr>
                      <w:color w:val="auto"/>
                      <w:szCs w:val="21"/>
                    </w:rPr>
                  </w:pPr>
                  <w:r>
                    <w:rPr>
                      <w:rFonts w:hint="eastAsia"/>
                      <w:color w:val="auto"/>
                      <w:szCs w:val="21"/>
                    </w:rPr>
                    <w:t>/</w:t>
                  </w:r>
                </w:p>
              </w:tc>
              <w:tc>
                <w:tcPr>
                  <w:tcW w:w="562" w:type="pct"/>
                  <w:noWrap w:val="0"/>
                  <w:vAlign w:val="center"/>
                </w:tcPr>
                <w:p w14:paraId="3D9A48E1">
                  <w:pPr>
                    <w:spacing w:line="240" w:lineRule="atLeast"/>
                    <w:jc w:val="center"/>
                    <w:rPr>
                      <w:color w:val="auto"/>
                      <w:szCs w:val="21"/>
                    </w:rPr>
                  </w:pPr>
                  <w:r>
                    <w:rPr>
                      <w:rFonts w:hint="eastAsia"/>
                      <w:color w:val="auto"/>
                      <w:szCs w:val="21"/>
                    </w:rPr>
                    <w:t>/</w:t>
                  </w:r>
                </w:p>
              </w:tc>
              <w:tc>
                <w:tcPr>
                  <w:tcW w:w="882" w:type="pct"/>
                  <w:vMerge w:val="continue"/>
                  <w:noWrap w:val="0"/>
                  <w:vAlign w:val="center"/>
                </w:tcPr>
                <w:p w14:paraId="51A98649">
                  <w:pPr>
                    <w:spacing w:line="240" w:lineRule="atLeast"/>
                    <w:jc w:val="center"/>
                    <w:rPr>
                      <w:rFonts w:hint="eastAsia"/>
                      <w:color w:val="auto"/>
                      <w:szCs w:val="21"/>
                    </w:rPr>
                  </w:pPr>
                </w:p>
              </w:tc>
              <w:tc>
                <w:tcPr>
                  <w:tcW w:w="508" w:type="pct"/>
                  <w:vMerge w:val="continue"/>
                  <w:noWrap w:val="0"/>
                  <w:vAlign w:val="center"/>
                </w:tcPr>
                <w:p w14:paraId="5E13C567">
                  <w:pPr>
                    <w:spacing w:line="240" w:lineRule="atLeast"/>
                    <w:jc w:val="center"/>
                    <w:rPr>
                      <w:rFonts w:hint="eastAsia"/>
                      <w:color w:val="auto"/>
                      <w:szCs w:val="21"/>
                    </w:rPr>
                  </w:pPr>
                </w:p>
              </w:tc>
            </w:tr>
            <w:tr w14:paraId="0619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noWrap w:val="0"/>
                  <w:vAlign w:val="center"/>
                </w:tcPr>
                <w:p w14:paraId="255564DC">
                  <w:pPr>
                    <w:spacing w:line="240" w:lineRule="atLeast"/>
                    <w:jc w:val="center"/>
                    <w:rPr>
                      <w:rFonts w:hint="eastAsia"/>
                      <w:color w:val="auto"/>
                      <w:szCs w:val="21"/>
                    </w:rPr>
                  </w:pPr>
                </w:p>
              </w:tc>
              <w:tc>
                <w:tcPr>
                  <w:tcW w:w="641" w:type="pct"/>
                  <w:vMerge w:val="continue"/>
                  <w:noWrap w:val="0"/>
                  <w:vAlign w:val="center"/>
                </w:tcPr>
                <w:p w14:paraId="4387D58E">
                  <w:pPr>
                    <w:spacing w:line="240" w:lineRule="atLeast"/>
                    <w:jc w:val="center"/>
                    <w:rPr>
                      <w:rFonts w:hint="eastAsia"/>
                      <w:color w:val="auto"/>
                      <w:szCs w:val="21"/>
                    </w:rPr>
                  </w:pPr>
                </w:p>
              </w:tc>
              <w:tc>
                <w:tcPr>
                  <w:tcW w:w="722" w:type="pct"/>
                  <w:noWrap w:val="0"/>
                  <w:vAlign w:val="center"/>
                </w:tcPr>
                <w:p w14:paraId="679229D2">
                  <w:pPr>
                    <w:spacing w:line="240" w:lineRule="atLeast"/>
                    <w:jc w:val="center"/>
                    <w:rPr>
                      <w:rFonts w:hint="eastAsia"/>
                      <w:color w:val="auto"/>
                      <w:szCs w:val="21"/>
                    </w:rPr>
                  </w:pPr>
                  <w:r>
                    <w:rPr>
                      <w:rFonts w:hint="eastAsia"/>
                      <w:color w:val="auto"/>
                      <w:szCs w:val="21"/>
                    </w:rPr>
                    <w:t>毒物逸散</w:t>
                  </w:r>
                </w:p>
              </w:tc>
              <w:tc>
                <w:tcPr>
                  <w:tcW w:w="562" w:type="pct"/>
                  <w:noWrap w:val="0"/>
                  <w:vAlign w:val="center"/>
                </w:tcPr>
                <w:p w14:paraId="08855D80">
                  <w:pPr>
                    <w:spacing w:line="240" w:lineRule="atLeast"/>
                    <w:jc w:val="center"/>
                    <w:rPr>
                      <w:rFonts w:hint="eastAsia"/>
                      <w:color w:val="auto"/>
                      <w:szCs w:val="21"/>
                    </w:rPr>
                  </w:pPr>
                  <w:r>
                    <w:rPr>
                      <w:rFonts w:hint="eastAsia"/>
                      <w:color w:val="auto"/>
                      <w:szCs w:val="21"/>
                    </w:rPr>
                    <w:t>扩散</w:t>
                  </w:r>
                </w:p>
              </w:tc>
              <w:tc>
                <w:tcPr>
                  <w:tcW w:w="563" w:type="pct"/>
                  <w:noWrap w:val="0"/>
                  <w:vAlign w:val="center"/>
                </w:tcPr>
                <w:p w14:paraId="4D8F4FBB">
                  <w:pPr>
                    <w:spacing w:line="240" w:lineRule="atLeast"/>
                    <w:jc w:val="center"/>
                    <w:rPr>
                      <w:color w:val="auto"/>
                      <w:szCs w:val="21"/>
                    </w:rPr>
                  </w:pPr>
                  <w:r>
                    <w:rPr>
                      <w:rFonts w:hint="eastAsia"/>
                      <w:color w:val="auto"/>
                      <w:szCs w:val="21"/>
                    </w:rPr>
                    <w:t>/</w:t>
                  </w:r>
                </w:p>
              </w:tc>
              <w:tc>
                <w:tcPr>
                  <w:tcW w:w="562" w:type="pct"/>
                  <w:noWrap w:val="0"/>
                  <w:vAlign w:val="center"/>
                </w:tcPr>
                <w:p w14:paraId="0514F95E">
                  <w:pPr>
                    <w:spacing w:line="240" w:lineRule="atLeast"/>
                    <w:jc w:val="center"/>
                    <w:rPr>
                      <w:color w:val="auto"/>
                      <w:szCs w:val="21"/>
                    </w:rPr>
                  </w:pPr>
                  <w:r>
                    <w:rPr>
                      <w:rFonts w:hint="eastAsia"/>
                      <w:color w:val="auto"/>
                      <w:szCs w:val="21"/>
                    </w:rPr>
                    <w:t>/</w:t>
                  </w:r>
                </w:p>
              </w:tc>
              <w:tc>
                <w:tcPr>
                  <w:tcW w:w="882" w:type="pct"/>
                  <w:vMerge w:val="continue"/>
                  <w:noWrap w:val="0"/>
                  <w:vAlign w:val="center"/>
                </w:tcPr>
                <w:p w14:paraId="0D969E1F">
                  <w:pPr>
                    <w:spacing w:line="240" w:lineRule="atLeast"/>
                    <w:jc w:val="center"/>
                    <w:rPr>
                      <w:rFonts w:hint="eastAsia"/>
                      <w:color w:val="auto"/>
                      <w:szCs w:val="21"/>
                    </w:rPr>
                  </w:pPr>
                </w:p>
              </w:tc>
              <w:tc>
                <w:tcPr>
                  <w:tcW w:w="508" w:type="pct"/>
                  <w:vMerge w:val="continue"/>
                  <w:noWrap w:val="0"/>
                  <w:vAlign w:val="center"/>
                </w:tcPr>
                <w:p w14:paraId="29DFF53C">
                  <w:pPr>
                    <w:spacing w:line="240" w:lineRule="atLeast"/>
                    <w:jc w:val="center"/>
                    <w:rPr>
                      <w:rFonts w:hint="eastAsia"/>
                      <w:color w:val="auto"/>
                      <w:szCs w:val="21"/>
                    </w:rPr>
                  </w:pPr>
                </w:p>
              </w:tc>
            </w:tr>
          </w:tbl>
          <w:p w14:paraId="47E3C624">
            <w:pPr>
              <w:pStyle w:val="4"/>
              <w:numPr>
                <w:ilvl w:val="0"/>
                <w:numId w:val="0"/>
              </w:numPr>
              <w:spacing w:line="360" w:lineRule="auto"/>
              <w:ind w:leftChars="0"/>
              <w:rPr>
                <w:rFonts w:hint="eastAsia"/>
                <w:color w:val="auto"/>
                <w:sz w:val="21"/>
                <w:szCs w:val="21"/>
                <w:lang w:eastAsia="zh-CN"/>
              </w:rPr>
            </w:pPr>
          </w:p>
          <w:p w14:paraId="09B89B2F">
            <w:pPr>
              <w:pStyle w:val="4"/>
              <w:numPr>
                <w:ilvl w:val="0"/>
                <w:numId w:val="0"/>
              </w:numPr>
              <w:spacing w:line="360" w:lineRule="auto"/>
              <w:ind w:leftChars="0"/>
              <w:rPr>
                <w:rFonts w:hint="eastAsia"/>
                <w:color w:val="auto"/>
                <w:sz w:val="21"/>
                <w:szCs w:val="21"/>
                <w:lang w:eastAsia="zh-CN"/>
              </w:rPr>
            </w:pPr>
            <w:r>
              <w:rPr>
                <w:color w:val="auto"/>
              </w:rPr>
              <w:drawing>
                <wp:inline distT="0" distB="0" distL="114300" distR="114300">
                  <wp:extent cx="5615305" cy="3306445"/>
                  <wp:effectExtent l="0" t="0" r="8255" b="635"/>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
                          <pic:cNvPicPr>
                            <a:picLocks noChangeAspect="1"/>
                          </pic:cNvPicPr>
                        </pic:nvPicPr>
                        <pic:blipFill>
                          <a:blip r:embed="rId21"/>
                          <a:stretch>
                            <a:fillRect/>
                          </a:stretch>
                        </pic:blipFill>
                        <pic:spPr>
                          <a:xfrm>
                            <a:off x="0" y="0"/>
                            <a:ext cx="5615305" cy="3306445"/>
                          </a:xfrm>
                          <a:prstGeom prst="rect">
                            <a:avLst/>
                          </a:prstGeom>
                          <a:noFill/>
                          <a:ln>
                            <a:noFill/>
                          </a:ln>
                        </pic:spPr>
                      </pic:pic>
                    </a:graphicData>
                  </a:graphic>
                </wp:inline>
              </w:drawing>
            </w:r>
          </w:p>
          <w:p w14:paraId="4120D250">
            <w:pPr>
              <w:jc w:val="center"/>
              <w:rPr>
                <w:b/>
                <w:color w:val="auto"/>
              </w:rPr>
            </w:pPr>
            <w:r>
              <w:rPr>
                <w:rFonts w:hint="eastAsia"/>
                <w:b/>
                <w:color w:val="auto"/>
                <w:kern w:val="24"/>
              </w:rPr>
              <w:t>图7-3     风险单元分布图</w:t>
            </w:r>
          </w:p>
          <w:p w14:paraId="691DB904">
            <w:pPr>
              <w:pStyle w:val="4"/>
              <w:pageBreakBefore w:val="0"/>
              <w:numPr>
                <w:ilvl w:val="0"/>
                <w:numId w:val="0"/>
              </w:numPr>
              <w:kinsoku/>
              <w:wordWrap/>
              <w:overflowPunct/>
              <w:topLinePunct w:val="0"/>
              <w:bidi w:val="0"/>
              <w:adjustRightInd/>
              <w:snapToGrid/>
              <w:spacing w:before="0" w:after="0" w:line="360" w:lineRule="auto"/>
              <w:ind w:leftChars="0" w:firstLine="422" w:firstLineChars="200"/>
              <w:jc w:val="left"/>
              <w:textAlignment w:val="auto"/>
              <w:rPr>
                <w:color w:val="auto"/>
                <w:sz w:val="21"/>
                <w:szCs w:val="21"/>
                <w:lang w:eastAsia="zh-CN"/>
              </w:rPr>
            </w:pPr>
            <w:r>
              <w:rPr>
                <w:rFonts w:hint="eastAsia" w:ascii="Times New Roman" w:hAnsi="Times New Roman" w:eastAsia="宋体" w:cs="Times New Roman"/>
                <w:b/>
                <w:bCs/>
                <w:color w:val="auto"/>
                <w:sz w:val="21"/>
                <w:szCs w:val="21"/>
                <w:lang w:eastAsia="zh-CN"/>
              </w:rPr>
              <w:t>(4)有</w:t>
            </w:r>
            <w:r>
              <w:rPr>
                <w:rFonts w:hint="eastAsia"/>
                <w:color w:val="auto"/>
                <w:sz w:val="21"/>
                <w:szCs w:val="21"/>
                <w:lang w:eastAsia="zh-CN"/>
              </w:rPr>
              <w:t>毒有害物质扩散途径的识别</w:t>
            </w:r>
          </w:p>
          <w:p w14:paraId="4FBE3617">
            <w:pPr>
              <w:pageBreakBefore w:val="0"/>
              <w:kinsoku/>
              <w:wordWrap/>
              <w:overflowPunct/>
              <w:topLinePunct w:val="0"/>
              <w:autoSpaceDE w:val="0"/>
              <w:autoSpaceDN w:val="0"/>
              <w:bidi w:val="0"/>
              <w:adjustRightInd/>
              <w:snapToGrid/>
              <w:spacing w:line="360" w:lineRule="auto"/>
              <w:ind w:firstLine="420" w:firstLineChars="200"/>
              <w:jc w:val="left"/>
              <w:textAlignment w:val="auto"/>
              <w:rPr>
                <w:rFonts w:hAnsi="宋体"/>
                <w:color w:val="auto"/>
                <w:kern w:val="0"/>
                <w:szCs w:val="21"/>
              </w:rPr>
            </w:pPr>
            <w:r>
              <w:rPr>
                <w:rFonts w:hint="eastAsia" w:hAnsi="宋体"/>
                <w:color w:val="auto"/>
                <w:kern w:val="0"/>
                <w:szCs w:val="21"/>
              </w:rPr>
              <w:t>1）、污染大气环境</w:t>
            </w:r>
          </w:p>
          <w:p w14:paraId="60DE7869">
            <w:pPr>
              <w:pageBreakBefore w:val="0"/>
              <w:kinsoku/>
              <w:wordWrap/>
              <w:overflowPunct/>
              <w:topLinePunct w:val="0"/>
              <w:autoSpaceDE w:val="0"/>
              <w:autoSpaceDN w:val="0"/>
              <w:bidi w:val="0"/>
              <w:adjustRightInd/>
              <w:snapToGrid/>
              <w:spacing w:line="360" w:lineRule="auto"/>
              <w:ind w:firstLine="420" w:firstLineChars="200"/>
              <w:jc w:val="left"/>
              <w:textAlignment w:val="auto"/>
              <w:rPr>
                <w:rFonts w:hAnsi="宋体"/>
                <w:color w:val="auto"/>
                <w:kern w:val="0"/>
                <w:szCs w:val="21"/>
              </w:rPr>
            </w:pPr>
            <w:r>
              <w:rPr>
                <w:rFonts w:hint="eastAsia" w:hAnsi="宋体"/>
                <w:color w:val="auto"/>
                <w:kern w:val="0"/>
                <w:szCs w:val="21"/>
              </w:rPr>
              <w:t>可燃易爆物质在使用过程中，由于管线破裂、误操作或遇高温明火等原因发生泄露、火灾、爆炸事故时，挥发的</w:t>
            </w:r>
            <w:r>
              <w:rPr>
                <w:rFonts w:hint="eastAsia" w:hAnsi="宋体"/>
                <w:color w:val="auto"/>
                <w:kern w:val="0"/>
                <w:szCs w:val="21"/>
                <w:lang w:val="en-US" w:eastAsia="zh-CN"/>
              </w:rPr>
              <w:t>甲烷、丙烷、氨气</w:t>
            </w:r>
            <w:r>
              <w:rPr>
                <w:rFonts w:hint="eastAsia" w:hAnsi="宋体"/>
                <w:color w:val="auto"/>
                <w:kern w:val="0"/>
                <w:szCs w:val="21"/>
              </w:rPr>
              <w:t>等气态污染物、以及燃烧产生的</w:t>
            </w:r>
            <w:r>
              <w:rPr>
                <w:rFonts w:hAnsi="宋体"/>
                <w:color w:val="auto"/>
                <w:kern w:val="0"/>
                <w:szCs w:val="21"/>
              </w:rPr>
              <w:t>CO</w:t>
            </w:r>
            <w:r>
              <w:rPr>
                <w:rFonts w:hint="eastAsia" w:hAnsi="宋体"/>
                <w:color w:val="auto"/>
                <w:kern w:val="0"/>
                <w:szCs w:val="21"/>
              </w:rPr>
              <w:t>、烟尘产物等进入大气，将对空气环境造成影响；</w:t>
            </w:r>
            <w:r>
              <w:rPr>
                <w:rFonts w:hint="eastAsia" w:hAnsi="宋体"/>
                <w:color w:val="auto"/>
                <w:kern w:val="0"/>
                <w:szCs w:val="21"/>
                <w:lang w:val="en-US" w:eastAsia="zh-CN"/>
              </w:rPr>
              <w:t>布袋除尘器、SCR脱硝装置</w:t>
            </w:r>
            <w:r>
              <w:rPr>
                <w:rFonts w:hint="eastAsia" w:hAnsi="宋体"/>
                <w:color w:val="auto"/>
                <w:kern w:val="0"/>
                <w:szCs w:val="21"/>
              </w:rPr>
              <w:t>等环保设施故障导致颗粒物、</w:t>
            </w:r>
            <w:r>
              <w:rPr>
                <w:rFonts w:hint="eastAsia" w:hAnsi="宋体"/>
                <w:color w:val="auto"/>
                <w:kern w:val="0"/>
                <w:szCs w:val="21"/>
                <w:lang w:val="en-US" w:eastAsia="zh-CN"/>
              </w:rPr>
              <w:t>氮氧化物</w:t>
            </w:r>
            <w:r>
              <w:rPr>
                <w:rFonts w:hint="eastAsia" w:hAnsi="宋体"/>
                <w:color w:val="auto"/>
                <w:kern w:val="0"/>
                <w:szCs w:val="21"/>
              </w:rPr>
              <w:t>等事故性排放，对空气环境不利影响将增加。</w:t>
            </w:r>
          </w:p>
          <w:p w14:paraId="754C798A">
            <w:pPr>
              <w:pageBreakBefore w:val="0"/>
              <w:kinsoku/>
              <w:wordWrap/>
              <w:overflowPunct/>
              <w:topLinePunct w:val="0"/>
              <w:autoSpaceDE w:val="0"/>
              <w:autoSpaceDN w:val="0"/>
              <w:bidi w:val="0"/>
              <w:adjustRightInd/>
              <w:snapToGrid/>
              <w:spacing w:line="360" w:lineRule="auto"/>
              <w:ind w:firstLine="420" w:firstLineChars="200"/>
              <w:jc w:val="left"/>
              <w:textAlignment w:val="auto"/>
              <w:rPr>
                <w:rFonts w:hAnsi="宋体"/>
                <w:color w:val="auto"/>
                <w:kern w:val="0"/>
                <w:szCs w:val="21"/>
              </w:rPr>
            </w:pPr>
            <w:r>
              <w:rPr>
                <w:rFonts w:hAnsi="宋体"/>
                <w:color w:val="auto"/>
                <w:kern w:val="0"/>
                <w:szCs w:val="21"/>
              </w:rPr>
              <w:t>2</w:t>
            </w:r>
            <w:r>
              <w:rPr>
                <w:rFonts w:hint="eastAsia" w:hAnsi="宋体"/>
                <w:color w:val="auto"/>
                <w:kern w:val="0"/>
                <w:szCs w:val="21"/>
              </w:rPr>
              <w:t>）、污染地表水环境</w:t>
            </w:r>
          </w:p>
          <w:p w14:paraId="6077DF7F">
            <w:pPr>
              <w:pageBreakBefore w:val="0"/>
              <w:kinsoku/>
              <w:wordWrap/>
              <w:overflowPunct/>
              <w:topLinePunct w:val="0"/>
              <w:autoSpaceDE w:val="0"/>
              <w:autoSpaceDN w:val="0"/>
              <w:bidi w:val="0"/>
              <w:adjustRightInd/>
              <w:snapToGrid/>
              <w:spacing w:line="360" w:lineRule="auto"/>
              <w:ind w:firstLine="420" w:firstLineChars="200"/>
              <w:jc w:val="left"/>
              <w:textAlignment w:val="auto"/>
              <w:rPr>
                <w:rFonts w:hint="eastAsia" w:hAnsi="宋体"/>
                <w:color w:val="auto"/>
                <w:kern w:val="0"/>
                <w:szCs w:val="21"/>
              </w:rPr>
            </w:pPr>
            <w:r>
              <w:rPr>
                <w:rFonts w:hint="eastAsia" w:ascii="宋体" w:cs="宋体"/>
                <w:color w:val="auto"/>
                <w:kern w:val="0"/>
                <w:szCs w:val="21"/>
              </w:rPr>
              <w:t>生产区或贮存区易燃可燃液体发生泄漏时，遇明火或者高温发生火灾，会产生大量的消防废水，泄漏液体、消防废水不能及时处理或应急措施不当时，事故废水或泄漏物料如不及时进行收集，可能通过雨水管网，进入厂界外环境，</w:t>
            </w:r>
            <w:r>
              <w:rPr>
                <w:rFonts w:hint="eastAsia" w:hAnsi="宋体"/>
                <w:color w:val="auto"/>
                <w:kern w:val="0"/>
                <w:szCs w:val="21"/>
              </w:rPr>
              <w:t>将对周边水体造成影响。</w:t>
            </w:r>
          </w:p>
          <w:p w14:paraId="3A43FAC0">
            <w:pPr>
              <w:pageBreakBefore w:val="0"/>
              <w:numPr>
                <w:ilvl w:val="0"/>
                <w:numId w:val="6"/>
              </w:numPr>
              <w:kinsoku/>
              <w:wordWrap/>
              <w:overflowPunct/>
              <w:topLinePunct w:val="0"/>
              <w:autoSpaceDE w:val="0"/>
              <w:autoSpaceDN w:val="0"/>
              <w:bidi w:val="0"/>
              <w:adjustRightInd/>
              <w:snapToGrid/>
              <w:spacing w:line="360" w:lineRule="auto"/>
              <w:ind w:firstLine="420" w:firstLineChars="200"/>
              <w:jc w:val="left"/>
              <w:textAlignment w:val="auto"/>
              <w:rPr>
                <w:rFonts w:hint="eastAsia" w:hAnsi="宋体"/>
                <w:color w:val="auto"/>
                <w:kern w:val="0"/>
                <w:szCs w:val="21"/>
              </w:rPr>
            </w:pPr>
            <w:r>
              <w:rPr>
                <w:rFonts w:hint="eastAsia" w:hAnsi="宋体"/>
                <w:color w:val="auto"/>
                <w:kern w:val="0"/>
                <w:szCs w:val="21"/>
              </w:rPr>
              <w:t>、污染地下水和土壤环境</w:t>
            </w:r>
          </w:p>
          <w:p w14:paraId="171F1CAB">
            <w:pPr>
              <w:pageBreakBefore w:val="0"/>
              <w:numPr>
                <w:ilvl w:val="0"/>
                <w:numId w:val="6"/>
              </w:numPr>
              <w:kinsoku/>
              <w:wordWrap/>
              <w:overflowPunct/>
              <w:topLinePunct w:val="0"/>
              <w:autoSpaceDE w:val="0"/>
              <w:autoSpaceDN w:val="0"/>
              <w:bidi w:val="0"/>
              <w:adjustRightInd/>
              <w:snapToGrid/>
              <w:spacing w:line="360" w:lineRule="auto"/>
              <w:ind w:firstLine="420" w:firstLineChars="200"/>
              <w:jc w:val="left"/>
              <w:textAlignment w:val="auto"/>
              <w:rPr>
                <w:rFonts w:hint="eastAsia" w:hAnsi="宋体"/>
                <w:color w:val="auto"/>
                <w:kern w:val="0"/>
                <w:szCs w:val="21"/>
              </w:rPr>
            </w:pPr>
            <w:r>
              <w:rPr>
                <w:rFonts w:hint="eastAsia" w:hAnsi="宋体"/>
                <w:color w:val="auto"/>
                <w:kern w:val="0"/>
                <w:szCs w:val="21"/>
                <w:lang w:eastAsia="zh-CN"/>
              </w:rPr>
              <w:t>、</w:t>
            </w:r>
            <w:r>
              <w:rPr>
                <w:rFonts w:hint="eastAsia" w:hAnsi="宋体"/>
                <w:color w:val="auto"/>
                <w:kern w:val="0"/>
                <w:szCs w:val="21"/>
              </w:rPr>
              <w:t>液态有毒有害物质在储存或厂内转移过程中由于操作不当、防渗材料破裂等原因将对地下水和土壤环境造成影响。</w:t>
            </w:r>
          </w:p>
          <w:p w14:paraId="7137F5CD">
            <w:pPr>
              <w:pStyle w:val="4"/>
              <w:pageBreakBefore w:val="0"/>
              <w:numPr>
                <w:ilvl w:val="0"/>
                <w:numId w:val="0"/>
              </w:numPr>
              <w:kinsoku/>
              <w:wordWrap/>
              <w:overflowPunct/>
              <w:topLinePunct w:val="0"/>
              <w:bidi w:val="0"/>
              <w:adjustRightInd/>
              <w:snapToGrid/>
              <w:spacing w:before="0" w:after="0" w:line="360" w:lineRule="auto"/>
              <w:ind w:leftChars="0" w:firstLine="422" w:firstLineChars="200"/>
              <w:jc w:val="left"/>
              <w:textAlignment w:val="auto"/>
              <w:rPr>
                <w:color w:val="auto"/>
                <w:sz w:val="21"/>
                <w:szCs w:val="21"/>
                <w:lang w:eastAsia="zh-CN"/>
              </w:rPr>
            </w:pPr>
            <w:bookmarkStart w:id="31" w:name="_Toc83915578"/>
            <w:r>
              <w:rPr>
                <w:rFonts w:hint="eastAsia"/>
                <w:color w:val="auto"/>
                <w:sz w:val="21"/>
                <w:szCs w:val="21"/>
                <w:lang w:eastAsia="zh-CN"/>
              </w:rPr>
              <w:t>8、</w:t>
            </w:r>
            <w:bookmarkEnd w:id="31"/>
            <w:r>
              <w:rPr>
                <w:rFonts w:hint="eastAsia"/>
                <w:color w:val="auto"/>
                <w:sz w:val="21"/>
                <w:szCs w:val="21"/>
                <w:lang w:eastAsia="zh-CN"/>
              </w:rPr>
              <w:t>环境风险事故情形分析</w:t>
            </w:r>
          </w:p>
          <w:p w14:paraId="7865A262">
            <w:pPr>
              <w:pStyle w:val="4"/>
              <w:pageBreakBefore w:val="0"/>
              <w:numPr>
                <w:ilvl w:val="0"/>
                <w:numId w:val="0"/>
              </w:numPr>
              <w:kinsoku/>
              <w:wordWrap/>
              <w:overflowPunct/>
              <w:topLinePunct w:val="0"/>
              <w:bidi w:val="0"/>
              <w:adjustRightInd/>
              <w:snapToGrid/>
              <w:spacing w:before="0" w:after="0" w:line="360" w:lineRule="auto"/>
              <w:ind w:leftChars="0" w:firstLine="422" w:firstLineChars="200"/>
              <w:jc w:val="left"/>
              <w:textAlignment w:val="auto"/>
              <w:rPr>
                <w:rFonts w:hint="eastAsia"/>
                <w:color w:val="auto"/>
                <w:sz w:val="21"/>
                <w:szCs w:val="21"/>
                <w:lang w:eastAsia="zh-CN"/>
              </w:rPr>
            </w:pPr>
            <w:r>
              <w:rPr>
                <w:color w:val="auto"/>
                <w:sz w:val="21"/>
                <w:szCs w:val="21"/>
                <w:lang w:eastAsia="zh-CN"/>
              </w:rPr>
              <w:t>（</w:t>
            </w:r>
            <w:r>
              <w:rPr>
                <w:rFonts w:hint="eastAsia"/>
                <w:color w:val="auto"/>
                <w:sz w:val="21"/>
                <w:szCs w:val="21"/>
                <w:lang w:eastAsia="zh-CN"/>
              </w:rPr>
              <w:t>1</w:t>
            </w:r>
            <w:r>
              <w:rPr>
                <w:color w:val="auto"/>
                <w:sz w:val="21"/>
                <w:szCs w:val="21"/>
                <w:lang w:eastAsia="zh-CN"/>
              </w:rPr>
              <w:t>）风险事故情形设定原则</w:t>
            </w:r>
          </w:p>
          <w:p w14:paraId="40EA002E">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1、同一种危险物质可能有多种环境风险类型。风险事故情形应该包括危险物质泄漏，以及火灾、爆炸等引发的伴生/次生污染物排放情形。对不同环境要素产生影响的风险事故情形，应分别进行设定。</w:t>
            </w:r>
          </w:p>
          <w:p w14:paraId="4FD9EC44">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2、对于火灾、爆炸事故，需将事故中未完全燃烧的危险物质在高温下迅速挥发释放至大气，以及燃烧过程中产生的伴生/次生污染物对环境的影响作为风险事故情形设定的内容。</w:t>
            </w:r>
          </w:p>
          <w:p w14:paraId="4028D4EB">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3、设定的风险事故情形发生可能性应处于合理的区间，并与经济技术发展水平相适应。一般而言，发生概率小于10</w:t>
            </w:r>
            <w:r>
              <w:rPr>
                <w:rFonts w:hint="eastAsia"/>
                <w:bCs/>
                <w:color w:val="auto"/>
                <w:kern w:val="24"/>
                <w:sz w:val="21"/>
                <w:szCs w:val="21"/>
                <w:vertAlign w:val="superscript"/>
              </w:rPr>
              <w:t>-6</w:t>
            </w:r>
            <w:r>
              <w:rPr>
                <w:rFonts w:hint="eastAsia"/>
                <w:bCs/>
                <w:color w:val="auto"/>
                <w:kern w:val="24"/>
                <w:sz w:val="21"/>
                <w:szCs w:val="21"/>
              </w:rPr>
              <w:t>/年的事件是极小概率事件，可作为代表性事故情形中最大可信事故设定的参考。</w:t>
            </w:r>
          </w:p>
          <w:p w14:paraId="182CA640">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1C4EFE4E">
            <w:pPr>
              <w:pStyle w:val="4"/>
              <w:pageBreakBefore w:val="0"/>
              <w:numPr>
                <w:ilvl w:val="0"/>
                <w:numId w:val="0"/>
              </w:numPr>
              <w:kinsoku/>
              <w:wordWrap/>
              <w:overflowPunct/>
              <w:topLinePunct w:val="0"/>
              <w:bidi w:val="0"/>
              <w:adjustRightInd/>
              <w:snapToGrid/>
              <w:spacing w:before="0" w:after="0" w:line="360" w:lineRule="auto"/>
              <w:ind w:leftChars="0" w:firstLine="422" w:firstLineChars="200"/>
              <w:jc w:val="left"/>
              <w:textAlignment w:val="auto"/>
              <w:rPr>
                <w:rFonts w:hint="eastAsia"/>
                <w:color w:val="auto"/>
                <w:sz w:val="21"/>
                <w:szCs w:val="21"/>
                <w:lang w:eastAsia="zh-CN"/>
              </w:rPr>
            </w:pPr>
            <w:r>
              <w:rPr>
                <w:rFonts w:hint="eastAsia"/>
                <w:color w:val="auto"/>
                <w:sz w:val="21"/>
                <w:szCs w:val="21"/>
                <w:lang w:eastAsia="zh-CN"/>
              </w:rPr>
              <w:t>（2）风险事故情形设定</w:t>
            </w:r>
          </w:p>
          <w:p w14:paraId="1F774508">
            <w:pPr>
              <w:pStyle w:val="139"/>
              <w:pageBreakBefore w:val="0"/>
              <w:kinsoku/>
              <w:wordWrap/>
              <w:overflowPunct/>
              <w:topLinePunct w:val="0"/>
              <w:bidi w:val="0"/>
              <w:adjustRightInd/>
              <w:snapToGrid/>
              <w:ind w:firstLine="420" w:firstLineChars="200"/>
              <w:jc w:val="left"/>
              <w:textAlignment w:val="auto"/>
              <w:rPr>
                <w:rFonts w:hint="eastAsia"/>
                <w:color w:val="auto"/>
                <w:sz w:val="21"/>
                <w:szCs w:val="21"/>
              </w:rPr>
            </w:pPr>
            <w:r>
              <w:rPr>
                <w:rFonts w:hint="eastAsia"/>
                <w:color w:val="auto"/>
                <w:sz w:val="21"/>
                <w:szCs w:val="21"/>
              </w:rPr>
              <w:t>1、大气</w:t>
            </w:r>
          </w:p>
          <w:p w14:paraId="0C7E321C">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对于正常生产产生的烟气和废气，在工程设计及本次环评中已提出了合理可行的治理措施，能够确保达标排放。本项目存在发生风险事故、且因事故导致物料扩散至大气的事故情景包括：</w:t>
            </w:r>
          </w:p>
          <w:p w14:paraId="1980D57F">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（1）</w:t>
            </w:r>
            <w:r>
              <w:rPr>
                <w:rFonts w:hint="eastAsia"/>
                <w:bCs/>
                <w:color w:val="auto"/>
                <w:kern w:val="24"/>
                <w:sz w:val="21"/>
                <w:szCs w:val="21"/>
                <w:lang w:val="en-US" w:eastAsia="zh-CN"/>
              </w:rPr>
              <w:t>危废间、发电机房内</w:t>
            </w:r>
            <w:r>
              <w:rPr>
                <w:rFonts w:hint="eastAsia"/>
                <w:bCs/>
                <w:color w:val="auto"/>
                <w:kern w:val="24"/>
                <w:sz w:val="21"/>
                <w:szCs w:val="21"/>
              </w:rPr>
              <w:t>物料</w:t>
            </w:r>
            <w:r>
              <w:rPr>
                <w:rFonts w:hint="eastAsia"/>
                <w:bCs/>
                <w:color w:val="auto"/>
                <w:kern w:val="24"/>
                <w:sz w:val="21"/>
                <w:szCs w:val="21"/>
                <w:lang w:val="en-US" w:eastAsia="zh-CN"/>
              </w:rPr>
              <w:t>废机油、柴油等</w:t>
            </w:r>
            <w:r>
              <w:rPr>
                <w:rFonts w:hint="eastAsia"/>
                <w:bCs/>
                <w:color w:val="auto"/>
                <w:kern w:val="24"/>
                <w:sz w:val="21"/>
                <w:szCs w:val="21"/>
              </w:rPr>
              <w:t>泄漏均能人工及时处理，</w:t>
            </w:r>
            <w:r>
              <w:rPr>
                <w:rFonts w:hint="eastAsia"/>
                <w:bCs/>
                <w:color w:val="auto"/>
                <w:kern w:val="24"/>
                <w:sz w:val="21"/>
                <w:szCs w:val="21"/>
                <w:lang w:val="en-US" w:eastAsia="zh-CN"/>
              </w:rPr>
              <w:t>废机油、柴油</w:t>
            </w:r>
            <w:r>
              <w:rPr>
                <w:rFonts w:hint="eastAsia"/>
                <w:bCs/>
                <w:color w:val="auto"/>
                <w:kern w:val="24"/>
                <w:sz w:val="21"/>
                <w:szCs w:val="21"/>
              </w:rPr>
              <w:t>液态物料采用常温常压下存储，包装桶发生破裂概率极小，且泄漏量较小，仓储区安排专人值班看守，可视化程度高，及时能够发现泄漏情况进行妥善处置</w:t>
            </w:r>
            <w:r>
              <w:rPr>
                <w:rFonts w:hint="eastAsia"/>
                <w:bCs/>
                <w:color w:val="auto"/>
                <w:kern w:val="24"/>
                <w:sz w:val="21"/>
                <w:szCs w:val="21"/>
                <w:lang w:eastAsia="zh-CN"/>
              </w:rPr>
              <w:t>。</w:t>
            </w:r>
            <w:r>
              <w:rPr>
                <w:rFonts w:hint="eastAsia"/>
                <w:bCs/>
                <w:color w:val="auto"/>
                <w:kern w:val="24"/>
                <w:sz w:val="21"/>
                <w:szCs w:val="21"/>
                <w:lang w:val="en-US" w:eastAsia="zh-CN"/>
              </w:rPr>
              <w:t>废气处理装置安装在线监测装置，废气处理异常时能够及时发现，通过排查隐患，能够及时解决问题。天然气、液化天然气、液化石油气等泄漏会迅速闪蒸形成气体。</w:t>
            </w:r>
            <w:r>
              <w:rPr>
                <w:rFonts w:hint="eastAsia"/>
                <w:bCs/>
                <w:color w:val="auto"/>
                <w:kern w:val="24"/>
                <w:sz w:val="21"/>
                <w:szCs w:val="21"/>
              </w:rPr>
              <w:t>因此本项目不考虑</w:t>
            </w:r>
            <w:r>
              <w:rPr>
                <w:rFonts w:hint="eastAsia"/>
                <w:bCs/>
                <w:color w:val="auto"/>
                <w:kern w:val="24"/>
                <w:sz w:val="21"/>
                <w:szCs w:val="21"/>
                <w:lang w:val="en-US" w:eastAsia="zh-CN"/>
              </w:rPr>
              <w:t>油类、环保设备</w:t>
            </w:r>
            <w:r>
              <w:rPr>
                <w:rFonts w:hint="eastAsia"/>
                <w:bCs/>
                <w:color w:val="auto"/>
                <w:kern w:val="24"/>
                <w:sz w:val="21"/>
                <w:szCs w:val="21"/>
              </w:rPr>
              <w:t>泄漏引起有毒有害物质进入大气事故情形</w:t>
            </w:r>
            <w:r>
              <w:rPr>
                <w:rFonts w:hint="eastAsia"/>
                <w:bCs/>
                <w:color w:val="auto"/>
                <w:kern w:val="24"/>
                <w:sz w:val="21"/>
                <w:szCs w:val="21"/>
                <w:lang w:eastAsia="zh-CN"/>
              </w:rPr>
              <w:t>，</w:t>
            </w:r>
            <w:r>
              <w:rPr>
                <w:rFonts w:hint="eastAsia"/>
                <w:bCs/>
                <w:color w:val="auto"/>
                <w:kern w:val="24"/>
                <w:sz w:val="21"/>
                <w:szCs w:val="21"/>
                <w:lang w:val="en-US" w:eastAsia="zh-CN"/>
              </w:rPr>
              <w:t>仅考虑液化天然气、液化石油气泄漏闪蒸情况</w:t>
            </w:r>
            <w:r>
              <w:rPr>
                <w:rFonts w:hint="eastAsia"/>
                <w:bCs/>
                <w:color w:val="auto"/>
                <w:kern w:val="24"/>
                <w:sz w:val="21"/>
                <w:szCs w:val="21"/>
              </w:rPr>
              <w:t>。</w:t>
            </w:r>
          </w:p>
          <w:p w14:paraId="6859A234">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w:t>
            </w:r>
            <w:r>
              <w:rPr>
                <w:rFonts w:hint="eastAsia"/>
                <w:bCs/>
                <w:color w:val="auto"/>
                <w:kern w:val="24"/>
                <w:sz w:val="21"/>
                <w:szCs w:val="21"/>
                <w:lang w:val="en-US" w:eastAsia="zh-CN"/>
              </w:rPr>
              <w:t>2</w:t>
            </w:r>
            <w:r>
              <w:rPr>
                <w:rFonts w:hint="eastAsia"/>
                <w:bCs/>
                <w:color w:val="auto"/>
                <w:kern w:val="24"/>
                <w:sz w:val="21"/>
                <w:szCs w:val="21"/>
              </w:rPr>
              <w:t>）对于火灾、爆炸事故，需将事故中未完全燃烧的危险物质在高温下迅速挥发释放至大气，参照附录F中“F.4火灾爆炸事故有毒有害物质释放比例”。根据表7-6本项目有毒有害物质最大存储量为</w:t>
            </w:r>
            <w:r>
              <w:rPr>
                <w:rFonts w:hint="eastAsia"/>
                <w:bCs/>
                <w:color w:val="auto"/>
                <w:kern w:val="24"/>
                <w:sz w:val="21"/>
                <w:szCs w:val="21"/>
                <w:lang w:val="en-US" w:eastAsia="zh-CN"/>
              </w:rPr>
              <w:t>26.9</w:t>
            </w:r>
            <w:r>
              <w:rPr>
                <w:rFonts w:hint="eastAsia"/>
                <w:bCs/>
                <w:color w:val="auto"/>
                <w:kern w:val="24"/>
                <w:sz w:val="21"/>
                <w:szCs w:val="21"/>
              </w:rPr>
              <w:t>t，因此有毒有害物质在线量小于100t，根据表7-12~7-18判定，本项目</w:t>
            </w:r>
            <w:r>
              <w:rPr>
                <w:rFonts w:hint="eastAsia"/>
                <w:bCs/>
                <w:color w:val="auto"/>
                <w:kern w:val="24"/>
                <w:sz w:val="21"/>
                <w:szCs w:val="21"/>
                <w:lang w:val="en-US" w:eastAsia="zh-CN"/>
              </w:rPr>
              <w:t>不考虑</w:t>
            </w:r>
            <w:r>
              <w:rPr>
                <w:rFonts w:hint="eastAsia"/>
                <w:bCs/>
                <w:color w:val="auto"/>
                <w:kern w:val="24"/>
                <w:sz w:val="21"/>
                <w:szCs w:val="21"/>
              </w:rPr>
              <w:t>有毒有害物质在火灾爆炸事故中释放。</w:t>
            </w:r>
          </w:p>
          <w:p w14:paraId="0129103C">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w:t>
            </w:r>
            <w:r>
              <w:rPr>
                <w:rFonts w:hint="eastAsia"/>
                <w:bCs/>
                <w:color w:val="auto"/>
                <w:kern w:val="24"/>
                <w:sz w:val="21"/>
                <w:szCs w:val="21"/>
                <w:lang w:val="en-US" w:eastAsia="zh-CN"/>
              </w:rPr>
              <w:t>3</w:t>
            </w:r>
            <w:r>
              <w:rPr>
                <w:rFonts w:hint="eastAsia"/>
                <w:bCs/>
                <w:color w:val="auto"/>
                <w:kern w:val="24"/>
                <w:sz w:val="21"/>
                <w:szCs w:val="21"/>
              </w:rPr>
              <w:t>）</w:t>
            </w:r>
            <w:r>
              <w:rPr>
                <w:rFonts w:hint="eastAsia"/>
                <w:bCs/>
                <w:color w:val="auto"/>
                <w:kern w:val="24"/>
                <w:sz w:val="21"/>
                <w:szCs w:val="21"/>
                <w:lang w:val="en-US" w:eastAsia="zh-CN"/>
              </w:rPr>
              <w:t>燃料</w:t>
            </w:r>
            <w:r>
              <w:rPr>
                <w:rFonts w:hint="eastAsia"/>
                <w:bCs/>
                <w:color w:val="auto"/>
                <w:kern w:val="24"/>
                <w:sz w:val="21"/>
                <w:szCs w:val="21"/>
              </w:rPr>
              <w:t>、废油发生火灾不完全燃烧伴生CO，排入大气环境造成风险事故</w:t>
            </w:r>
          </w:p>
          <w:p w14:paraId="5308C493">
            <w:pPr>
              <w:pStyle w:val="140"/>
              <w:pageBreakBefore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项目</w:t>
            </w:r>
            <w:r>
              <w:rPr>
                <w:rFonts w:hint="eastAsia"/>
                <w:bCs/>
                <w:color w:val="auto"/>
                <w:kern w:val="24"/>
                <w:sz w:val="21"/>
                <w:szCs w:val="21"/>
                <w:lang w:val="en-US" w:eastAsia="zh-CN"/>
              </w:rPr>
              <w:t>燃料天然气、液化石油气、液化天然气</w:t>
            </w:r>
            <w:r>
              <w:rPr>
                <w:rFonts w:hint="eastAsia"/>
                <w:bCs/>
                <w:color w:val="auto"/>
                <w:kern w:val="24"/>
                <w:sz w:val="21"/>
                <w:szCs w:val="21"/>
              </w:rPr>
              <w:t>、废油为易燃液体，遇明火急剧燃烧时所需的供氧量不足，属于典型的不完全燃烧，燃烧过程中伴生的CO量较大，本项目按照存储量最大的化学品库中各类物料进行计算，预测对周围环境可能产生影响。根据（HJ169-2018）附录F中“F.3火灾伴生/次生污染物产生量估算”公式进行伴生一氧化碳产生的计算。</w:t>
            </w:r>
          </w:p>
          <w:p w14:paraId="6AD31C29">
            <w:pPr>
              <w:pStyle w:val="139"/>
              <w:ind w:firstLine="420"/>
              <w:rPr>
                <w:rFonts w:hint="eastAsia"/>
                <w:color w:val="auto"/>
                <w:sz w:val="21"/>
                <w:szCs w:val="21"/>
              </w:rPr>
            </w:pPr>
            <w:r>
              <w:rPr>
                <w:rFonts w:hint="eastAsia"/>
                <w:color w:val="auto"/>
                <w:sz w:val="21"/>
                <w:szCs w:val="21"/>
              </w:rPr>
              <w:t>2、地表水</w:t>
            </w:r>
          </w:p>
          <w:p w14:paraId="6BC96F8B">
            <w:pPr>
              <w:spacing w:line="360" w:lineRule="auto"/>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构筑物事故排水</w:t>
            </w:r>
          </w:p>
          <w:p w14:paraId="1769E696">
            <w:pPr>
              <w:spacing w:line="360" w:lineRule="auto"/>
              <w:ind w:firstLine="420" w:firstLineChars="200"/>
              <w:rPr>
                <w:rFonts w:hint="eastAsia" w:ascii="宋体" w:cs="宋体"/>
                <w:color w:val="auto"/>
                <w:kern w:val="0"/>
                <w:szCs w:val="21"/>
              </w:rPr>
            </w:pPr>
            <w:r>
              <w:rPr>
                <w:rFonts w:hint="eastAsia" w:ascii="宋体" w:cs="宋体"/>
                <w:color w:val="auto"/>
                <w:kern w:val="0"/>
                <w:szCs w:val="21"/>
              </w:rPr>
              <w:t>对于正常生产产生的废水，在工程设计及本次环评中已提出了合理可行的治理措施，</w:t>
            </w:r>
            <w:r>
              <w:rPr>
                <w:rFonts w:hint="eastAsia" w:ascii="宋体" w:cs="宋体"/>
                <w:color w:val="auto"/>
                <w:kern w:val="0"/>
                <w:szCs w:val="21"/>
                <w:lang w:val="en-US" w:eastAsia="zh-CN"/>
              </w:rPr>
              <w:t>车辆冲洗</w:t>
            </w:r>
            <w:r>
              <w:rPr>
                <w:rFonts w:hint="eastAsia" w:ascii="宋体" w:cs="宋体"/>
                <w:color w:val="auto"/>
                <w:kern w:val="0"/>
                <w:szCs w:val="21"/>
              </w:rPr>
              <w:t>进沉淀处理后回用，不外排。</w:t>
            </w:r>
            <w:r>
              <w:rPr>
                <w:rFonts w:hint="eastAsia" w:ascii="宋体" w:cs="宋体"/>
                <w:color w:val="auto"/>
                <w:kern w:val="0"/>
                <w:szCs w:val="21"/>
                <w:lang w:val="en-US" w:eastAsia="zh-CN"/>
              </w:rPr>
              <w:t>生活污水经化粪池预处理后接管市政污水管网，抛光冷却水循环使用，</w:t>
            </w:r>
            <w:r>
              <w:rPr>
                <w:rFonts w:hint="eastAsia" w:ascii="宋体" w:cs="宋体"/>
                <w:color w:val="auto"/>
                <w:kern w:val="0"/>
                <w:szCs w:val="21"/>
              </w:rPr>
              <w:t>本环评要求</w:t>
            </w:r>
            <w:r>
              <w:rPr>
                <w:rFonts w:hint="eastAsia"/>
                <w:color w:val="auto"/>
                <w:szCs w:val="21"/>
              </w:rPr>
              <w:t>建设单位定期对污染防治设施（沉淀池）进行检修，确保废水</w:t>
            </w:r>
            <w:r>
              <w:rPr>
                <w:rFonts w:hint="eastAsia"/>
                <w:color w:val="auto"/>
                <w:szCs w:val="21"/>
                <w:lang w:val="en-US" w:eastAsia="zh-CN"/>
              </w:rPr>
              <w:t>有效收集处理回用</w:t>
            </w:r>
            <w:r>
              <w:rPr>
                <w:rFonts w:hint="eastAsia"/>
                <w:color w:val="auto"/>
                <w:szCs w:val="21"/>
              </w:rPr>
              <w:t>。</w:t>
            </w:r>
          </w:p>
          <w:p w14:paraId="6193793B">
            <w:pPr>
              <w:pStyle w:val="34"/>
              <w:spacing w:line="360" w:lineRule="auto"/>
              <w:rPr>
                <w:rFonts w:hint="default" w:hAnsi="宋体" w:eastAsia="宋体"/>
                <w:b w:val="0"/>
                <w:color w:val="auto"/>
                <w:sz w:val="21"/>
                <w:szCs w:val="21"/>
                <w:lang w:val="en-US" w:eastAsia="zh-CN"/>
              </w:rPr>
            </w:pPr>
            <w:r>
              <w:rPr>
                <w:rFonts w:hAnsi="宋体"/>
                <w:b w:val="0"/>
                <w:color w:val="auto"/>
                <w:sz w:val="21"/>
                <w:szCs w:val="21"/>
              </w:rPr>
              <w:t>（</w:t>
            </w:r>
            <w:r>
              <w:rPr>
                <w:b w:val="0"/>
                <w:color w:val="auto"/>
                <w:sz w:val="21"/>
                <w:szCs w:val="21"/>
              </w:rPr>
              <w:t>2</w:t>
            </w:r>
            <w:r>
              <w:rPr>
                <w:rFonts w:hAnsi="宋体"/>
                <w:b w:val="0"/>
                <w:color w:val="auto"/>
                <w:sz w:val="21"/>
                <w:szCs w:val="21"/>
              </w:rPr>
              <w:t>）</w:t>
            </w:r>
            <w:r>
              <w:rPr>
                <w:rFonts w:hint="eastAsia" w:hAnsi="宋体"/>
                <w:b w:val="0"/>
                <w:color w:val="auto"/>
                <w:sz w:val="21"/>
                <w:szCs w:val="21"/>
                <w:lang w:val="en-US" w:eastAsia="zh-CN"/>
              </w:rPr>
              <w:t>危废库、氨水储罐事故排放</w:t>
            </w:r>
          </w:p>
          <w:p w14:paraId="678D5D89">
            <w:pPr>
              <w:pStyle w:val="34"/>
              <w:spacing w:line="360" w:lineRule="auto"/>
              <w:rPr>
                <w:rFonts w:hint="eastAsia" w:hAnsi="宋体"/>
                <w:b w:val="0"/>
                <w:color w:val="auto"/>
                <w:sz w:val="21"/>
                <w:szCs w:val="21"/>
              </w:rPr>
            </w:pPr>
            <w:r>
              <w:rPr>
                <w:rFonts w:hAnsi="宋体"/>
                <w:b w:val="0"/>
                <w:color w:val="auto"/>
                <w:sz w:val="21"/>
                <w:szCs w:val="21"/>
              </w:rPr>
              <w:t>危废库的地面</w:t>
            </w:r>
            <w:r>
              <w:rPr>
                <w:rFonts w:hint="eastAsia" w:hAnsi="宋体"/>
                <w:b w:val="0"/>
                <w:color w:val="auto"/>
                <w:sz w:val="21"/>
                <w:szCs w:val="21"/>
                <w:lang w:val="en-US" w:eastAsia="zh-CN"/>
              </w:rPr>
              <w:t>已按照风险防范要求</w:t>
            </w:r>
            <w:r>
              <w:rPr>
                <w:rFonts w:hAnsi="宋体"/>
                <w:b w:val="0"/>
                <w:color w:val="auto"/>
                <w:sz w:val="21"/>
                <w:szCs w:val="21"/>
              </w:rPr>
              <w:t>建设预防事故性溢漏的防护系统（裙脚、收集池），该系统在发生事故时应能有效堵截贮存场内最大容器或占废物总存放量</w:t>
            </w:r>
            <w:r>
              <w:rPr>
                <w:b w:val="0"/>
                <w:color w:val="auto"/>
                <w:sz w:val="21"/>
                <w:szCs w:val="21"/>
              </w:rPr>
              <w:t>1/5</w:t>
            </w:r>
            <w:r>
              <w:rPr>
                <w:rFonts w:hAnsi="宋体"/>
                <w:b w:val="0"/>
                <w:color w:val="auto"/>
                <w:sz w:val="21"/>
                <w:szCs w:val="21"/>
              </w:rPr>
              <w:t>的容器所发生泄漏进流出的全部液态或半固态废物。此事故防护系统的设立不影响对废物储存容器的搬运和其它必要的操作。</w:t>
            </w:r>
            <w:r>
              <w:rPr>
                <w:rFonts w:hint="eastAsia" w:hAnsi="宋体"/>
                <w:b w:val="0"/>
                <w:color w:val="auto"/>
                <w:sz w:val="21"/>
                <w:szCs w:val="21"/>
                <w:lang w:val="en-US" w:eastAsia="zh-CN"/>
              </w:rPr>
              <w:t>氨水储罐已</w:t>
            </w:r>
            <w:r>
              <w:rPr>
                <w:rFonts w:hAnsi="宋体"/>
                <w:b w:val="0"/>
                <w:color w:val="auto"/>
                <w:sz w:val="21"/>
                <w:szCs w:val="21"/>
              </w:rPr>
              <w:t>设置围堰</w:t>
            </w:r>
            <w:r>
              <w:rPr>
                <w:rFonts w:hint="eastAsia" w:hAnsi="宋体"/>
                <w:b w:val="0"/>
                <w:color w:val="auto"/>
                <w:sz w:val="21"/>
                <w:szCs w:val="21"/>
                <w:lang w:eastAsia="zh-CN"/>
              </w:rPr>
              <w:t>，</w:t>
            </w:r>
            <w:r>
              <w:rPr>
                <w:rFonts w:hint="eastAsia" w:hAnsi="宋体"/>
                <w:b w:val="0"/>
                <w:color w:val="auto"/>
                <w:sz w:val="21"/>
                <w:szCs w:val="21"/>
              </w:rPr>
              <w:t>围堰高出堰区的高度不小于150mm</w:t>
            </w:r>
            <w:r>
              <w:rPr>
                <w:rFonts w:hint="eastAsia" w:hAnsi="宋体"/>
                <w:b w:val="0"/>
                <w:color w:val="auto"/>
                <w:sz w:val="21"/>
                <w:szCs w:val="21"/>
                <w:lang w:eastAsia="zh-CN"/>
              </w:rPr>
              <w:t>，本项目设置围堰</w:t>
            </w:r>
            <w:r>
              <w:rPr>
                <w:rFonts w:hint="eastAsia" w:hAnsi="宋体"/>
                <w:b w:val="0"/>
                <w:color w:val="auto"/>
                <w:sz w:val="21"/>
                <w:szCs w:val="21"/>
                <w:lang w:val="en-US" w:eastAsia="zh-CN"/>
              </w:rPr>
              <w:t>能够满足氨水暂存要求</w:t>
            </w:r>
            <w:r>
              <w:rPr>
                <w:rFonts w:hint="eastAsia" w:hAnsi="宋体"/>
                <w:b w:val="0"/>
                <w:color w:val="auto"/>
                <w:sz w:val="21"/>
                <w:szCs w:val="21"/>
                <w:lang w:eastAsia="zh-CN"/>
              </w:rPr>
              <w:t>，围堰内设置混凝土地坪，采取了</w:t>
            </w:r>
            <w:r>
              <w:rPr>
                <w:rFonts w:hint="eastAsia" w:hAnsi="宋体"/>
                <w:b w:val="0"/>
                <w:color w:val="auto"/>
                <w:sz w:val="21"/>
                <w:szCs w:val="21"/>
                <w:lang w:val="en-US" w:eastAsia="zh-CN"/>
              </w:rPr>
              <w:t>措施满足重点</w:t>
            </w:r>
            <w:r>
              <w:rPr>
                <w:rFonts w:hint="eastAsia" w:hAnsi="宋体"/>
                <w:b w:val="0"/>
                <w:color w:val="auto"/>
                <w:sz w:val="21"/>
                <w:szCs w:val="21"/>
                <w:lang w:eastAsia="zh-CN"/>
              </w:rPr>
              <w:t>防渗要求</w:t>
            </w:r>
            <w:r>
              <w:rPr>
                <w:rFonts w:hint="eastAsia" w:hAnsi="宋体"/>
                <w:b w:val="0"/>
                <w:color w:val="auto"/>
                <w:sz w:val="21"/>
                <w:szCs w:val="21"/>
              </w:rPr>
              <w:t>；围堰内地面应坡向排水设施，坡度不宜小于0.003。</w:t>
            </w:r>
          </w:p>
          <w:p w14:paraId="1FE5BF65">
            <w:pPr>
              <w:spacing w:line="360" w:lineRule="auto"/>
              <w:ind w:firstLine="420" w:firstLineChars="200"/>
              <w:rPr>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）消防废水事故排放</w:t>
            </w:r>
          </w:p>
          <w:p w14:paraId="7C2352FF">
            <w:pPr>
              <w:spacing w:line="360" w:lineRule="auto"/>
              <w:ind w:firstLine="420" w:firstLineChars="200"/>
              <w:rPr>
                <w:rFonts w:ascii="宋体" w:cs="宋体"/>
                <w:color w:val="auto"/>
                <w:kern w:val="0"/>
                <w:szCs w:val="21"/>
              </w:rPr>
            </w:pPr>
            <w:r>
              <w:rPr>
                <w:rFonts w:hint="eastAsia" w:ascii="宋体" w:cs="宋体"/>
                <w:color w:val="auto"/>
                <w:kern w:val="0"/>
                <w:szCs w:val="21"/>
              </w:rPr>
              <w:t>生产区或贮存区可燃液体发生泄漏，遇明火发生火灾，会产生大量的消防废水，泄漏液体、消防废水不能及时处理或应急措施不当时，事故废水或泄漏物料如不及时进行收集，可能通过雨水管网，进入厂界外环境，对事故废水流经地区的环境造成不利影响。</w:t>
            </w:r>
          </w:p>
          <w:p w14:paraId="2A9E06A1">
            <w:pPr>
              <w:spacing w:line="360" w:lineRule="auto"/>
              <w:ind w:firstLine="420" w:firstLineChars="200"/>
              <w:rPr>
                <w:rFonts w:ascii="宋体" w:cs="宋体"/>
                <w:color w:val="auto"/>
                <w:kern w:val="0"/>
                <w:szCs w:val="21"/>
              </w:rPr>
            </w:pPr>
            <w:r>
              <w:rPr>
                <w:rFonts w:hint="eastAsia" w:ascii="宋体" w:cs="宋体"/>
                <w:color w:val="auto"/>
                <w:kern w:val="0"/>
                <w:szCs w:val="21"/>
              </w:rPr>
              <w:t>为避免因泄漏、火灾等导致地表水体水污染事故的发生，确保此类事故废水不外排，本次评价提出水环境风险事故三级防控措施，具体措施如下：</w:t>
            </w:r>
          </w:p>
          <w:p w14:paraId="44BC95C5">
            <w:pPr>
              <w:spacing w:line="360" w:lineRule="auto"/>
              <w:ind w:firstLine="420" w:firstLineChars="200"/>
              <w:rPr>
                <w:color w:val="auto"/>
                <w:kern w:val="0"/>
                <w:szCs w:val="21"/>
              </w:rPr>
            </w:pPr>
            <w:r>
              <w:rPr>
                <w:color w:val="auto"/>
                <w:kern w:val="0"/>
                <w:szCs w:val="21"/>
              </w:rPr>
              <w:fldChar w:fldCharType="begin"/>
            </w:r>
            <w:r>
              <w:rPr>
                <w:color w:val="auto"/>
                <w:kern w:val="0"/>
                <w:szCs w:val="21"/>
              </w:rPr>
              <w:instrText xml:space="preserve"> = 1 \* GB3 </w:instrText>
            </w:r>
            <w:r>
              <w:rPr>
                <w:color w:val="auto"/>
                <w:kern w:val="0"/>
                <w:szCs w:val="21"/>
              </w:rPr>
              <w:fldChar w:fldCharType="separate"/>
            </w:r>
            <w:r>
              <w:rPr>
                <w:rFonts w:hint="eastAsia" w:ascii="宋体" w:hAnsi="宋体" w:cs="宋体"/>
                <w:color w:val="auto"/>
                <w:kern w:val="0"/>
                <w:szCs w:val="21"/>
              </w:rPr>
              <w:t>①</w:t>
            </w:r>
            <w:r>
              <w:rPr>
                <w:color w:val="auto"/>
                <w:kern w:val="0"/>
                <w:szCs w:val="21"/>
              </w:rPr>
              <w:fldChar w:fldCharType="end"/>
            </w:r>
            <w:r>
              <w:rPr>
                <w:color w:val="auto"/>
                <w:kern w:val="0"/>
                <w:szCs w:val="21"/>
              </w:rPr>
              <w:t>一级防控措施</w:t>
            </w:r>
          </w:p>
          <w:p w14:paraId="362E712F">
            <w:pPr>
              <w:spacing w:line="360" w:lineRule="auto"/>
              <w:ind w:firstLine="420" w:firstLineChars="200"/>
              <w:rPr>
                <w:color w:val="auto"/>
                <w:kern w:val="0"/>
                <w:szCs w:val="21"/>
              </w:rPr>
            </w:pPr>
            <w:r>
              <w:rPr>
                <w:color w:val="auto"/>
                <w:kern w:val="0"/>
                <w:szCs w:val="21"/>
              </w:rPr>
              <w:t>在</w:t>
            </w:r>
            <w:r>
              <w:rPr>
                <w:rFonts w:hint="eastAsia"/>
                <w:color w:val="auto"/>
                <w:kern w:val="0"/>
                <w:szCs w:val="21"/>
              </w:rPr>
              <w:t>生产车间、危废库、原料库</w:t>
            </w:r>
            <w:r>
              <w:rPr>
                <w:color w:val="auto"/>
                <w:kern w:val="0"/>
                <w:szCs w:val="21"/>
              </w:rPr>
              <w:t>设置导流设施，敷设与</w:t>
            </w:r>
            <w:r>
              <w:rPr>
                <w:rFonts w:hint="eastAsia"/>
                <w:color w:val="auto"/>
                <w:kern w:val="0"/>
                <w:szCs w:val="21"/>
              </w:rPr>
              <w:t>事故</w:t>
            </w:r>
            <w:r>
              <w:rPr>
                <w:color w:val="auto"/>
                <w:kern w:val="0"/>
                <w:szCs w:val="21"/>
              </w:rPr>
              <w:t>池相链接的事故废水管道，确保事故下消防废水通过导排系统自流进入</w:t>
            </w:r>
            <w:r>
              <w:rPr>
                <w:rFonts w:hint="eastAsia"/>
                <w:color w:val="auto"/>
                <w:kern w:val="0"/>
                <w:szCs w:val="21"/>
              </w:rPr>
              <w:t>事故</w:t>
            </w:r>
            <w:r>
              <w:rPr>
                <w:color w:val="auto"/>
                <w:kern w:val="0"/>
                <w:szCs w:val="21"/>
              </w:rPr>
              <w:t>池。</w:t>
            </w:r>
          </w:p>
          <w:p w14:paraId="7C0485FA">
            <w:pPr>
              <w:spacing w:line="360" w:lineRule="auto"/>
              <w:ind w:firstLine="420" w:firstLineChars="200"/>
              <w:rPr>
                <w:color w:val="auto"/>
                <w:kern w:val="0"/>
                <w:szCs w:val="21"/>
              </w:rPr>
            </w:pPr>
            <w:r>
              <w:rPr>
                <w:color w:val="auto"/>
                <w:kern w:val="0"/>
                <w:szCs w:val="21"/>
              </w:rPr>
              <w:fldChar w:fldCharType="begin"/>
            </w:r>
            <w:r>
              <w:rPr>
                <w:color w:val="auto"/>
                <w:kern w:val="0"/>
                <w:szCs w:val="21"/>
              </w:rPr>
              <w:instrText xml:space="preserve"> = 2 \* GB3 </w:instrText>
            </w:r>
            <w:r>
              <w:rPr>
                <w:color w:val="auto"/>
                <w:kern w:val="0"/>
                <w:szCs w:val="21"/>
              </w:rPr>
              <w:fldChar w:fldCharType="separate"/>
            </w:r>
            <w:r>
              <w:rPr>
                <w:rFonts w:hint="eastAsia" w:ascii="宋体" w:hAnsi="宋体" w:cs="宋体"/>
                <w:color w:val="auto"/>
                <w:kern w:val="0"/>
                <w:szCs w:val="21"/>
              </w:rPr>
              <w:t>②</w:t>
            </w:r>
            <w:r>
              <w:rPr>
                <w:color w:val="auto"/>
                <w:kern w:val="0"/>
                <w:szCs w:val="21"/>
              </w:rPr>
              <w:fldChar w:fldCharType="end"/>
            </w:r>
            <w:r>
              <w:rPr>
                <w:color w:val="auto"/>
                <w:kern w:val="0"/>
                <w:szCs w:val="21"/>
              </w:rPr>
              <w:t>二级防控措施</w:t>
            </w:r>
          </w:p>
          <w:p w14:paraId="6910883C">
            <w:pPr>
              <w:spacing w:line="360" w:lineRule="auto"/>
              <w:ind w:firstLine="420" w:firstLineChars="200"/>
              <w:rPr>
                <w:rFonts w:hint="eastAsia"/>
                <w:color w:val="auto"/>
                <w:kern w:val="0"/>
                <w:szCs w:val="21"/>
              </w:rPr>
            </w:pPr>
            <w:r>
              <w:rPr>
                <w:color w:val="auto"/>
                <w:kern w:val="0"/>
                <w:szCs w:val="21"/>
              </w:rPr>
              <w:t>在本项目厂内设置1座容积</w:t>
            </w:r>
            <w:r>
              <w:rPr>
                <w:rFonts w:hint="eastAsia"/>
                <w:color w:val="auto"/>
                <w:kern w:val="0"/>
                <w:szCs w:val="21"/>
                <w:lang w:val="en-US" w:eastAsia="zh-CN"/>
              </w:rPr>
              <w:t>3</w:t>
            </w:r>
            <w:r>
              <w:rPr>
                <w:rFonts w:hint="eastAsia"/>
                <w:color w:val="auto"/>
                <w:kern w:val="0"/>
                <w:szCs w:val="21"/>
              </w:rPr>
              <w:t>00</w:t>
            </w:r>
            <w:r>
              <w:rPr>
                <w:color w:val="auto"/>
                <w:kern w:val="0"/>
                <w:szCs w:val="21"/>
              </w:rPr>
              <w:t>m</w:t>
            </w:r>
            <w:r>
              <w:rPr>
                <w:color w:val="auto"/>
                <w:kern w:val="0"/>
                <w:szCs w:val="21"/>
                <w:vertAlign w:val="superscript"/>
              </w:rPr>
              <w:t>3</w:t>
            </w:r>
            <w:r>
              <w:rPr>
                <w:color w:val="auto"/>
                <w:kern w:val="0"/>
                <w:szCs w:val="21"/>
              </w:rPr>
              <w:t>事故废水</w:t>
            </w:r>
            <w:r>
              <w:rPr>
                <w:rFonts w:hint="eastAsia"/>
                <w:color w:val="auto"/>
                <w:kern w:val="0"/>
                <w:szCs w:val="21"/>
                <w:lang w:eastAsia="zh-CN"/>
              </w:rPr>
              <w:t>，</w:t>
            </w:r>
            <w:r>
              <w:rPr>
                <w:rFonts w:hint="eastAsia"/>
                <w:color w:val="auto"/>
                <w:kern w:val="0"/>
                <w:szCs w:val="21"/>
                <w:lang w:val="en-US" w:eastAsia="zh-CN"/>
              </w:rPr>
              <w:t>同时厂区设置其他截流设置，配套</w:t>
            </w:r>
            <w:r>
              <w:rPr>
                <w:color w:val="auto"/>
                <w:kern w:val="0"/>
                <w:szCs w:val="21"/>
              </w:rPr>
              <w:t>收集导排设施，用于收集消防废水。</w:t>
            </w:r>
          </w:p>
          <w:p w14:paraId="1749ABD8">
            <w:pPr>
              <w:pStyle w:val="105"/>
              <w:spacing w:line="360" w:lineRule="auto"/>
              <w:ind w:firstLine="420" w:firstLineChars="200"/>
              <w:jc w:val="left"/>
              <w:rPr>
                <w:color w:val="auto"/>
                <w:kern w:val="0"/>
                <w:szCs w:val="21"/>
              </w:rPr>
            </w:pPr>
            <w:r>
              <w:rPr>
                <w:rFonts w:hint="eastAsia"/>
                <w:color w:val="auto"/>
                <w:kern w:val="0"/>
                <w:szCs w:val="21"/>
              </w:rPr>
              <w:t>消防废水收集池容量确定及依据如下：</w:t>
            </w:r>
          </w:p>
          <w:p w14:paraId="26F334C1">
            <w:pPr>
              <w:pStyle w:val="105"/>
              <w:spacing w:line="360" w:lineRule="auto"/>
              <w:ind w:firstLine="420" w:firstLineChars="200"/>
              <w:jc w:val="left"/>
              <w:rPr>
                <w:color w:val="auto"/>
                <w:kern w:val="0"/>
                <w:szCs w:val="21"/>
              </w:rPr>
            </w:pPr>
            <w:r>
              <w:rPr>
                <w:rFonts w:hint="eastAsia"/>
                <w:color w:val="auto"/>
                <w:kern w:val="0"/>
                <w:szCs w:val="21"/>
              </w:rPr>
              <w:t>参照中国石化《水体污染防控紧急措施设计导则》，应设置能够储存事故排水的储存设施，储存设施包括事故池、事故罐、防火堤内或围堰内区域等。</w:t>
            </w:r>
          </w:p>
          <w:p w14:paraId="1EDFCD02">
            <w:pPr>
              <w:pStyle w:val="105"/>
              <w:spacing w:line="360" w:lineRule="auto"/>
              <w:ind w:firstLine="420" w:firstLineChars="200"/>
              <w:jc w:val="left"/>
              <w:rPr>
                <w:color w:val="auto"/>
                <w:kern w:val="0"/>
                <w:szCs w:val="21"/>
              </w:rPr>
            </w:pPr>
            <w:r>
              <w:rPr>
                <w:rFonts w:hint="eastAsia"/>
                <w:color w:val="auto"/>
                <w:kern w:val="0"/>
                <w:szCs w:val="21"/>
              </w:rPr>
              <w:t>事故储存设施总有效容积</w:t>
            </w:r>
            <w:r>
              <w:rPr>
                <w:color w:val="auto"/>
                <w:kern w:val="0"/>
                <w:szCs w:val="21"/>
              </w:rPr>
              <w:t>V</w:t>
            </w:r>
            <w:r>
              <w:rPr>
                <w:rFonts w:hint="eastAsia"/>
                <w:color w:val="auto"/>
                <w:kern w:val="0"/>
                <w:szCs w:val="21"/>
                <w:vertAlign w:val="subscript"/>
              </w:rPr>
              <w:t>总</w:t>
            </w:r>
            <w:r>
              <w:rPr>
                <w:color w:val="auto"/>
                <w:kern w:val="0"/>
                <w:szCs w:val="21"/>
              </w:rPr>
              <w:t>=</w:t>
            </w:r>
            <w:r>
              <w:rPr>
                <w:rFonts w:hint="eastAsia"/>
                <w:color w:val="auto"/>
                <w:kern w:val="0"/>
                <w:szCs w:val="21"/>
              </w:rPr>
              <w:t>（</w:t>
            </w:r>
            <w:r>
              <w:rPr>
                <w:color w:val="auto"/>
                <w:kern w:val="0"/>
                <w:szCs w:val="21"/>
              </w:rPr>
              <w:t>V</w:t>
            </w:r>
            <w:r>
              <w:rPr>
                <w:color w:val="auto"/>
                <w:kern w:val="0"/>
                <w:szCs w:val="21"/>
                <w:vertAlign w:val="subscript"/>
              </w:rPr>
              <w:t>1</w:t>
            </w:r>
            <w:r>
              <w:rPr>
                <w:color w:val="auto"/>
                <w:kern w:val="0"/>
                <w:szCs w:val="21"/>
              </w:rPr>
              <w:t>+V</w:t>
            </w:r>
            <w:r>
              <w:rPr>
                <w:color w:val="auto"/>
                <w:kern w:val="0"/>
                <w:szCs w:val="21"/>
                <w:vertAlign w:val="subscript"/>
              </w:rPr>
              <w:t>2</w:t>
            </w:r>
            <w:r>
              <w:rPr>
                <w:color w:val="auto"/>
                <w:kern w:val="0"/>
                <w:szCs w:val="21"/>
              </w:rPr>
              <w:t>-V</w:t>
            </w:r>
            <w:r>
              <w:rPr>
                <w:color w:val="auto"/>
                <w:kern w:val="0"/>
                <w:szCs w:val="21"/>
                <w:vertAlign w:val="subscript"/>
              </w:rPr>
              <w:t>3</w:t>
            </w:r>
            <w:r>
              <w:rPr>
                <w:rFonts w:hint="eastAsia"/>
                <w:color w:val="auto"/>
                <w:kern w:val="0"/>
                <w:szCs w:val="21"/>
              </w:rPr>
              <w:t>）</w:t>
            </w:r>
            <w:r>
              <w:rPr>
                <w:color w:val="auto"/>
                <w:kern w:val="0"/>
                <w:szCs w:val="21"/>
                <w:vertAlign w:val="subscript"/>
              </w:rPr>
              <w:t>max</w:t>
            </w:r>
            <w:r>
              <w:rPr>
                <w:color w:val="auto"/>
                <w:kern w:val="0"/>
                <w:szCs w:val="21"/>
              </w:rPr>
              <w:t>+V</w:t>
            </w:r>
            <w:r>
              <w:rPr>
                <w:color w:val="auto"/>
                <w:kern w:val="0"/>
                <w:szCs w:val="21"/>
                <w:vertAlign w:val="subscript"/>
              </w:rPr>
              <w:t>4</w:t>
            </w:r>
            <w:r>
              <w:rPr>
                <w:color w:val="auto"/>
                <w:kern w:val="0"/>
                <w:szCs w:val="21"/>
              </w:rPr>
              <w:t>+V</w:t>
            </w:r>
            <w:r>
              <w:rPr>
                <w:color w:val="auto"/>
                <w:kern w:val="0"/>
                <w:szCs w:val="21"/>
                <w:vertAlign w:val="subscript"/>
              </w:rPr>
              <w:t>5</w:t>
            </w:r>
          </w:p>
          <w:p w14:paraId="0390CE71">
            <w:pPr>
              <w:pStyle w:val="105"/>
              <w:spacing w:line="360" w:lineRule="auto"/>
              <w:ind w:firstLine="420" w:firstLineChars="200"/>
              <w:jc w:val="left"/>
              <w:rPr>
                <w:color w:val="auto"/>
                <w:kern w:val="0"/>
                <w:szCs w:val="21"/>
              </w:rPr>
            </w:pPr>
            <w:r>
              <w:rPr>
                <w:rFonts w:hint="eastAsia"/>
                <w:color w:val="auto"/>
                <w:kern w:val="0"/>
                <w:szCs w:val="21"/>
              </w:rPr>
              <w:t>注：（</w:t>
            </w:r>
            <w:r>
              <w:rPr>
                <w:color w:val="auto"/>
                <w:kern w:val="0"/>
                <w:szCs w:val="21"/>
              </w:rPr>
              <w:t>V</w:t>
            </w:r>
            <w:r>
              <w:rPr>
                <w:color w:val="auto"/>
                <w:kern w:val="0"/>
                <w:szCs w:val="21"/>
                <w:vertAlign w:val="subscript"/>
              </w:rPr>
              <w:t>1</w:t>
            </w:r>
            <w:r>
              <w:rPr>
                <w:color w:val="auto"/>
                <w:kern w:val="0"/>
                <w:szCs w:val="21"/>
              </w:rPr>
              <w:t>+V</w:t>
            </w:r>
            <w:r>
              <w:rPr>
                <w:color w:val="auto"/>
                <w:kern w:val="0"/>
                <w:szCs w:val="21"/>
                <w:vertAlign w:val="subscript"/>
              </w:rPr>
              <w:t>2</w:t>
            </w:r>
            <w:r>
              <w:rPr>
                <w:color w:val="auto"/>
                <w:kern w:val="0"/>
                <w:szCs w:val="21"/>
              </w:rPr>
              <w:t>-V</w:t>
            </w:r>
            <w:r>
              <w:rPr>
                <w:color w:val="auto"/>
                <w:kern w:val="0"/>
                <w:szCs w:val="21"/>
                <w:vertAlign w:val="subscript"/>
              </w:rPr>
              <w:t>3</w:t>
            </w:r>
            <w:r>
              <w:rPr>
                <w:rFonts w:hint="eastAsia"/>
                <w:color w:val="auto"/>
                <w:kern w:val="0"/>
                <w:szCs w:val="21"/>
              </w:rPr>
              <w:t>）</w:t>
            </w:r>
            <w:r>
              <w:rPr>
                <w:color w:val="auto"/>
                <w:kern w:val="0"/>
                <w:szCs w:val="21"/>
              </w:rPr>
              <w:t>max</w:t>
            </w:r>
            <w:r>
              <w:rPr>
                <w:rFonts w:hint="eastAsia"/>
                <w:color w:val="auto"/>
                <w:kern w:val="0"/>
                <w:szCs w:val="21"/>
              </w:rPr>
              <w:t>是指对收集系统范围内不同罐组或装置分别计算</w:t>
            </w:r>
            <w:r>
              <w:rPr>
                <w:color w:val="auto"/>
                <w:kern w:val="0"/>
                <w:szCs w:val="21"/>
              </w:rPr>
              <w:t>V</w:t>
            </w:r>
            <w:r>
              <w:rPr>
                <w:color w:val="auto"/>
                <w:kern w:val="0"/>
                <w:szCs w:val="21"/>
                <w:vertAlign w:val="subscript"/>
              </w:rPr>
              <w:t>1</w:t>
            </w:r>
            <w:r>
              <w:rPr>
                <w:color w:val="auto"/>
                <w:kern w:val="0"/>
                <w:szCs w:val="21"/>
              </w:rPr>
              <w:t>+V</w:t>
            </w:r>
            <w:r>
              <w:rPr>
                <w:color w:val="auto"/>
                <w:kern w:val="0"/>
                <w:szCs w:val="21"/>
                <w:vertAlign w:val="subscript"/>
              </w:rPr>
              <w:t>2</w:t>
            </w:r>
            <w:r>
              <w:rPr>
                <w:color w:val="auto"/>
                <w:kern w:val="0"/>
                <w:szCs w:val="21"/>
              </w:rPr>
              <w:t>-V</w:t>
            </w:r>
            <w:r>
              <w:rPr>
                <w:color w:val="auto"/>
                <w:kern w:val="0"/>
                <w:szCs w:val="21"/>
                <w:vertAlign w:val="subscript"/>
              </w:rPr>
              <w:t>3</w:t>
            </w:r>
            <w:r>
              <w:rPr>
                <w:rFonts w:hint="eastAsia"/>
                <w:color w:val="auto"/>
                <w:kern w:val="0"/>
                <w:szCs w:val="21"/>
              </w:rPr>
              <w:t>，取其中最大值。</w:t>
            </w:r>
          </w:p>
          <w:p w14:paraId="7FF2BAD0">
            <w:pPr>
              <w:pStyle w:val="105"/>
              <w:spacing w:line="360" w:lineRule="auto"/>
              <w:ind w:firstLine="420" w:firstLineChars="200"/>
              <w:jc w:val="left"/>
              <w:rPr>
                <w:color w:val="auto"/>
                <w:kern w:val="0"/>
                <w:szCs w:val="21"/>
              </w:rPr>
            </w:pPr>
            <w:r>
              <w:rPr>
                <w:color w:val="auto"/>
                <w:kern w:val="0"/>
                <w:szCs w:val="21"/>
              </w:rPr>
              <w:t>V</w:t>
            </w:r>
            <w:r>
              <w:rPr>
                <w:color w:val="auto"/>
                <w:kern w:val="0"/>
                <w:szCs w:val="21"/>
                <w:vertAlign w:val="subscript"/>
              </w:rPr>
              <w:t>1</w:t>
            </w:r>
            <w:r>
              <w:rPr>
                <w:rFonts w:hint="eastAsia"/>
                <w:color w:val="auto"/>
                <w:kern w:val="0"/>
                <w:szCs w:val="21"/>
              </w:rPr>
              <w:t>—收集系统范围内发生事故的一个罐组或一套装置的物料量，本项目</w:t>
            </w:r>
            <w:r>
              <w:rPr>
                <w:rFonts w:hint="eastAsia"/>
                <w:color w:val="auto"/>
                <w:kern w:val="0"/>
                <w:szCs w:val="21"/>
                <w:lang w:val="en-US" w:eastAsia="zh-CN"/>
              </w:rPr>
              <w:t>液化天然气、液化石油气属于闪蒸液体，泄漏过程不会形成液面进行收集暂存。柴油、氨水等均已配套能够暂存泄漏量的围堰，</w:t>
            </w:r>
            <w:r>
              <w:rPr>
                <w:rFonts w:hint="eastAsia"/>
                <w:color w:val="auto"/>
                <w:kern w:val="0"/>
                <w:szCs w:val="21"/>
              </w:rPr>
              <w:t>因此V</w:t>
            </w:r>
            <w:r>
              <w:rPr>
                <w:rFonts w:hint="eastAsia"/>
                <w:color w:val="auto"/>
                <w:kern w:val="0"/>
                <w:szCs w:val="21"/>
                <w:vertAlign w:val="subscript"/>
              </w:rPr>
              <w:t>1</w:t>
            </w:r>
            <w:r>
              <w:rPr>
                <w:rFonts w:hint="eastAsia"/>
                <w:color w:val="auto"/>
                <w:kern w:val="0"/>
                <w:szCs w:val="21"/>
              </w:rPr>
              <w:t>=0</w:t>
            </w:r>
            <w:r>
              <w:rPr>
                <w:color w:val="auto"/>
                <w:kern w:val="0"/>
                <w:szCs w:val="21"/>
              </w:rPr>
              <w:t>m</w:t>
            </w:r>
            <w:r>
              <w:rPr>
                <w:color w:val="auto"/>
                <w:kern w:val="0"/>
                <w:szCs w:val="21"/>
                <w:vertAlign w:val="superscript"/>
              </w:rPr>
              <w:t>3</w:t>
            </w:r>
            <w:r>
              <w:rPr>
                <w:rFonts w:hint="eastAsia"/>
                <w:color w:val="auto"/>
                <w:kern w:val="0"/>
                <w:szCs w:val="21"/>
              </w:rPr>
              <w:t>。</w:t>
            </w:r>
          </w:p>
          <w:p w14:paraId="18D7B698">
            <w:pPr>
              <w:pStyle w:val="105"/>
              <w:spacing w:line="360" w:lineRule="auto"/>
              <w:ind w:firstLine="420" w:firstLineChars="200"/>
              <w:jc w:val="left"/>
              <w:rPr>
                <w:color w:val="auto"/>
                <w:kern w:val="0"/>
                <w:szCs w:val="21"/>
              </w:rPr>
            </w:pPr>
            <w:r>
              <w:rPr>
                <w:color w:val="auto"/>
                <w:kern w:val="0"/>
                <w:szCs w:val="21"/>
              </w:rPr>
              <w:t>V</w:t>
            </w:r>
            <w:r>
              <w:rPr>
                <w:color w:val="auto"/>
                <w:kern w:val="0"/>
                <w:szCs w:val="21"/>
                <w:vertAlign w:val="subscript"/>
              </w:rPr>
              <w:t>2</w:t>
            </w:r>
            <w:r>
              <w:rPr>
                <w:rFonts w:hint="eastAsia"/>
                <w:color w:val="auto"/>
                <w:kern w:val="0"/>
                <w:szCs w:val="21"/>
              </w:rPr>
              <w:t>—发生事故的储罐或装置的消防水量，</w:t>
            </w:r>
            <w:r>
              <w:rPr>
                <w:color w:val="auto"/>
                <w:kern w:val="0"/>
                <w:szCs w:val="21"/>
              </w:rPr>
              <w:t>m</w:t>
            </w:r>
            <w:r>
              <w:rPr>
                <w:color w:val="auto"/>
                <w:kern w:val="0"/>
                <w:szCs w:val="21"/>
                <w:vertAlign w:val="superscript"/>
              </w:rPr>
              <w:t>3</w:t>
            </w:r>
            <w:r>
              <w:rPr>
                <w:rFonts w:hint="eastAsia"/>
                <w:color w:val="auto"/>
                <w:kern w:val="0"/>
                <w:szCs w:val="21"/>
              </w:rPr>
              <w:t>；</w:t>
            </w:r>
            <w:r>
              <w:rPr>
                <w:color w:val="auto"/>
              </w:rPr>
              <w:t>本项目涉及易燃易爆物质主要为</w:t>
            </w:r>
            <w:r>
              <w:rPr>
                <w:rFonts w:hint="eastAsia"/>
                <w:color w:val="auto"/>
              </w:rPr>
              <w:t>储罐区</w:t>
            </w:r>
            <w:r>
              <w:rPr>
                <w:rFonts w:hint="eastAsia"/>
                <w:color w:val="auto"/>
                <w:lang w:eastAsia="zh-CN"/>
              </w:rPr>
              <w:t>、</w:t>
            </w:r>
            <w:r>
              <w:rPr>
                <w:rFonts w:hint="eastAsia"/>
                <w:color w:val="auto"/>
                <w:lang w:val="en-US" w:eastAsia="zh-CN"/>
              </w:rPr>
              <w:t>气瓶暂存区及生产装置区</w:t>
            </w:r>
            <w:r>
              <w:rPr>
                <w:rFonts w:hint="eastAsia"/>
                <w:color w:val="auto"/>
              </w:rPr>
              <w:t>，本</w:t>
            </w:r>
            <w:r>
              <w:rPr>
                <w:color w:val="auto"/>
              </w:rPr>
              <w:t>评价</w:t>
            </w:r>
            <w:r>
              <w:rPr>
                <w:rFonts w:hint="eastAsia"/>
                <w:color w:val="auto"/>
                <w:lang w:val="en-US" w:eastAsia="zh-CN"/>
              </w:rPr>
              <w:t>计算生产装置区、储罐区及气瓶暂存区</w:t>
            </w:r>
            <w:r>
              <w:rPr>
                <w:color w:val="auto"/>
              </w:rPr>
              <w:t>的消防用水。厂内同一时间内的火灾次数1处，设计消防用水量为25L/s，历时为1</w:t>
            </w:r>
            <w:r>
              <w:rPr>
                <w:rFonts w:hint="eastAsia"/>
                <w:color w:val="auto"/>
              </w:rPr>
              <w:t>8</w:t>
            </w:r>
            <w:r>
              <w:rPr>
                <w:color w:val="auto"/>
              </w:rPr>
              <w:t>0min，则厂区一次消防用水总量V</w:t>
            </w:r>
            <w:r>
              <w:rPr>
                <w:color w:val="auto"/>
                <w:vertAlign w:val="subscript"/>
              </w:rPr>
              <w:t>2</w:t>
            </w:r>
            <w:r>
              <w:rPr>
                <w:color w:val="auto"/>
              </w:rPr>
              <w:t>约为</w:t>
            </w:r>
            <w:r>
              <w:rPr>
                <w:rFonts w:hint="eastAsia"/>
                <w:color w:val="auto"/>
              </w:rPr>
              <w:t>270</w:t>
            </w:r>
            <w:r>
              <w:rPr>
                <w:color w:val="auto"/>
              </w:rPr>
              <w:t>m</w:t>
            </w:r>
            <w:r>
              <w:rPr>
                <w:color w:val="auto"/>
                <w:vertAlign w:val="superscript"/>
              </w:rPr>
              <w:t>3</w:t>
            </w:r>
            <w:r>
              <w:rPr>
                <w:color w:val="auto"/>
              </w:rPr>
              <w:t>。</w:t>
            </w:r>
            <w:r>
              <w:rPr>
                <w:color w:val="auto"/>
                <w:kern w:val="0"/>
                <w:szCs w:val="21"/>
              </w:rPr>
              <w:t>V</w:t>
            </w:r>
            <w:r>
              <w:rPr>
                <w:color w:val="auto"/>
                <w:kern w:val="0"/>
                <w:szCs w:val="21"/>
                <w:vertAlign w:val="subscript"/>
              </w:rPr>
              <w:t>2</w:t>
            </w:r>
            <w:r>
              <w:rPr>
                <w:color w:val="auto"/>
                <w:kern w:val="0"/>
                <w:szCs w:val="21"/>
              </w:rPr>
              <w:t>=</w:t>
            </w:r>
            <w:r>
              <w:rPr>
                <w:rFonts w:hint="eastAsia"/>
                <w:color w:val="auto"/>
                <w:kern w:val="0"/>
                <w:szCs w:val="21"/>
              </w:rPr>
              <w:t>270</w:t>
            </w:r>
            <w:r>
              <w:rPr>
                <w:color w:val="auto"/>
                <w:kern w:val="0"/>
                <w:szCs w:val="21"/>
              </w:rPr>
              <w:t>m</w:t>
            </w:r>
            <w:r>
              <w:rPr>
                <w:color w:val="auto"/>
                <w:kern w:val="0"/>
                <w:szCs w:val="21"/>
                <w:vertAlign w:val="superscript"/>
              </w:rPr>
              <w:t>3</w:t>
            </w:r>
            <w:r>
              <w:rPr>
                <w:rFonts w:hint="eastAsia"/>
                <w:color w:val="auto"/>
                <w:kern w:val="0"/>
                <w:szCs w:val="21"/>
              </w:rPr>
              <w:t>。</w:t>
            </w:r>
          </w:p>
          <w:p w14:paraId="4569C7E5">
            <w:pPr>
              <w:pStyle w:val="105"/>
              <w:spacing w:line="360" w:lineRule="auto"/>
              <w:ind w:firstLine="420" w:firstLineChars="200"/>
              <w:jc w:val="left"/>
              <w:rPr>
                <w:color w:val="auto"/>
                <w:kern w:val="0"/>
                <w:szCs w:val="21"/>
              </w:rPr>
            </w:pPr>
            <w:r>
              <w:rPr>
                <w:color w:val="auto"/>
                <w:kern w:val="0"/>
                <w:szCs w:val="21"/>
              </w:rPr>
              <w:t>V</w:t>
            </w:r>
            <w:r>
              <w:rPr>
                <w:color w:val="auto"/>
                <w:kern w:val="0"/>
                <w:szCs w:val="21"/>
                <w:vertAlign w:val="subscript"/>
              </w:rPr>
              <w:t>3</w:t>
            </w:r>
            <w:r>
              <w:rPr>
                <w:rFonts w:hint="eastAsia"/>
                <w:color w:val="auto"/>
                <w:kern w:val="0"/>
                <w:szCs w:val="21"/>
              </w:rPr>
              <w:t>—发生事故时可以转输到其他储存或处理设施的物料量，</w:t>
            </w:r>
            <w:r>
              <w:rPr>
                <w:color w:val="auto"/>
                <w:kern w:val="0"/>
                <w:szCs w:val="21"/>
              </w:rPr>
              <w:t>m</w:t>
            </w:r>
            <w:r>
              <w:rPr>
                <w:color w:val="auto"/>
                <w:kern w:val="0"/>
                <w:szCs w:val="21"/>
                <w:vertAlign w:val="superscript"/>
              </w:rPr>
              <w:t>3</w:t>
            </w:r>
            <w:r>
              <w:rPr>
                <w:color w:val="auto"/>
                <w:kern w:val="0"/>
                <w:szCs w:val="21"/>
              </w:rPr>
              <w:t>，</w:t>
            </w:r>
            <w:r>
              <w:rPr>
                <w:rFonts w:hint="eastAsia"/>
                <w:color w:val="auto"/>
                <w:kern w:val="0"/>
                <w:szCs w:val="21"/>
              </w:rPr>
              <w:t>本项目液态物料</w:t>
            </w:r>
            <w:r>
              <w:rPr>
                <w:rFonts w:hint="eastAsia"/>
                <w:color w:val="auto"/>
                <w:kern w:val="0"/>
                <w:szCs w:val="21"/>
                <w:lang w:val="en-US" w:eastAsia="zh-CN"/>
              </w:rPr>
              <w:t>柴油</w:t>
            </w:r>
            <w:r>
              <w:rPr>
                <w:rFonts w:hint="eastAsia"/>
                <w:color w:val="auto"/>
                <w:kern w:val="0"/>
                <w:szCs w:val="21"/>
              </w:rPr>
              <w:t>采用独立桶装存储于原料库，</w:t>
            </w:r>
            <w:r>
              <w:rPr>
                <w:rFonts w:hint="eastAsia"/>
                <w:color w:val="auto"/>
                <w:kern w:val="0"/>
                <w:szCs w:val="21"/>
                <w:lang w:val="en-US" w:eastAsia="zh-CN"/>
              </w:rPr>
              <w:t>氨水</w:t>
            </w:r>
            <w:r>
              <w:rPr>
                <w:rFonts w:hint="eastAsia"/>
                <w:color w:val="auto"/>
                <w:kern w:val="0"/>
                <w:szCs w:val="21"/>
              </w:rPr>
              <w:t>罐区设置围堰，各围堰容积不小于相应储存单位内最大储存容器的容积。</w:t>
            </w:r>
            <w:r>
              <w:rPr>
                <w:color w:val="auto"/>
                <w:kern w:val="0"/>
                <w:szCs w:val="21"/>
              </w:rPr>
              <w:t>V</w:t>
            </w:r>
            <w:r>
              <w:rPr>
                <w:color w:val="auto"/>
                <w:kern w:val="0"/>
                <w:szCs w:val="21"/>
                <w:vertAlign w:val="subscript"/>
              </w:rPr>
              <w:t>3</w:t>
            </w:r>
            <w:r>
              <w:rPr>
                <w:color w:val="auto"/>
                <w:kern w:val="0"/>
                <w:szCs w:val="21"/>
              </w:rPr>
              <w:t>=</w:t>
            </w:r>
            <w:r>
              <w:rPr>
                <w:rFonts w:hint="eastAsia"/>
                <w:color w:val="auto"/>
                <w:kern w:val="0"/>
                <w:szCs w:val="21"/>
                <w:lang w:val="en-US" w:eastAsia="zh-CN"/>
              </w:rPr>
              <w:t>0</w:t>
            </w:r>
            <w:r>
              <w:rPr>
                <w:color w:val="auto"/>
                <w:kern w:val="0"/>
                <w:szCs w:val="21"/>
              </w:rPr>
              <w:t>m</w:t>
            </w:r>
            <w:r>
              <w:rPr>
                <w:color w:val="auto"/>
                <w:kern w:val="0"/>
                <w:szCs w:val="21"/>
                <w:vertAlign w:val="superscript"/>
              </w:rPr>
              <w:t>3</w:t>
            </w:r>
            <w:r>
              <w:rPr>
                <w:rFonts w:hint="eastAsia"/>
                <w:color w:val="auto"/>
                <w:kern w:val="0"/>
                <w:szCs w:val="21"/>
              </w:rPr>
              <w:t>。</w:t>
            </w:r>
          </w:p>
          <w:p w14:paraId="2EE58BE9">
            <w:pPr>
              <w:pStyle w:val="105"/>
              <w:spacing w:line="360" w:lineRule="auto"/>
              <w:ind w:firstLine="420" w:firstLineChars="200"/>
              <w:jc w:val="left"/>
              <w:rPr>
                <w:color w:val="auto"/>
                <w:kern w:val="0"/>
                <w:szCs w:val="21"/>
              </w:rPr>
            </w:pPr>
            <w:r>
              <w:rPr>
                <w:color w:val="auto"/>
                <w:kern w:val="0"/>
                <w:szCs w:val="21"/>
              </w:rPr>
              <w:t>V</w:t>
            </w:r>
            <w:r>
              <w:rPr>
                <w:color w:val="auto"/>
                <w:kern w:val="0"/>
                <w:szCs w:val="21"/>
                <w:vertAlign w:val="subscript"/>
              </w:rPr>
              <w:t>4</w:t>
            </w:r>
            <w:r>
              <w:rPr>
                <w:rFonts w:hint="eastAsia"/>
                <w:color w:val="auto"/>
                <w:kern w:val="0"/>
                <w:szCs w:val="21"/>
              </w:rPr>
              <w:t>—发生事故时仍必须进入该收集系统的生产废水量，</w:t>
            </w:r>
            <w:r>
              <w:rPr>
                <w:color w:val="auto"/>
                <w:kern w:val="0"/>
                <w:szCs w:val="21"/>
              </w:rPr>
              <w:t>m</w:t>
            </w:r>
            <w:r>
              <w:rPr>
                <w:color w:val="auto"/>
                <w:kern w:val="0"/>
                <w:szCs w:val="21"/>
                <w:vertAlign w:val="superscript"/>
              </w:rPr>
              <w:t>3</w:t>
            </w:r>
            <w:r>
              <w:rPr>
                <w:rFonts w:hint="eastAsia"/>
                <w:color w:val="auto"/>
                <w:kern w:val="0"/>
                <w:szCs w:val="21"/>
              </w:rPr>
              <w:t>；V</w:t>
            </w:r>
            <w:r>
              <w:rPr>
                <w:color w:val="auto"/>
                <w:kern w:val="0"/>
                <w:szCs w:val="21"/>
                <w:vertAlign w:val="subscript"/>
              </w:rPr>
              <w:t>4</w:t>
            </w:r>
            <w:r>
              <w:rPr>
                <w:rFonts w:hint="eastAsia"/>
                <w:color w:val="auto"/>
                <w:kern w:val="0"/>
                <w:szCs w:val="21"/>
              </w:rPr>
              <w:t>=0</w:t>
            </w:r>
            <w:r>
              <w:rPr>
                <w:color w:val="auto"/>
                <w:kern w:val="0"/>
                <w:szCs w:val="21"/>
              </w:rPr>
              <w:t>m</w:t>
            </w:r>
            <w:r>
              <w:rPr>
                <w:color w:val="auto"/>
                <w:kern w:val="0"/>
                <w:szCs w:val="21"/>
                <w:vertAlign w:val="superscript"/>
              </w:rPr>
              <w:t>3</w:t>
            </w:r>
            <w:r>
              <w:rPr>
                <w:rFonts w:hint="eastAsia"/>
                <w:color w:val="auto"/>
                <w:kern w:val="0"/>
                <w:szCs w:val="21"/>
              </w:rPr>
              <w:t>。</w:t>
            </w:r>
          </w:p>
          <w:p w14:paraId="19097290">
            <w:pPr>
              <w:pStyle w:val="105"/>
              <w:spacing w:line="360" w:lineRule="auto"/>
              <w:ind w:firstLine="420" w:firstLineChars="200"/>
              <w:jc w:val="left"/>
              <w:rPr>
                <w:color w:val="auto"/>
                <w:kern w:val="0"/>
                <w:szCs w:val="21"/>
              </w:rPr>
            </w:pPr>
            <w:r>
              <w:rPr>
                <w:color w:val="auto"/>
                <w:kern w:val="0"/>
                <w:szCs w:val="21"/>
              </w:rPr>
              <w:t>V</w:t>
            </w:r>
            <w:r>
              <w:rPr>
                <w:color w:val="auto"/>
                <w:kern w:val="0"/>
                <w:szCs w:val="21"/>
                <w:vertAlign w:val="subscript"/>
              </w:rPr>
              <w:t>5</w:t>
            </w:r>
            <w:r>
              <w:rPr>
                <w:rFonts w:hint="eastAsia"/>
                <w:color w:val="auto"/>
                <w:kern w:val="0"/>
                <w:szCs w:val="21"/>
              </w:rPr>
              <w:t>——发生事故时可能进入该收集系统的降雨量，</w:t>
            </w:r>
            <w:r>
              <w:rPr>
                <w:color w:val="auto"/>
                <w:kern w:val="0"/>
                <w:szCs w:val="21"/>
              </w:rPr>
              <w:t>m</w:t>
            </w:r>
            <w:r>
              <w:rPr>
                <w:color w:val="auto"/>
                <w:kern w:val="0"/>
                <w:szCs w:val="21"/>
                <w:vertAlign w:val="superscript"/>
              </w:rPr>
              <w:t>3</w:t>
            </w:r>
            <w:r>
              <w:rPr>
                <w:rFonts w:hint="eastAsia"/>
                <w:color w:val="auto"/>
                <w:kern w:val="0"/>
                <w:szCs w:val="21"/>
              </w:rPr>
              <w:t>；</w:t>
            </w:r>
            <w:r>
              <w:rPr>
                <w:color w:val="auto"/>
                <w:kern w:val="0"/>
                <w:szCs w:val="21"/>
              </w:rPr>
              <w:t xml:space="preserve"> </w:t>
            </w:r>
          </w:p>
          <w:p w14:paraId="76C18BF9">
            <w:pPr>
              <w:pStyle w:val="105"/>
              <w:spacing w:line="360" w:lineRule="auto"/>
              <w:ind w:firstLine="420" w:firstLineChars="200"/>
              <w:rPr>
                <w:color w:val="auto"/>
                <w:kern w:val="0"/>
                <w:szCs w:val="21"/>
              </w:rPr>
            </w:pPr>
            <w:r>
              <w:rPr>
                <w:color w:val="auto"/>
                <w:kern w:val="0"/>
                <w:szCs w:val="21"/>
              </w:rPr>
              <w:t>V</w:t>
            </w:r>
            <w:r>
              <w:rPr>
                <w:color w:val="auto"/>
                <w:kern w:val="0"/>
                <w:szCs w:val="21"/>
                <w:vertAlign w:val="subscript"/>
              </w:rPr>
              <w:t>5</w:t>
            </w:r>
            <w:r>
              <w:rPr>
                <w:color w:val="auto"/>
                <w:kern w:val="0"/>
                <w:szCs w:val="21"/>
              </w:rPr>
              <w:t>=10qF</w:t>
            </w:r>
          </w:p>
          <w:p w14:paraId="03271722">
            <w:pPr>
              <w:pStyle w:val="105"/>
              <w:spacing w:line="360" w:lineRule="auto"/>
              <w:ind w:firstLine="420" w:firstLineChars="200"/>
              <w:jc w:val="left"/>
              <w:rPr>
                <w:color w:val="auto"/>
                <w:kern w:val="0"/>
                <w:szCs w:val="21"/>
              </w:rPr>
            </w:pPr>
            <w:r>
              <w:rPr>
                <w:color w:val="auto"/>
                <w:kern w:val="0"/>
                <w:szCs w:val="21"/>
              </w:rPr>
              <w:t>q——</w:t>
            </w:r>
            <w:r>
              <w:rPr>
                <w:rFonts w:hint="eastAsia"/>
                <w:color w:val="auto"/>
                <w:kern w:val="0"/>
                <w:szCs w:val="21"/>
              </w:rPr>
              <w:t>降雨强度，</w:t>
            </w:r>
            <w:r>
              <w:rPr>
                <w:color w:val="auto"/>
                <w:kern w:val="0"/>
                <w:szCs w:val="21"/>
              </w:rPr>
              <w:t>mm</w:t>
            </w:r>
            <w:r>
              <w:rPr>
                <w:rFonts w:hint="eastAsia"/>
                <w:color w:val="auto"/>
                <w:kern w:val="0"/>
                <w:szCs w:val="21"/>
              </w:rPr>
              <w:t>；按平均日降雨量；</w:t>
            </w:r>
          </w:p>
          <w:p w14:paraId="0BDF90F1">
            <w:pPr>
              <w:pStyle w:val="105"/>
              <w:spacing w:line="360" w:lineRule="auto"/>
              <w:ind w:firstLine="420" w:firstLineChars="200"/>
              <w:jc w:val="center"/>
              <w:rPr>
                <w:color w:val="auto"/>
                <w:kern w:val="0"/>
                <w:szCs w:val="21"/>
              </w:rPr>
            </w:pPr>
            <w:r>
              <w:rPr>
                <w:color w:val="auto"/>
                <w:kern w:val="0"/>
                <w:szCs w:val="21"/>
              </w:rPr>
              <w:t>q=qa/n</w:t>
            </w:r>
          </w:p>
          <w:p w14:paraId="494F7DAA">
            <w:pPr>
              <w:pStyle w:val="105"/>
              <w:spacing w:line="360" w:lineRule="auto"/>
              <w:ind w:firstLine="420" w:firstLineChars="200"/>
              <w:jc w:val="left"/>
              <w:rPr>
                <w:color w:val="auto"/>
                <w:kern w:val="0"/>
                <w:szCs w:val="21"/>
              </w:rPr>
            </w:pPr>
            <w:r>
              <w:rPr>
                <w:color w:val="auto"/>
                <w:kern w:val="0"/>
                <w:szCs w:val="21"/>
              </w:rPr>
              <w:t>qa——</w:t>
            </w:r>
            <w:r>
              <w:rPr>
                <w:rFonts w:hint="eastAsia"/>
                <w:color w:val="auto"/>
                <w:kern w:val="0"/>
                <w:szCs w:val="21"/>
              </w:rPr>
              <w:t>年平均降雨量，</w:t>
            </w:r>
            <w:r>
              <w:rPr>
                <w:color w:val="auto"/>
                <w:kern w:val="0"/>
                <w:szCs w:val="21"/>
              </w:rPr>
              <w:t>mm</w:t>
            </w:r>
            <w:r>
              <w:rPr>
                <w:rFonts w:hint="eastAsia"/>
                <w:color w:val="auto"/>
                <w:kern w:val="0"/>
                <w:szCs w:val="21"/>
              </w:rPr>
              <w:t>；</w:t>
            </w:r>
            <w:r>
              <w:rPr>
                <w:rFonts w:hint="eastAsia"/>
                <w:color w:val="auto"/>
                <w:kern w:val="0"/>
                <w:szCs w:val="21"/>
                <w:lang w:val="en-US" w:eastAsia="zh-CN"/>
              </w:rPr>
              <w:t>淮南地区以2023年统计数据866.8mm计算</w:t>
            </w:r>
            <w:r>
              <w:rPr>
                <w:rFonts w:hint="eastAsia"/>
                <w:color w:val="auto"/>
                <w:kern w:val="0"/>
                <w:szCs w:val="21"/>
              </w:rPr>
              <w:t>。</w:t>
            </w:r>
          </w:p>
          <w:p w14:paraId="543EC5FE">
            <w:pPr>
              <w:pStyle w:val="105"/>
              <w:spacing w:line="360" w:lineRule="auto"/>
              <w:ind w:firstLine="420" w:firstLineChars="200"/>
              <w:jc w:val="left"/>
              <w:rPr>
                <w:color w:val="auto"/>
                <w:kern w:val="0"/>
                <w:szCs w:val="21"/>
              </w:rPr>
            </w:pPr>
            <w:r>
              <w:rPr>
                <w:color w:val="auto"/>
                <w:kern w:val="0"/>
                <w:szCs w:val="21"/>
              </w:rPr>
              <w:t>n——</w:t>
            </w:r>
            <w:r>
              <w:rPr>
                <w:rFonts w:hint="eastAsia"/>
                <w:color w:val="auto"/>
                <w:kern w:val="0"/>
                <w:szCs w:val="21"/>
              </w:rPr>
              <w:t>年平均降雨日数；以1</w:t>
            </w:r>
            <w:r>
              <w:rPr>
                <w:rFonts w:hint="eastAsia"/>
                <w:color w:val="auto"/>
                <w:kern w:val="0"/>
                <w:szCs w:val="21"/>
                <w:lang w:val="en-US" w:eastAsia="zh-CN"/>
              </w:rPr>
              <w:t>28</w:t>
            </w:r>
            <w:r>
              <w:rPr>
                <w:rFonts w:hint="eastAsia"/>
                <w:color w:val="auto"/>
                <w:kern w:val="0"/>
                <w:szCs w:val="21"/>
              </w:rPr>
              <w:t>天计算。</w:t>
            </w:r>
          </w:p>
          <w:p w14:paraId="78ABCE81">
            <w:pPr>
              <w:pStyle w:val="105"/>
              <w:spacing w:line="360" w:lineRule="auto"/>
              <w:ind w:firstLine="420" w:firstLineChars="200"/>
              <w:jc w:val="left"/>
              <w:rPr>
                <w:color w:val="auto"/>
                <w:kern w:val="0"/>
                <w:szCs w:val="21"/>
              </w:rPr>
            </w:pPr>
            <w:r>
              <w:rPr>
                <w:color w:val="auto"/>
                <w:kern w:val="0"/>
                <w:szCs w:val="21"/>
              </w:rPr>
              <w:t>F——</w:t>
            </w:r>
            <w:r>
              <w:rPr>
                <w:rFonts w:hint="eastAsia"/>
                <w:color w:val="auto"/>
                <w:kern w:val="0"/>
                <w:szCs w:val="21"/>
              </w:rPr>
              <w:t>必须进入事故废水收集系统的雨水汇水面积，</w:t>
            </w:r>
            <w:r>
              <w:rPr>
                <w:color w:val="auto"/>
                <w:kern w:val="0"/>
                <w:szCs w:val="21"/>
              </w:rPr>
              <w:t>ha</w:t>
            </w:r>
            <w:r>
              <w:rPr>
                <w:rFonts w:hint="eastAsia"/>
                <w:color w:val="auto"/>
                <w:kern w:val="0"/>
                <w:szCs w:val="21"/>
              </w:rPr>
              <w:t>；</w:t>
            </w:r>
            <w:r>
              <w:rPr>
                <w:rFonts w:hint="eastAsia"/>
                <w:color w:val="auto"/>
                <w:kern w:val="0"/>
                <w:szCs w:val="21"/>
                <w:lang w:val="en-US" w:eastAsia="zh-CN"/>
              </w:rPr>
              <w:t>厂区</w:t>
            </w:r>
            <w:r>
              <w:rPr>
                <w:color w:val="auto"/>
                <w:szCs w:val="21"/>
              </w:rPr>
              <w:t>的占地面积</w:t>
            </w:r>
            <w:r>
              <w:rPr>
                <w:rFonts w:hint="eastAsia"/>
                <w:color w:val="auto"/>
                <w:szCs w:val="21"/>
                <w:lang w:val="en-US" w:eastAsia="zh-CN"/>
              </w:rPr>
              <w:t>41122.32</w:t>
            </w:r>
            <w:r>
              <w:rPr>
                <w:color w:val="auto"/>
                <w:szCs w:val="21"/>
              </w:rPr>
              <w:t>m</w:t>
            </w:r>
            <w:r>
              <w:rPr>
                <w:color w:val="auto"/>
                <w:szCs w:val="21"/>
                <w:vertAlign w:val="superscript"/>
              </w:rPr>
              <w:t>2</w:t>
            </w:r>
            <w:r>
              <w:rPr>
                <w:rFonts w:hint="eastAsia"/>
                <w:color w:val="auto"/>
                <w:szCs w:val="21"/>
              </w:rPr>
              <w:t>，</w:t>
            </w:r>
            <w:r>
              <w:rPr>
                <w:rFonts w:hint="eastAsia"/>
                <w:color w:val="auto"/>
                <w:kern w:val="0"/>
                <w:szCs w:val="21"/>
              </w:rPr>
              <w:t>以</w:t>
            </w:r>
            <w:r>
              <w:rPr>
                <w:rFonts w:hint="eastAsia"/>
                <w:color w:val="auto"/>
                <w:kern w:val="0"/>
                <w:szCs w:val="21"/>
                <w:lang w:val="en-US" w:eastAsia="zh-CN"/>
              </w:rPr>
              <w:t>4.1122</w:t>
            </w:r>
            <w:r>
              <w:rPr>
                <w:color w:val="auto"/>
                <w:kern w:val="0"/>
                <w:szCs w:val="21"/>
              </w:rPr>
              <w:t>ha</w:t>
            </w:r>
            <w:r>
              <w:rPr>
                <w:rFonts w:hint="eastAsia"/>
                <w:color w:val="auto"/>
                <w:kern w:val="0"/>
                <w:szCs w:val="21"/>
              </w:rPr>
              <w:t>计算。计算得V</w:t>
            </w:r>
            <w:r>
              <w:rPr>
                <w:color w:val="auto"/>
                <w:kern w:val="0"/>
                <w:szCs w:val="21"/>
                <w:vertAlign w:val="subscript"/>
              </w:rPr>
              <w:t>5</w:t>
            </w:r>
            <w:r>
              <w:rPr>
                <w:rFonts w:hint="eastAsia"/>
                <w:color w:val="auto"/>
                <w:kern w:val="0"/>
                <w:szCs w:val="21"/>
              </w:rPr>
              <w:t>=</w:t>
            </w:r>
            <w:r>
              <w:rPr>
                <w:rFonts w:hint="eastAsia"/>
                <w:color w:val="auto"/>
                <w:kern w:val="0"/>
                <w:szCs w:val="21"/>
                <w:lang w:val="en-US" w:eastAsia="zh-CN"/>
              </w:rPr>
              <w:t>278.47</w:t>
            </w:r>
            <w:r>
              <w:rPr>
                <w:color w:val="auto"/>
                <w:kern w:val="0"/>
                <w:szCs w:val="21"/>
              </w:rPr>
              <w:t>m</w:t>
            </w:r>
            <w:r>
              <w:rPr>
                <w:color w:val="auto"/>
                <w:kern w:val="0"/>
                <w:szCs w:val="21"/>
                <w:vertAlign w:val="superscript"/>
              </w:rPr>
              <w:t>3</w:t>
            </w:r>
            <w:r>
              <w:rPr>
                <w:rFonts w:hint="eastAsia"/>
                <w:color w:val="auto"/>
                <w:kern w:val="0"/>
                <w:szCs w:val="21"/>
              </w:rPr>
              <w:t>。</w:t>
            </w:r>
          </w:p>
          <w:p w14:paraId="566BB707">
            <w:pPr>
              <w:pStyle w:val="105"/>
              <w:spacing w:line="360" w:lineRule="auto"/>
              <w:ind w:firstLine="420" w:firstLineChars="200"/>
              <w:jc w:val="left"/>
              <w:rPr>
                <w:rFonts w:hint="eastAsia"/>
                <w:color w:val="auto"/>
                <w:kern w:val="0"/>
                <w:szCs w:val="21"/>
              </w:rPr>
            </w:pPr>
            <w:r>
              <w:rPr>
                <w:color w:val="auto"/>
                <w:kern w:val="0"/>
                <w:szCs w:val="21"/>
              </w:rPr>
              <w:t>V</w:t>
            </w:r>
            <w:r>
              <w:rPr>
                <w:rFonts w:hint="eastAsia"/>
                <w:color w:val="auto"/>
                <w:kern w:val="0"/>
                <w:szCs w:val="21"/>
                <w:vertAlign w:val="subscript"/>
              </w:rPr>
              <w:t>总</w:t>
            </w:r>
            <w:r>
              <w:rPr>
                <w:color w:val="auto"/>
                <w:kern w:val="0"/>
                <w:szCs w:val="21"/>
              </w:rPr>
              <w:t>=</w:t>
            </w:r>
            <w:r>
              <w:rPr>
                <w:rFonts w:hint="eastAsia"/>
                <w:color w:val="auto"/>
                <w:kern w:val="0"/>
                <w:szCs w:val="21"/>
              </w:rPr>
              <w:t>（</w:t>
            </w:r>
            <w:r>
              <w:rPr>
                <w:color w:val="auto"/>
                <w:kern w:val="0"/>
                <w:szCs w:val="21"/>
              </w:rPr>
              <w:t>V</w:t>
            </w:r>
            <w:r>
              <w:rPr>
                <w:color w:val="auto"/>
                <w:kern w:val="0"/>
                <w:szCs w:val="21"/>
                <w:vertAlign w:val="subscript"/>
              </w:rPr>
              <w:t>1</w:t>
            </w:r>
            <w:r>
              <w:rPr>
                <w:color w:val="auto"/>
                <w:kern w:val="0"/>
                <w:szCs w:val="21"/>
              </w:rPr>
              <w:t>+V</w:t>
            </w:r>
            <w:r>
              <w:rPr>
                <w:color w:val="auto"/>
                <w:kern w:val="0"/>
                <w:szCs w:val="21"/>
                <w:vertAlign w:val="subscript"/>
              </w:rPr>
              <w:t>2</w:t>
            </w:r>
            <w:r>
              <w:rPr>
                <w:rFonts w:hint="eastAsia"/>
                <w:color w:val="auto"/>
                <w:kern w:val="0"/>
                <w:szCs w:val="21"/>
              </w:rPr>
              <w:t>－</w:t>
            </w:r>
            <w:r>
              <w:rPr>
                <w:color w:val="auto"/>
                <w:kern w:val="0"/>
                <w:szCs w:val="21"/>
              </w:rPr>
              <w:t>V</w:t>
            </w:r>
            <w:r>
              <w:rPr>
                <w:color w:val="auto"/>
                <w:kern w:val="0"/>
                <w:szCs w:val="21"/>
                <w:vertAlign w:val="subscript"/>
              </w:rPr>
              <w:t>3</w:t>
            </w:r>
            <w:r>
              <w:rPr>
                <w:rFonts w:hint="eastAsia"/>
                <w:color w:val="auto"/>
                <w:kern w:val="0"/>
                <w:szCs w:val="21"/>
              </w:rPr>
              <w:t>）</w:t>
            </w:r>
            <w:r>
              <w:rPr>
                <w:color w:val="auto"/>
                <w:kern w:val="0"/>
                <w:szCs w:val="21"/>
                <w:vertAlign w:val="subscript"/>
              </w:rPr>
              <w:t>max</w:t>
            </w:r>
            <w:r>
              <w:rPr>
                <w:color w:val="auto"/>
                <w:kern w:val="0"/>
                <w:szCs w:val="21"/>
              </w:rPr>
              <w:t>+V</w:t>
            </w:r>
            <w:r>
              <w:rPr>
                <w:color w:val="auto"/>
                <w:kern w:val="0"/>
                <w:szCs w:val="21"/>
                <w:vertAlign w:val="subscript"/>
              </w:rPr>
              <w:t>4</w:t>
            </w:r>
            <w:r>
              <w:rPr>
                <w:color w:val="auto"/>
                <w:kern w:val="0"/>
                <w:szCs w:val="21"/>
              </w:rPr>
              <w:t>+V</w:t>
            </w:r>
            <w:r>
              <w:rPr>
                <w:color w:val="auto"/>
                <w:kern w:val="0"/>
                <w:szCs w:val="21"/>
                <w:vertAlign w:val="subscript"/>
              </w:rPr>
              <w:t>5</w:t>
            </w:r>
            <w:r>
              <w:rPr>
                <w:rFonts w:hint="eastAsia"/>
                <w:color w:val="auto"/>
                <w:kern w:val="0"/>
                <w:szCs w:val="21"/>
              </w:rPr>
              <w:t>=</w:t>
            </w:r>
            <w:r>
              <w:rPr>
                <w:rFonts w:hint="eastAsia"/>
                <w:color w:val="auto"/>
                <w:kern w:val="0"/>
                <w:szCs w:val="21"/>
                <w:lang w:val="en-US" w:eastAsia="zh-CN"/>
              </w:rPr>
              <w:t>270</w:t>
            </w:r>
            <w:r>
              <w:rPr>
                <w:rFonts w:hint="eastAsia"/>
                <w:color w:val="auto"/>
                <w:kern w:val="0"/>
                <w:szCs w:val="21"/>
              </w:rPr>
              <w:t>+</w:t>
            </w:r>
            <w:r>
              <w:rPr>
                <w:rFonts w:hint="eastAsia"/>
                <w:color w:val="auto"/>
                <w:kern w:val="0"/>
                <w:szCs w:val="21"/>
                <w:lang w:val="en-US" w:eastAsia="zh-CN"/>
              </w:rPr>
              <w:t>278.47</w:t>
            </w:r>
            <w:r>
              <w:rPr>
                <w:rFonts w:hint="eastAsia"/>
                <w:color w:val="auto"/>
                <w:kern w:val="0"/>
                <w:szCs w:val="21"/>
              </w:rPr>
              <w:t>=</w:t>
            </w:r>
            <w:r>
              <w:rPr>
                <w:rFonts w:hint="eastAsia"/>
                <w:color w:val="auto"/>
                <w:kern w:val="0"/>
                <w:szCs w:val="21"/>
                <w:lang w:val="en-US" w:eastAsia="zh-CN"/>
              </w:rPr>
              <w:t>548.47</w:t>
            </w:r>
            <w:r>
              <w:rPr>
                <w:color w:val="auto"/>
                <w:kern w:val="0"/>
                <w:szCs w:val="21"/>
              </w:rPr>
              <w: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rPr>
              <w:t>经计算本项目所需事故池容积为</w:t>
            </w:r>
            <w:r>
              <w:rPr>
                <w:rFonts w:hint="eastAsia"/>
                <w:color w:val="auto"/>
                <w:kern w:val="0"/>
                <w:szCs w:val="21"/>
                <w:lang w:val="en-US" w:eastAsia="zh-CN"/>
              </w:rPr>
              <w:t>548.47</w:t>
            </w:r>
            <w:r>
              <w:rPr>
                <w:color w:val="auto"/>
                <w:kern w:val="0"/>
                <w:szCs w:val="21"/>
              </w:rPr>
              <w:t>m</w:t>
            </w:r>
            <w:r>
              <w:rPr>
                <w:color w:val="auto"/>
                <w:kern w:val="0"/>
                <w:szCs w:val="21"/>
                <w:vertAlign w:val="superscript"/>
              </w:rPr>
              <w:t>3</w:t>
            </w:r>
            <w:r>
              <w:rPr>
                <w:rFonts w:hint="eastAsia"/>
                <w:color w:val="auto"/>
                <w:kern w:val="0"/>
                <w:szCs w:val="21"/>
              </w:rPr>
              <w:t>，</w:t>
            </w:r>
            <w:r>
              <w:rPr>
                <w:rFonts w:hint="eastAsia"/>
                <w:color w:val="auto"/>
                <w:kern w:val="0"/>
                <w:szCs w:val="21"/>
                <w:lang w:val="en-US" w:eastAsia="zh-CN"/>
              </w:rPr>
              <w:t>本项目厂区现有事故池容积为300</w:t>
            </w:r>
            <w:r>
              <w:rPr>
                <w:color w:val="auto"/>
                <w:kern w:val="0"/>
                <w:szCs w:val="21"/>
              </w:rPr>
              <w:t>m</w:t>
            </w:r>
            <w:r>
              <w:rPr>
                <w:color w:val="auto"/>
                <w:kern w:val="0"/>
                <w:szCs w:val="21"/>
                <w:vertAlign w:val="superscript"/>
              </w:rPr>
              <w:t>3</w:t>
            </w:r>
            <w:r>
              <w:rPr>
                <w:rFonts w:hint="eastAsia"/>
                <w:color w:val="auto"/>
                <w:kern w:val="0"/>
                <w:szCs w:val="21"/>
                <w:vertAlign w:val="baseline"/>
                <w:lang w:eastAsia="zh-CN"/>
              </w:rPr>
              <w:t>，</w:t>
            </w:r>
            <w:r>
              <w:rPr>
                <w:rFonts w:hint="eastAsia"/>
                <w:color w:val="auto"/>
                <w:kern w:val="0"/>
                <w:szCs w:val="21"/>
              </w:rPr>
              <w:t>本项目厂区由于场地限制客观原因，无法扩建事故池，因此依据《突发环境事件应急管理办法》（环境保护部令第34号）第九条，厂区内地面均已硬化，无破损、裂缝情况，企业事故废水主要为消防废水和初期雨水，不含重金属、矿物油等物质，在生产车间所有出入口设置漫坡，形成车间级拦截措施；并在厂区所有出入口设置漫坡，雨水排放口设置常闭阀门，形成厂区级拦截措施，利用车间、厂区、雨水系统进行消防废水收集，保证可储存的容积满足消防废水的产生量要求；事故结束后及时将消防废水交有处理能力的单位处理。</w:t>
            </w:r>
          </w:p>
          <w:p w14:paraId="74E810DB">
            <w:pPr>
              <w:pStyle w:val="105"/>
              <w:spacing w:line="360" w:lineRule="auto"/>
              <w:ind w:firstLine="420" w:firstLineChars="200"/>
              <w:jc w:val="left"/>
              <w:rPr>
                <w:color w:val="auto"/>
                <w:kern w:val="0"/>
                <w:szCs w:val="21"/>
              </w:rPr>
            </w:pPr>
            <w:r>
              <w:rPr>
                <w:rFonts w:hint="eastAsia"/>
                <w:color w:val="auto"/>
                <w:kern w:val="0"/>
                <w:szCs w:val="21"/>
                <w:lang w:val="en-US" w:eastAsia="zh-CN"/>
              </w:rPr>
              <w:t>现有</w:t>
            </w:r>
            <w:r>
              <w:rPr>
                <w:rFonts w:hint="eastAsia"/>
                <w:color w:val="auto"/>
                <w:kern w:val="0"/>
                <w:szCs w:val="21"/>
              </w:rPr>
              <w:t>事故池采取防渗、防腐、防冻、防洪等措施，事故池平时（非应急状态）处于空池状态，不可存储其他用水。</w:t>
            </w:r>
          </w:p>
          <w:p w14:paraId="714F3791">
            <w:pPr>
              <w:spacing w:line="360" w:lineRule="auto"/>
              <w:ind w:firstLine="420" w:firstLineChars="200"/>
              <w:rPr>
                <w:rFonts w:ascii="宋体" w:cs="宋体"/>
                <w:color w:val="auto"/>
                <w:kern w:val="0"/>
                <w:szCs w:val="21"/>
              </w:rPr>
            </w:pPr>
            <w:r>
              <w:rPr>
                <w:rFonts w:ascii="宋体" w:cs="宋体"/>
                <w:color w:val="auto"/>
                <w:kern w:val="0"/>
                <w:szCs w:val="21"/>
              </w:rPr>
              <w:fldChar w:fldCharType="begin"/>
            </w:r>
            <w:r>
              <w:rPr>
                <w:rFonts w:ascii="宋体" w:cs="宋体"/>
                <w:color w:val="auto"/>
                <w:kern w:val="0"/>
                <w:szCs w:val="21"/>
              </w:rPr>
              <w:instrText xml:space="preserve"> </w:instrText>
            </w:r>
            <w:r>
              <w:rPr>
                <w:rFonts w:hint="eastAsia" w:ascii="宋体" w:cs="宋体"/>
                <w:color w:val="auto"/>
                <w:kern w:val="0"/>
                <w:szCs w:val="21"/>
              </w:rPr>
              <w:instrText xml:space="preserve">= 3 \* GB3</w:instrText>
            </w:r>
            <w:r>
              <w:rPr>
                <w:rFonts w:ascii="宋体" w:cs="宋体"/>
                <w:color w:val="auto"/>
                <w:kern w:val="0"/>
                <w:szCs w:val="21"/>
              </w:rPr>
              <w:instrText xml:space="preserve"> </w:instrText>
            </w:r>
            <w:r>
              <w:rPr>
                <w:rFonts w:ascii="宋体" w:cs="宋体"/>
                <w:color w:val="auto"/>
                <w:kern w:val="0"/>
                <w:szCs w:val="21"/>
              </w:rPr>
              <w:fldChar w:fldCharType="separate"/>
            </w:r>
            <w:r>
              <w:rPr>
                <w:rFonts w:hint="eastAsia" w:ascii="宋体" w:cs="宋体"/>
                <w:color w:val="auto"/>
                <w:kern w:val="0"/>
                <w:szCs w:val="21"/>
              </w:rPr>
              <w:t>③</w:t>
            </w:r>
            <w:r>
              <w:rPr>
                <w:rFonts w:ascii="宋体" w:cs="宋体"/>
                <w:color w:val="auto"/>
                <w:kern w:val="0"/>
                <w:szCs w:val="21"/>
              </w:rPr>
              <w:fldChar w:fldCharType="end"/>
            </w:r>
            <w:r>
              <w:rPr>
                <w:rFonts w:hint="eastAsia" w:ascii="宋体" w:cs="宋体"/>
                <w:color w:val="auto"/>
                <w:kern w:val="0"/>
                <w:szCs w:val="21"/>
              </w:rPr>
              <w:t>三级防控措施</w:t>
            </w:r>
          </w:p>
          <w:p w14:paraId="414A6896">
            <w:pPr>
              <w:spacing w:line="360" w:lineRule="auto"/>
              <w:ind w:firstLine="420" w:firstLineChars="200"/>
              <w:rPr>
                <w:rFonts w:hint="eastAsia"/>
                <w:color w:val="auto"/>
                <w:kern w:val="0"/>
                <w:szCs w:val="21"/>
              </w:rPr>
            </w:pPr>
            <w:r>
              <w:rPr>
                <w:rFonts w:hint="eastAsia" w:ascii="宋体" w:cs="宋体"/>
                <w:color w:val="auto"/>
                <w:kern w:val="0"/>
                <w:szCs w:val="21"/>
              </w:rPr>
              <w:t>在厂区雨水排出厂界处设置截断阀门，用于控制事故废水进入雨水管网后随雨水排口流出厂界。</w:t>
            </w:r>
            <w:r>
              <w:rPr>
                <w:rFonts w:hint="eastAsia"/>
                <w:color w:val="auto"/>
                <w:kern w:val="0"/>
                <w:szCs w:val="21"/>
              </w:rPr>
              <w:t>项目事故废水阀门控制设置见下图示意。</w:t>
            </w:r>
          </w:p>
          <w:p w14:paraId="684E3A7B">
            <w:pPr>
              <w:spacing w:line="360" w:lineRule="auto"/>
              <w:ind w:firstLine="420" w:firstLineChars="200"/>
              <w:rPr>
                <w:rFonts w:hint="eastAsia"/>
                <w:color w:val="auto"/>
                <w:kern w:val="0"/>
                <w:szCs w:val="21"/>
              </w:rPr>
            </w:pPr>
          </w:p>
          <w:p w14:paraId="6C433BDA">
            <w:pPr>
              <w:spacing w:line="360" w:lineRule="auto"/>
              <w:ind w:firstLine="420" w:firstLineChars="200"/>
              <w:rPr>
                <w:rFonts w:hint="eastAsia"/>
                <w:color w:val="auto"/>
                <w:kern w:val="0"/>
                <w:szCs w:val="21"/>
              </w:rPr>
            </w:pPr>
          </w:p>
          <w:p w14:paraId="5A73342B">
            <w:pPr>
              <w:spacing w:line="360" w:lineRule="auto"/>
              <w:ind w:firstLine="420" w:firstLineChars="200"/>
              <w:rPr>
                <w:rFonts w:hint="eastAsia"/>
                <w:color w:val="auto"/>
                <w:kern w:val="0"/>
                <w:szCs w:val="21"/>
              </w:rPr>
            </w:pPr>
          </w:p>
          <w:p w14:paraId="7FF771E7">
            <w:pPr>
              <w:spacing w:line="360" w:lineRule="auto"/>
              <w:ind w:firstLine="420" w:firstLineChars="200"/>
              <w:rPr>
                <w:rFonts w:hint="eastAsia"/>
                <w:color w:val="auto"/>
                <w:kern w:val="0"/>
                <w:szCs w:val="21"/>
              </w:rPr>
            </w:pPr>
          </w:p>
          <w:p w14:paraId="29391B16">
            <w:pPr>
              <w:spacing w:line="360" w:lineRule="auto"/>
              <w:ind w:firstLine="420" w:firstLineChars="200"/>
              <w:rPr>
                <w:rFonts w:hint="eastAsia"/>
                <w:color w:val="auto"/>
                <w:kern w:val="0"/>
                <w:szCs w:val="21"/>
              </w:rPr>
            </w:pPr>
          </w:p>
          <w:p w14:paraId="72DE59D3">
            <w:pPr>
              <w:spacing w:line="360" w:lineRule="auto"/>
              <w:ind w:firstLine="420" w:firstLineChars="200"/>
              <w:rPr>
                <w:rFonts w:hint="eastAsia"/>
                <w:color w:val="auto"/>
                <w:kern w:val="0"/>
                <w:szCs w:val="21"/>
              </w:rPr>
            </w:pPr>
          </w:p>
          <w:p w14:paraId="765306B0">
            <w:pPr>
              <w:spacing w:line="360" w:lineRule="auto"/>
              <w:ind w:firstLine="422" w:firstLineChars="200"/>
              <w:rPr>
                <w:rFonts w:hint="eastAsia"/>
                <w:color w:val="auto"/>
                <w:kern w:val="0"/>
                <w:szCs w:val="21"/>
              </w:rPr>
            </w:pPr>
            <w:r>
              <w:rPr>
                <w:rFonts w:hint="eastAsia"/>
                <w:b/>
                <w:color w:val="auto"/>
                <w:szCs w:val="22"/>
              </w:rPr>
              <mc:AlternateContent>
                <mc:Choice Requires="wpc">
                  <w:drawing>
                    <wp:anchor distT="0" distB="0" distL="114300" distR="114300" simplePos="0" relativeHeight="251705344" behindDoc="0" locked="0" layoutInCell="1" allowOverlap="1">
                      <wp:simplePos x="0" y="0"/>
                      <wp:positionH relativeFrom="character">
                        <wp:posOffset>-300990</wp:posOffset>
                      </wp:positionH>
                      <wp:positionV relativeFrom="line">
                        <wp:posOffset>-161290</wp:posOffset>
                      </wp:positionV>
                      <wp:extent cx="5679440" cy="2640330"/>
                      <wp:effectExtent l="0" t="0" r="0" b="0"/>
                      <wp:wrapNone/>
                      <wp:docPr id="68"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文本框 8"/>
                              <wps:cNvSpPr txBox="1"/>
                              <wps:spPr>
                                <a:xfrm>
                                  <a:off x="0" y="631279"/>
                                  <a:ext cx="819235" cy="409651"/>
                                </a:xfrm>
                                <a:prstGeom prst="rect">
                                  <a:avLst/>
                                </a:prstGeom>
                                <a:noFill/>
                                <a:ln>
                                  <a:noFill/>
                                </a:ln>
                              </wps:spPr>
                              <wps:txbx>
                                <w:txbxContent>
                                  <w:p w14:paraId="7ABC0AEF">
                                    <w:r>
                                      <w:rPr>
                                        <w:rFonts w:hint="eastAsia"/>
                                      </w:rPr>
                                      <w:t>事故废水</w:t>
                                    </w:r>
                                  </w:p>
                                </w:txbxContent>
                              </wps:txbx>
                              <wps:bodyPr vert="horz" wrap="square" anchor="t" anchorCtr="0" upright="1"/>
                            </wps:wsp>
                            <wps:wsp>
                              <wps:cNvPr id="46" name="自选图形 9"/>
                              <wps:cNvCnPr/>
                              <wps:spPr>
                                <a:xfrm>
                                  <a:off x="819235" y="803300"/>
                                  <a:ext cx="1572066" cy="800"/>
                                </a:xfrm>
                                <a:prstGeom prst="straightConnector1">
                                  <a:avLst/>
                                </a:prstGeom>
                                <a:ln w="9525" cap="flat" cmpd="sng">
                                  <a:solidFill>
                                    <a:srgbClr val="000000"/>
                                  </a:solidFill>
                                  <a:prstDash val="solid"/>
                                  <a:headEnd type="none" w="med" len="med"/>
                                  <a:tailEnd type="triangle" w="med" len="med"/>
                                </a:ln>
                              </wps:spPr>
                              <wps:bodyPr/>
                            </wps:wsp>
                            <wps:wsp>
                              <wps:cNvPr id="47" name="文本框 10"/>
                              <wps:cNvSpPr txBox="1"/>
                              <wps:spPr>
                                <a:xfrm>
                                  <a:off x="943240" y="584073"/>
                                  <a:ext cx="1341657" cy="314439"/>
                                </a:xfrm>
                                <a:prstGeom prst="rect">
                                  <a:avLst/>
                                </a:prstGeom>
                                <a:noFill/>
                                <a:ln>
                                  <a:noFill/>
                                </a:ln>
                              </wps:spPr>
                              <wps:txbx>
                                <w:txbxContent>
                                  <w:p w14:paraId="7F3B941E">
                                    <w:r>
                                      <w:rPr>
                                        <w:rFonts w:hint="eastAsia"/>
                                      </w:rPr>
                                      <w:t>雨水收集管沟</w:t>
                                    </w:r>
                                  </w:p>
                                </w:txbxContent>
                              </wps:txbx>
                              <wps:bodyPr vert="horz" wrap="square" anchor="t" anchorCtr="0" upright="1"/>
                            </wps:wsp>
                            <wps:wsp>
                              <wps:cNvPr id="48" name="文本框 11"/>
                              <wps:cNvSpPr txBox="1"/>
                              <wps:spPr>
                                <a:xfrm>
                                  <a:off x="3231337" y="536867"/>
                                  <a:ext cx="913639" cy="428854"/>
                                </a:xfrm>
                                <a:prstGeom prst="rect">
                                  <a:avLst/>
                                </a:prstGeom>
                                <a:noFill/>
                                <a:ln w="9525" cap="flat" cmpd="sng">
                                  <a:solidFill>
                                    <a:srgbClr val="000000"/>
                                  </a:solidFill>
                                  <a:prstDash val="solid"/>
                                  <a:miter/>
                                  <a:headEnd type="none" w="med" len="med"/>
                                  <a:tailEnd type="none" w="med" len="med"/>
                                </a:ln>
                              </wps:spPr>
                              <wps:txbx>
                                <w:txbxContent>
                                  <w:p w14:paraId="0109EA87">
                                    <w:pPr>
                                      <w:jc w:val="center"/>
                                      <w:rPr>
                                        <w:rFonts w:hint="default" w:eastAsia="宋体"/>
                                        <w:lang w:val="en-US" w:eastAsia="zh-CN"/>
                                      </w:rPr>
                                    </w:pPr>
                                    <w:r>
                                      <w:rPr>
                                        <w:rFonts w:hint="eastAsia"/>
                                      </w:rPr>
                                      <w:t>事故应急池</w:t>
                                    </w:r>
                                    <w:r>
                                      <w:rPr>
                                        <w:rFonts w:hint="eastAsia"/>
                                        <w:lang w:eastAsia="zh-CN"/>
                                      </w:rPr>
                                      <w:t>、</w:t>
                                    </w:r>
                                    <w:r>
                                      <w:rPr>
                                        <w:rFonts w:hint="eastAsia"/>
                                        <w:lang w:val="en-US" w:eastAsia="zh-CN"/>
                                      </w:rPr>
                                      <w:t>厂区</w:t>
                                    </w:r>
                                  </w:p>
                                </w:txbxContent>
                              </wps:txbx>
                              <wps:bodyPr vert="horz" wrap="square" anchor="t" anchorCtr="0" upright="1"/>
                            </wps:wsp>
                            <wps:wsp>
                              <wps:cNvPr id="49" name="自选图形 12"/>
                              <wps:cNvCnPr/>
                              <wps:spPr>
                                <a:xfrm>
                                  <a:off x="2828120" y="802500"/>
                                  <a:ext cx="403217" cy="800"/>
                                </a:xfrm>
                                <a:prstGeom prst="straightConnector1">
                                  <a:avLst/>
                                </a:prstGeom>
                                <a:ln w="9525" cap="flat" cmpd="sng">
                                  <a:solidFill>
                                    <a:srgbClr val="000000"/>
                                  </a:solidFill>
                                  <a:prstDash val="solid"/>
                                  <a:headEnd type="none" w="med" len="med"/>
                                  <a:tailEnd type="triangle" w="med" len="med"/>
                                </a:ln>
                              </wps:spPr>
                              <wps:bodyPr/>
                            </wps:wsp>
                            <wps:wsp>
                              <wps:cNvPr id="50" name="自选图形 13"/>
                              <wps:cNvSpPr/>
                              <wps:spPr>
                                <a:xfrm>
                                  <a:off x="2542507" y="839305"/>
                                  <a:ext cx="144006" cy="226428"/>
                                </a:xfrm>
                                <a:prstGeom prst="triangle">
                                  <a:avLst>
                                    <a:gd name="adj" fmla="val 50000"/>
                                  </a:avLst>
                                </a:prstGeom>
                                <a:noFill/>
                                <a:ln w="9525" cap="flat" cmpd="sng">
                                  <a:solidFill>
                                    <a:srgbClr val="000000"/>
                                  </a:solidFill>
                                  <a:prstDash val="solid"/>
                                  <a:miter/>
                                  <a:headEnd type="none" w="med" len="med"/>
                                  <a:tailEnd type="none" w="med" len="med"/>
                                </a:ln>
                              </wps:spPr>
                              <wps:bodyPr vert="horz" wrap="square" anchor="t" anchorCtr="0" upright="1"/>
                            </wps:wsp>
                            <wps:wsp>
                              <wps:cNvPr id="51" name="自选图形 14"/>
                              <wps:cNvCnPr/>
                              <wps:spPr>
                                <a:xfrm>
                                  <a:off x="2615311" y="1065733"/>
                                  <a:ext cx="800" cy="326441"/>
                                </a:xfrm>
                                <a:prstGeom prst="straightConnector1">
                                  <a:avLst/>
                                </a:prstGeom>
                                <a:ln w="9525" cap="flat" cmpd="sng">
                                  <a:solidFill>
                                    <a:srgbClr val="000000"/>
                                  </a:solidFill>
                                  <a:prstDash val="dash"/>
                                  <a:headEnd type="none" w="med" len="med"/>
                                  <a:tailEnd type="triangle" w="med" len="med"/>
                                </a:ln>
                              </wps:spPr>
                              <wps:bodyPr/>
                            </wps:wsp>
                            <wps:wsp>
                              <wps:cNvPr id="52" name="自选图形 15"/>
                              <wps:cNvCnPr/>
                              <wps:spPr>
                                <a:xfrm flipH="1" flipV="1">
                                  <a:off x="1940882" y="379247"/>
                                  <a:ext cx="662428" cy="423253"/>
                                </a:xfrm>
                                <a:prstGeom prst="straightConnector1">
                                  <a:avLst/>
                                </a:prstGeom>
                                <a:ln w="9525" cap="flat" cmpd="sng">
                                  <a:solidFill>
                                    <a:srgbClr val="000000"/>
                                  </a:solidFill>
                                  <a:prstDash val="dash"/>
                                  <a:headEnd type="none" w="med" len="med"/>
                                  <a:tailEnd type="none" w="med" len="med"/>
                                </a:ln>
                              </wps:spPr>
                              <wps:bodyPr/>
                            </wps:wsp>
                            <wps:wsp>
                              <wps:cNvPr id="53" name="文本框 16"/>
                              <wps:cNvSpPr txBox="1"/>
                              <wps:spPr>
                                <a:xfrm>
                                  <a:off x="378416" y="127216"/>
                                  <a:ext cx="1562466" cy="504063"/>
                                </a:xfrm>
                                <a:prstGeom prst="rect">
                                  <a:avLst/>
                                </a:prstGeom>
                                <a:noFill/>
                                <a:ln w="9525" cap="flat" cmpd="sng">
                                  <a:solidFill>
                                    <a:srgbClr val="000000"/>
                                  </a:solidFill>
                                  <a:prstDash val="dash"/>
                                  <a:miter/>
                                  <a:headEnd type="none" w="med" len="med"/>
                                  <a:tailEnd type="none" w="med" len="med"/>
                                </a:ln>
                              </wps:spPr>
                              <wps:txbx>
                                <w:txbxContent>
                                  <w:p w14:paraId="3E4CF638">
                                    <w:pPr>
                                      <w:jc w:val="center"/>
                                    </w:pPr>
                                    <w:r>
                                      <w:rPr>
                                        <w:rFonts w:hint="eastAsia"/>
                                      </w:rPr>
                                      <w:t>阀门平时开启，事故时收集事故废水后关闭</w:t>
                                    </w:r>
                                  </w:p>
                                </w:txbxContent>
                              </wps:txbx>
                              <wps:bodyPr vert="horz" wrap="square" anchor="t" anchorCtr="0" upright="1"/>
                            </wps:wsp>
                            <wps:wsp>
                              <wps:cNvPr id="54" name="文本框 17"/>
                              <wps:cNvSpPr txBox="1"/>
                              <wps:spPr>
                                <a:xfrm>
                                  <a:off x="4144975" y="1904238"/>
                                  <a:ext cx="913639" cy="333642"/>
                                </a:xfrm>
                                <a:prstGeom prst="rect">
                                  <a:avLst/>
                                </a:prstGeom>
                                <a:noFill/>
                                <a:ln w="9525" cap="flat" cmpd="sng">
                                  <a:solidFill>
                                    <a:srgbClr val="000000"/>
                                  </a:solidFill>
                                  <a:prstDash val="solid"/>
                                  <a:miter/>
                                  <a:headEnd type="none" w="med" len="med"/>
                                  <a:tailEnd type="none" w="med" len="med"/>
                                </a:ln>
                              </wps:spPr>
                              <wps:txbx>
                                <w:txbxContent>
                                  <w:p w14:paraId="02CC7879">
                                    <w:pPr>
                                      <w:jc w:val="center"/>
                                    </w:pPr>
                                    <w:r>
                                      <w:rPr>
                                        <w:rFonts w:hint="eastAsia"/>
                                      </w:rPr>
                                      <w:t>污水处理站</w:t>
                                    </w:r>
                                  </w:p>
                                </w:txbxContent>
                              </wps:txbx>
                              <wps:bodyPr vert="horz" wrap="square" anchor="t" anchorCtr="0" upright="1"/>
                            </wps:wsp>
                            <wps:wsp>
                              <wps:cNvPr id="55" name="自选图形 18"/>
                              <wps:cNvCnPr/>
                              <wps:spPr>
                                <a:xfrm rot="-5400000" flipH="1">
                                  <a:off x="3364142" y="1290561"/>
                                  <a:ext cx="1105647" cy="456057"/>
                                </a:xfrm>
                                <a:prstGeom prst="bentConnector2">
                                  <a:avLst/>
                                </a:prstGeom>
                                <a:ln w="9525" cap="flat" cmpd="sng">
                                  <a:solidFill>
                                    <a:srgbClr val="000000"/>
                                  </a:solidFill>
                                  <a:prstDash val="solid"/>
                                  <a:miter/>
                                  <a:headEnd type="oval" w="med" len="med"/>
                                  <a:tailEnd type="triangle" w="med" len="med"/>
                                </a:ln>
                              </wps:spPr>
                              <wps:bodyPr/>
                            </wps:wsp>
                            <wps:wsp>
                              <wps:cNvPr id="56" name="自选图形 19"/>
                              <wps:cNvCnPr/>
                              <wps:spPr>
                                <a:xfrm>
                                  <a:off x="3688156" y="2069859"/>
                                  <a:ext cx="456819" cy="1600"/>
                                </a:xfrm>
                                <a:prstGeom prst="straightConnector1">
                                  <a:avLst/>
                                </a:prstGeom>
                                <a:ln w="9525" cap="flat" cmpd="sng">
                                  <a:solidFill>
                                    <a:srgbClr val="000000"/>
                                  </a:solidFill>
                                  <a:prstDash val="solid"/>
                                  <a:headEnd type="oval" w="med" len="med"/>
                                  <a:tailEnd type="triangle" w="med" len="med"/>
                                </a:ln>
                              </wps:spPr>
                              <wps:bodyPr/>
                            </wps:wsp>
                            <wps:wsp>
                              <wps:cNvPr id="57" name="文本框 20"/>
                              <wps:cNvSpPr txBox="1"/>
                              <wps:spPr>
                                <a:xfrm>
                                  <a:off x="3688156" y="965721"/>
                                  <a:ext cx="819235" cy="342443"/>
                                </a:xfrm>
                                <a:prstGeom prst="rect">
                                  <a:avLst/>
                                </a:prstGeom>
                                <a:noFill/>
                                <a:ln>
                                  <a:noFill/>
                                </a:ln>
                              </wps:spPr>
                              <wps:txbx>
                                <w:txbxContent>
                                  <w:p w14:paraId="0393EC48">
                                    <w:pPr>
                                      <w:rPr>
                                        <w:sz w:val="18"/>
                                        <w:szCs w:val="18"/>
                                      </w:rPr>
                                    </w:pPr>
                                    <w:r>
                                      <w:rPr>
                                        <w:rFonts w:hint="eastAsia"/>
                                        <w:sz w:val="18"/>
                                        <w:szCs w:val="18"/>
                                      </w:rPr>
                                      <w:t>提升泵</w:t>
                                    </w:r>
                                  </w:p>
                                </w:txbxContent>
                              </wps:txbx>
                              <wps:bodyPr vert="horz" wrap="square" anchor="t" anchorCtr="0" upright="1"/>
                            </wps:wsp>
                            <wps:wsp>
                              <wps:cNvPr id="58" name="自选图形 21"/>
                              <wps:cNvCnPr/>
                              <wps:spPr>
                                <a:xfrm>
                                  <a:off x="5058614" y="2071459"/>
                                  <a:ext cx="179208" cy="263233"/>
                                </a:xfrm>
                                <a:prstGeom prst="bentConnector2">
                                  <a:avLst/>
                                </a:prstGeom>
                                <a:ln w="9525" cap="flat" cmpd="sng">
                                  <a:solidFill>
                                    <a:srgbClr val="000000"/>
                                  </a:solidFill>
                                  <a:prstDash val="solid"/>
                                  <a:miter/>
                                  <a:headEnd type="none" w="med" len="med"/>
                                  <a:tailEnd type="triangle" w="med" len="med"/>
                                </a:ln>
                              </wps:spPr>
                              <wps:bodyPr/>
                            </wps:wsp>
                            <wps:wsp>
                              <wps:cNvPr id="59" name="文本框 22"/>
                              <wps:cNvSpPr txBox="1"/>
                              <wps:spPr>
                                <a:xfrm>
                                  <a:off x="4860205" y="2334692"/>
                                  <a:ext cx="755232" cy="340043"/>
                                </a:xfrm>
                                <a:prstGeom prst="rect">
                                  <a:avLst/>
                                </a:prstGeom>
                                <a:noFill/>
                                <a:ln>
                                  <a:noFill/>
                                </a:ln>
                              </wps:spPr>
                              <wps:txbx>
                                <w:txbxContent>
                                  <w:p w14:paraId="32B99275">
                                    <w:pPr>
                                      <w:jc w:val="center"/>
                                    </w:pPr>
                                    <w:r>
                                      <w:rPr>
                                        <w:rFonts w:hint="eastAsia"/>
                                      </w:rPr>
                                      <w:t>达标排放</w:t>
                                    </w:r>
                                  </w:p>
                                </w:txbxContent>
                              </wps:txbx>
                              <wps:bodyPr vert="horz" wrap="square" anchor="t" anchorCtr="0" upright="1"/>
                            </wps:wsp>
                            <wpg:wgp>
                              <wpg:cNvPr id="62" name="组合 23"/>
                              <wpg:cNvGrpSpPr/>
                              <wpg:grpSpPr>
                                <a:xfrm>
                                  <a:off x="2391301" y="705688"/>
                                  <a:ext cx="436818" cy="192824"/>
                                  <a:chOff x="5606" y="3061"/>
                                  <a:chExt cx="393" cy="345"/>
                                </a:xfrm>
                              </wpg:grpSpPr>
                              <wps:wsp>
                                <wps:cNvPr id="60" name="自选图形 24"/>
                                <wps:cNvSpPr/>
                                <wps:spPr>
                                  <a:xfrm rot="5400000">
                                    <a:off x="5511" y="3108"/>
                                    <a:ext cx="345" cy="203"/>
                                  </a:xfrm>
                                  <a:prstGeom prst="triangle">
                                    <a:avLst>
                                      <a:gd name="adj" fmla="val 50000"/>
                                    </a:avLst>
                                  </a:prstGeom>
                                  <a:noFill/>
                                  <a:ln w="9525" cap="flat" cmpd="sng">
                                    <a:solidFill>
                                      <a:srgbClr val="000000"/>
                                    </a:solidFill>
                                    <a:prstDash val="solid"/>
                                    <a:miter/>
                                    <a:headEnd type="none" w="med" len="med"/>
                                    <a:tailEnd type="none" w="med" len="med"/>
                                  </a:ln>
                                </wps:spPr>
                                <wps:bodyPr vert="horz" wrap="square" anchor="t" anchorCtr="0" upright="1"/>
                              </wps:wsp>
                              <wps:wsp>
                                <wps:cNvPr id="61" name="自选图形 25"/>
                                <wps:cNvSpPr/>
                                <wps:spPr>
                                  <a:xfrm rot="-5400000">
                                    <a:off x="5701" y="3108"/>
                                    <a:ext cx="345" cy="20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g:wgp>
                            <wpg:wgp>
                              <wpg:cNvPr id="65" name="组合 26"/>
                              <wpg:cNvGrpSpPr/>
                              <wpg:grpSpPr>
                                <a:xfrm>
                                  <a:off x="2588909" y="1392174"/>
                                  <a:ext cx="2270496" cy="1600"/>
                                  <a:chOff x="5855" y="4277"/>
                                  <a:chExt cx="2837" cy="1"/>
                                </a:xfrm>
                              </wpg:grpSpPr>
                              <wps:wsp>
                                <wps:cNvPr id="63" name="自选图形 27"/>
                                <wps:cNvCnPr/>
                                <wps:spPr>
                                  <a:xfrm flipH="1" flipV="1">
                                    <a:off x="5855" y="4277"/>
                                    <a:ext cx="1228" cy="1"/>
                                  </a:xfrm>
                                  <a:prstGeom prst="straightConnector1">
                                    <a:avLst/>
                                  </a:prstGeom>
                                  <a:ln w="9525" cap="flat" cmpd="sng">
                                    <a:solidFill>
                                      <a:srgbClr val="000000"/>
                                    </a:solidFill>
                                    <a:prstDash val="dash"/>
                                    <a:headEnd type="none" w="med" len="med"/>
                                    <a:tailEnd type="none" w="med" len="med"/>
                                  </a:ln>
                                </wps:spPr>
                                <wps:bodyPr/>
                              </wps:wsp>
                              <wps:wsp>
                                <wps:cNvPr id="64" name="自选图形 28"/>
                                <wps:cNvCnPr/>
                                <wps:spPr>
                                  <a:xfrm flipH="1">
                                    <a:off x="7368" y="4277"/>
                                    <a:ext cx="1324" cy="1"/>
                                  </a:xfrm>
                                  <a:prstGeom prst="straightConnector1">
                                    <a:avLst/>
                                  </a:prstGeom>
                                  <a:ln w="9525" cap="flat" cmpd="sng">
                                    <a:solidFill>
                                      <a:srgbClr val="000000"/>
                                    </a:solidFill>
                                    <a:prstDash val="dash"/>
                                    <a:headEnd type="triangle" w="med" len="med"/>
                                    <a:tailEnd type="none" w="med" len="med"/>
                                  </a:ln>
                                </wps:spPr>
                                <wps:bodyPr/>
                              </wps:wsp>
                            </wpg:wgp>
                            <wps:wsp>
                              <wps:cNvPr id="66" name="文本框 29"/>
                              <wps:cNvSpPr txBox="1"/>
                              <wps:spPr>
                                <a:xfrm>
                                  <a:off x="4859405" y="1212952"/>
                                  <a:ext cx="820035" cy="343243"/>
                                </a:xfrm>
                                <a:prstGeom prst="rect">
                                  <a:avLst/>
                                </a:prstGeom>
                                <a:noFill/>
                                <a:ln>
                                  <a:noFill/>
                                </a:ln>
                              </wps:spPr>
                              <wps:txbx>
                                <w:txbxContent>
                                  <w:p w14:paraId="11CD9D42">
                                    <w:r>
                                      <w:rPr>
                                        <w:rFonts w:hint="eastAsia"/>
                                      </w:rPr>
                                      <w:t>雨水管网</w:t>
                                    </w:r>
                                  </w:p>
                                </w:txbxContent>
                              </wps:txbx>
                              <wps:bodyPr vert="horz" wrap="square" anchor="t" anchorCtr="0" upright="1"/>
                            </wps:wsp>
                            <wps:wsp>
                              <wps:cNvPr id="67" name="文本框 30"/>
                              <wps:cNvSpPr txBox="1"/>
                              <wps:spPr>
                                <a:xfrm>
                                  <a:off x="2588909" y="839305"/>
                                  <a:ext cx="817635" cy="340843"/>
                                </a:xfrm>
                                <a:prstGeom prst="rect">
                                  <a:avLst/>
                                </a:prstGeom>
                                <a:noFill/>
                                <a:ln>
                                  <a:noFill/>
                                </a:ln>
                              </wps:spPr>
                              <wps:txbx>
                                <w:txbxContent>
                                  <w:p w14:paraId="4E4591D8">
                                    <w:pPr>
                                      <w:rPr>
                                        <w:b/>
                                        <w:sz w:val="18"/>
                                        <w:szCs w:val="18"/>
                                      </w:rPr>
                                    </w:pPr>
                                    <w:r>
                                      <w:rPr>
                                        <w:rFonts w:hint="eastAsia"/>
                                        <w:b/>
                                        <w:sz w:val="18"/>
                                        <w:szCs w:val="18"/>
                                      </w:rPr>
                                      <w:t>切换阀</w:t>
                                    </w:r>
                                  </w:p>
                                </w:txbxContent>
                              </wps:txbx>
                              <wps:bodyPr vert="horz" wrap="square" anchor="t" anchorCtr="0" upright="1"/>
                            </wps:wsp>
                          </wpc:wpc>
                        </a:graphicData>
                      </a:graphic>
                    </wp:anchor>
                  </w:drawing>
                </mc:Choice>
                <mc:Fallback>
                  <w:pict>
                    <v:group id="画布 6" o:spid="_x0000_s1026" o:spt="203" style="position:absolute;left:0pt;margin-left:-23.7pt;margin-top:-12.7pt;height:207.9pt;width:447.2pt;mso-position-horizontal-relative:char;mso-position-vertical-relative:line;z-index:251705344;mso-width-relative:page;mso-height-relative:page;" coordsize="5679440,2640330" editas="canvas" o:gfxdata="UEsDBAoAAAAAAIdO4kAAAAAAAAAAAAAAAAAEAAAAZHJzL1BLAwQUAAAACACHTuJARXwv4tsAAAAL&#10;AQAADwAAAGRycy9kb3ducmV2LnhtbE2PwU7DMBBE70j8g7VIXFBrtwRaQpweKiEqhFSRQs9uvCQR&#10;8TqN3aT8PcsJbjPap9mZbHV2rRiwD40nDbOpAoFUettQpeF99zRZggjRkDWtJ9TwjQFW+eVFZlLr&#10;R3rDoYiV4BAKqdFQx9ilUoayRmfC1HdIfPv0vTORbV9J25uRw10r50rdS2ca4g+16XBdY/lVnJyG&#10;sdwO+93rs9ze7Deejpvjuvh40fr6aqYeQUQ8xz8Yfutzdci508GfyAbRapgki4RRFvM7FkwskwWv&#10;O2i4fVAJyDyT/zfkP1BLAwQUAAAACACHTuJAlobp7KkHAADUMQAADgAAAGRycy9lMm9Eb2MueG1s&#10;7VtNb9xEGL4j8R8s39v1zHj8seqmEklbDggqFbg7u95dI39hO92EExKIwo0D4gIXOCJ+AFIF/yYt&#10;/AuemfHnxk6yId0mS3LYeO3x2PO+z/v1zLsPHh5Hofbcz/IgiSc6uW/omh9Pk1kQLyb6Jx8/vufo&#10;Wl548cwLk9if6Cd+rj/ce/edB6t07NNkmYQzP9MwSZyPV+lEXxZFOh6N8unSj7z8fpL6MS7Okyzy&#10;CnzNFqNZ5q0wexSOqGFYo1WSzdIsmfp5jrMH6qJezphdZsJkPg+m/kEyPYr8uFCzZn7oFVhSvgzS&#10;XN+Tbzuf+9Pio/k89wstnOhYaSE/8RAcH4rP0d4Db7zIvHQZTMtX8C7zCmtrirwgxkPrqQ68wtOO&#10;suDMVFEwzZI8mRf3p0k0UguREsEqiLEmmydZcpTKtSzGq0VaCx2KWpP6laedfvj8aaYFs4luQe+x&#10;F0Hjr394efrHV5olhLNKF2OMeZKlz9KnWXliob6J9R7Ps0j8x0q0YynWk1qs/nGhTXGSW7ZrmpD4&#10;FNeoZRqMlYKfLqGdM/dNl48uuHNUPXgk3q9+nVUKSOaNnPL/JqdnSy/1pfhzIYNSTiav5PTqxxev&#10;fv791S/faI4SlRwm5KQVx+8lWDmpzuc4OSguixFqu2KoN65k5hCXMjxJiMw0XIvLqep1e+M0y4sn&#10;fhJp4mCiZ0C6BKD3/IO8wFQYWg0R88bJ4yAM5SPCuHMCA8UZSDIfq9cUR8Xx4bHUdj4+TGYnWBJc&#10;Bp6zTLIvdG0Fg5no+edHXubrmhdPcXqiF9XhfqEs7CjNgsUSd6mXL9UjQLUNPVmVnv5+8ds/X353&#10;+tNfp3/+qkk5ixeARvfjEtLVyitY1Xiu1AAtOAK2JW4rLRFuU8PCg4SaHHV1WEd5kXlCHvtJHENd&#10;SUbO01gYa6uJ7nIqUCDEPYeDw2GUwljzeCHvzZMwmAnNCpXm2eJwP4SmPOHs5J8AFV6oM0zA4sDL&#10;l2qcvKSwt/S92aN4phUnKbxADO8PTU/0yJ/pWugjWIgjCaHCC8JmZJEFXrwIB0b340uBSrzdllFh&#10;V6horJdIrZaY2MR8XZNR4degfO6Yhs26NkyYSSyOBwp0MGKaTIJvGCB3Rqx8Q8vZ1kGppa7aq2Lc&#10;JupilBHGoA+hL2Y5lt3Vl0uYBRUpn0sdh5vi+jWpa9vGHAWFn0ljvapZDzuAfpPegZAB5asUqBMy&#10;CBU4uHTMoA51CFVuwTEoXw8ayH8oKb3CXczojTD9AHtbMYNDl32wkO6+FTZKkAzkepSbwILyPg5z&#10;mcG73gfxAdWR8j4UWTKVSeWw96mjrgj9MusTB4tZ+are7DNdm0chqhnkAxpQWKcn5WBMPZgh7r63&#10;uqVZLeqAXizKUHV5F2URzgimQiQkBnIUtpa6CL+k0hYg0byg9riRee0MGa4ysKvGv9rAboOLov2w&#10;kD7mfFho8zBI3xc1mjz6VBwJT1JW9MQ1DcfB9CKHtV1qriVNlkWFqyqTJka5RNKw29pRsGyaLL21&#10;WMYqoLQS6pLp2Zi+YLaDCkd5EWpTHMqEs6mOgY2qOuaGaVgXYGOj+mcrIarxInf5NCjXQaaynypD&#10;AVUGqxbYpP9oZU2X5cpMJEiuDTJExCzXMCmTCVJDmbXLN8YYMigBx2FPdPPQ1uJi7uB2BbgBHH15&#10;epudHaD8tCwBTXmPIwUXeXITE1uRUECKAFQSgNQ1uCXzogaAhOAc4qOKhdwywP2ci8BD7F7UZCC9&#10;WWTgEAATVBO7RwvyfrKYbMYWg1NyiJgKLgq8sOvwNVbf5BYYZQUQYtUFWbWJUpVjJad/I1Ollo/q&#10;JtY7CgyYs/IpTQgDt1OW+psSkC18YEsHGVM3Yap2GyRfbFIQxuf7j40imPBk9S4QouJObvrwmi/u&#10;MHhK0OfXQS1Pzw3uWATJi7Rjm5jrdkxQCBll0UMt8MoXKOo2OvrhisYb3979H2jyrD23+d1NNhRM&#10;xzIoeDyJE8ZMy5UzNRmBzTllyBiUQRvGjhl0ufX+hvsSamrj9cuvT7//VqPS2DZsTKAM5YGhGC8b&#10;aZqzVjyYiN2ktGhsvTtUEmreuO5QQDqnAjszqryv6VMAnVspWTIuddHxFvoTrH62Wi2oVXeVIazN&#10;VqssuEqC2w6Rl2QhI3B7uLOBOBP9EALf1LjACdZ8mrj9jrAe9q/9wfmWEtYwlr6iDF0N3RxqEI51&#10;UdbGo12a8rl4vKD+v248dposOr0Yj+Vfmct1hm2/yWOorhuG43q4Hx65LeA2XlU1qMkGsDcchWpu&#10;oYpCV2mPo9xxXAMpiOCwmItt4DLMVJQppbZhugg0wqNWFWI7CjlcpRsmtUsivolC1BHNDfLOTt3Q&#10;iEs0oYkQ8Mab5MD09lp9m/wbomLO34/gZyVQCY/QaiPi/7lhdTXDhOPdcg+WVdPC3SLtMjxdDY5W&#10;NLCRu0mTaoyihgQatPpMotn6vslcS7P70KVa6sjVuzN5Pf66A4vGg2zLf9R8XIt2aZNxm5VpHJuY&#10;ym8SSih6Krs5rIO+9KrZlomevgsy2TvepW6HqprHe2gy1eTdqjguu9PTjpJ9nTIOsa1GXYazU+qS&#10;poZmf7lzVf4wQfyaoP1deuzmxxh7/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BFfC/i2wAAAAsB&#10;AAAPAAAAAAAAAAEAIAAAACIAAABkcnMvZG93bnJldi54bWxQSwECFAAUAAAACACHTuJAlobp7KkH&#10;AADUMQAADgAAAAAAAAABACAAAAAqAQAAZHJzL2Uyb0RvYy54bWxQSwUGAAAAAAYABgBZAQAARQsA&#10;AAAA&#10;">
                      <o:lock v:ext="edit" aspectratio="f"/>
                      <v:rect id="画布 6" o:spid="_x0000_s1026" o:spt="1" style="position:absolute;left:0;top:0;height:2640330;width:5679440;" filled="f" stroked="f" coordsize="21600,21600" o:gfxdata="UEsDBAoAAAAAAIdO4kAAAAAAAAAAAAAAAAAEAAAAZHJzL1BLAwQUAAAACACHTuJARXwv4tsAAAAL&#10;AQAADwAAAGRycy9kb3ducmV2LnhtbE2PwU7DMBBE70j8g7VIXFBrtwRaQpweKiEqhFSRQs9uvCQR&#10;8TqN3aT8PcsJbjPap9mZbHV2rRiwD40nDbOpAoFUettQpeF99zRZggjRkDWtJ9TwjQFW+eVFZlLr&#10;R3rDoYiV4BAKqdFQx9ilUoayRmfC1HdIfPv0vTORbV9J25uRw10r50rdS2ca4g+16XBdY/lVnJyG&#10;sdwO+93rs9ze7Deejpvjuvh40fr6aqYeQUQ8xz8Yfutzdci508GfyAbRapgki4RRFvM7FkwskwWv&#10;O2i4fVAJyDyT/zfkP1BLAwQUAAAACACHTuJAdRVzcKMHAABIMQAADgAAAGRycy9lMm9Eb2MueG1s&#10;7VvLctxEFN1TxT+otE9G3a3WYyrjVGEnYUGRVAXYyxrNjCiNJCTZY7NiQRHYsWIDG1hS/AEFf5MA&#10;f8Hph17j0dhjHMc29sLWSD2t7r7n3nvu6fajxyfLxDiOijLO0olJHlqmEaVhNo3T+cT89JOnDzzT&#10;KKsgnQZJlkYT8zQqzcd777/3aJWPI5otsmQaFQY6ScvxKp+Yi6rKx6NRGS6iZVA+zPIoxcNZViyD&#10;Ch+L+WhaBCv0vkxG1LKc0SorpnmRhVFZ4u6BemjqHouLdJjNZnEYHWTh0TJKK9VrESVBhSmVizgv&#10;zT052tksCqvns1kZVUYyMTHTSv7GS3B9KH6P9h4F43kR5Is41EMILjKEtTktgzjFS5uuDoIqMI6K&#10;+ExXyzgssjKbVQ/DbDlSE5ErglkQa21t9oP0OFCTCbHW9QBxdYX9Hs7FuNPsaZwkWI0Reh+Le+Lv&#10;CtaOxOMk7TdSd2Rb3WaVAw5l3gCj/G9DfLkI8kiasRyHHx+/KIx4OjFtbhppsAQq3/zw6s1Pv735&#10;+RvDEzYUb0ezlzkaVicfZCdAdn2/xE0x+pNZsRR/segGngMBpxPTYYS6voJBdFIZIZ54xKcMbwrx&#10;3LZ8h8uuRm0PeVFWz6JsaYiLiVkAZdL4wfFHZSXWMBjXTXrLtmUdy7EapphIdXJ4oud0mE1PMSW4&#10;K96zyIovTWMFsE7M8oujoIhMI0hD3J6YVX25Xyl0H+VFPF/gW2rw2jxqpd6+nZzaTn+/+vWfr757&#10;/eOfr//4xZDrrE21n74o9CQHDFSbAVbwLMYs7ay1lQh3qeXgRcJMnno6bKOyKgKxHvtZmsJcWUG2&#10;WSxJjdXE9DkVKBDLPUNwweUyBwjLdC6/W2ZJPBVeI2xcFvPD/QSWCkSgkT8CVBhQr5mAxUFQLlQ7&#10;+UhhbxEF0yfp1KhOc6A7ReSFpSfmMpqaRhIhUIsrdBiMqyBO2pZVEQfpPBlojdcLz4WfdvGlQCVG&#10;d82ocGtUtN5LpFU1JnZxX99m1FY+zD3bcplanQYdzCYOxwsFOhixbSbBNwyQeyduomgdbEEE1oMt&#10;aaLqjtGWUUYYgz1gDs4cz3H79vIJc2AiFXOp53FbPL8ic123My/jKiqks17WrYcDwGaXvgMpA8ZX&#10;aOulDEIFDi6cM6hHPUJVWPAsyteThm0xSnRUuM8ZGzPMZoC9q5zBYctNsJDhvpM2NEgGqATlNrCg&#10;oo/HfGbxfvRBfkBloqIPpY5NJakcjj5N1hUJWbI+cTGf6qEG089NY7ZMUEmADxhAYUNPdGN0PcgQ&#10;7360uqWsFnXARizKVHXxEOUQzpBHRSYkFjgKW6MuIi4p2gIk2ufUHjeS107BcJWDXTb/NQ52G0IU&#10;3QwLGWO2w8KYJXH+oajR5NVn4kpEEl2iEt+2PA/dCw7r+tReI02OQ0Wo0qSJUS6RNBy27ihYdiVL&#10;7yyXsRoonfrH6fCbXeof5nqocFQUoS7FpSScTf3DgY26OuaWbTnnYGOn+udaUlQbRe75NOTOQZVw&#10;s1SGAkonqw7YZPzosKaLamU2CJLvQgwROcu3bMokQQrGNdy65RtjDAxKwHE4Et08tHW0mHu4XQJu&#10;AMcmnt5VZwckP6PIIFM+4KDggie3ObGTCQWkCEAlAUh9izuSF7UAJAT3kB9VLuSOBe1nKwIPsXPQ&#10;iIH0ZomBQwDMUE3cPVmQbxaLyW5qMTQlj4iuEKKgC/seX1P1be5AUVYAIU5TkNW7AnU5pjX9G0mV&#10;OjGqT6zvKDDgzusCJLQdXervKkB28IEtHTCmPmGqdxukXmxTCMbb48dOGUxEsnaHbaMof/sVPN7o&#10;xT0FTy309jqoE+m5xT2HgLxIP3aJve7HBIWQpYse6kBXPsdQtzHQD1c0t3n/B5Y8689dfXeX+sf2&#10;HItCx5M4Ycx2fNlTywhczikDY1AObVl3zKHn49W83W3H0Y21cxg7HTR4VmRHOTjQKp93dtudRtj4&#10;6/evX3//rUGlq+lGz4pc2EtG4zmOUMhPwpHrjKpFDMpQHFhK73JB0ry10sFG5iban7Hx7lEppwXj&#10;cPFcbdSDzKm0zqya9YWLJ3qvHmJubWKptzQlB/Y2O6MS4eet73o7m7VqNaFO1aUTWFerVhy4psDd&#10;cMi1VMgIgh6+2QKcidMQAt3UOicENmqa+Pq9XD0cXYGewf3yW3cIA86yqSTDmYY+gxqEY1OSdfHo&#10;alfeisdzqv+rxmPviEXvJMZT+aOZXK/Z9R/xGKrqhuG4nuyHW14XcGVUReJRqeLtZ6BGVagzkJZL&#10;ZZq6cAbinudbIB9CvWI+NoB1iqnVK0pdy/aRZEQ0rWvDbgbyuCIaNnW1BN9mIOqJYw3ymxpnKgG+&#10;iwTUCMx9Bt6V/YZEmO07EfzsCtSLR2i9BfH/3Kq6nFMi6F7z6SunEYT74LiIQteAo5MJXPA26VKt&#10;UzSQwNGsTS7RbnrfZJWl3XfoiyxN1tq4J3k1sboHi26wvQ762uhw7Y4B7Ypwu5VnHJuXKmoSSijO&#10;UvbZq4ez4PUhWybO8p3DYe/1luYYlD6fhyN0Z8ppdll5jHZy5KYTMh5xndZclnenzAVHw1n3PJQ7&#10;VvqfAcQJ/u5nGa/bf4D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CgAAW0NvbnRlbnRfVHlwZXNdLnhtbFBLAQIUAAoAAAAAAIdO4kAAAAAA&#10;AAAAAAAAAAAGAAAAAAAAAAAAEAAAAPkIAABfcmVscy9QSwECFAAUAAAACACHTuJAihRmPNEAAACU&#10;AQAACwAAAAAAAAABACAAAAAdCQAAX3JlbHMvLnJlbHNQSwECFAAKAAAAAACHTuJAAAAAAAAAAAAA&#10;AAAABAAAAAAAAAAAABAAAAAAAAAAZHJzL1BLAQIUABQAAAAIAIdO4kBFfC/i2wAAAAsBAAAPAAAA&#10;AAAAAAEAIAAAACIAAABkcnMvZG93bnJldi54bWxQSwECFAAUAAAACACHTuJAdRVzcKMHAABIMQAA&#10;DgAAAAAAAAABACAAAAAqAQAAZHJzL2Uyb0RvYy54bWxQSwUGAAAAAAYABgBZAQAAPwsAAAAA&#10;">
                        <v:fill on="f" focussize="0,0"/>
                        <v:stroke on="f"/>
                        <v:imagedata o:title=""/>
                        <o:lock v:ext="edit" text="t" aspectratio="t"/>
                      </v:rect>
                      <v:shape id="文本框 8" o:spid="_x0000_s1026" o:spt="202" type="#_x0000_t202" style="position:absolute;left:0;top:631278;height:409651;width:819234;"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eBUaEtMBAACGAwAADgAAAGRycy9lMm9Eb2MueG1srVNL&#10;btswEN0XyB0I7mvJTuLagukArZFuirZAkgPQFGURED+ZoS25B2hv0FU33fdcPkeHkp1fN1l0Qw1n&#10;Rm/emxkurjrbsJ0GNN4JPh7lnGmnfGncRvC72+u3M84wSlfKxjst+F4jv1qevVm0odATX/um1MAI&#10;xGHRBsHrGEORZahqbSWOfNCOgpUHKyNdYZOVIFtCt002yfNp1nooA3ilEcm7GoL8iAivAfRVZZRe&#10;ebW12sUBFXQjI0nC2gTky55tVWkVv1QV6sgawUlp7E8qQvY6ndlyIYsNyFAbdaQgX0PhhSYrjaOi&#10;D1ArGSXbgvkHyhoFHn0VR8rbbBDSd4RUjPMXvbmpZdC9Fmo1hoem4/+DVZ93X4GZUvCLS86ctDTx&#10;w88fh19/Dr+/s1nqTxuwoLSbQImxe+872pqTH8mZZHcV2PQlQYzi1N294NPz8eTdfGix7iJTFJmN&#10;55NzqqQofpHPp5c9VPaIEADjR+0tS4bgQBPsGyt3nzASG0o9paSCzl+bpumn2LhnDkpMnizRH2gm&#10;K3br7qhp7cs9SaKnQHVqD984a2kRBMf7rQTNmXSK3ILHk/khDpuzDWA2Nf01kE+4NJ6e23GV0vyf&#10;3nsej89n+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4hAM2AAAAAsBAAAPAAAAAAAAAAEAIAAA&#10;ACIAAABkcnMvZG93bnJldi54bWxQSwECFAAUAAAACACHTuJAeBUaEtMBAACGAwAADgAAAAAAAAAB&#10;ACAAAAAnAQAAZHJzL2Uyb0RvYy54bWxQSwUGAAAAAAYABgBZAQAAbAUAAAAA&#10;">
                        <v:fill on="f" focussize="0,0"/>
                        <v:stroke on="f"/>
                        <v:imagedata o:title=""/>
                        <o:lock v:ext="edit" aspectratio="f"/>
                        <v:textbox>
                          <w:txbxContent>
                            <w:p w14:paraId="7ABC0AEF">
                              <w:r>
                                <w:rPr>
                                  <w:rFonts w:hint="eastAsia"/>
                                </w:rPr>
                                <w:t>事故废水</w:t>
                              </w:r>
                            </w:p>
                          </w:txbxContent>
                        </v:textbox>
                      </v:shape>
                      <v:shape id="自选图形 9" o:spid="_x0000_s1026" o:spt="32" type="#_x0000_t32" style="position:absolute;left:819234;top:803300;height:800;width:1572066;" filled="f" stroked="t" coordsize="21600,21600" o:gfxdata="UEsDBAoAAAAAAIdO4kAAAAAAAAAAAAAAAAAEAAAAZHJzL1BLAwQUAAAACACHTuJA9UusVNwAAAAL&#10;AQAADwAAAGRycy9kb3ducmV2LnhtbE2PzU7DMBCE70i8g7VI3Fq7JaRtiFMJKkQuINGiqkc3NrFF&#10;vI5i94+nZznBbUb7aXamXJ59x45miC6ghMlYADPYBO2wlfCxeR7NgcWkUKsuoJFwMRGW1fVVqQod&#10;TvhujuvUMgrBWCgJNqW+4Dw21ngVx6E3SLfPMHiVyA4t14M6Ubjv+FSInHvlkD5Y1Zsna5qv9cFL&#10;SKvdxebb5nHh3jYvr7n7rut6JeXtzUQ8AEvmnP5g+K1P1aGiTvtwQB1ZJ2GUzTJCSUzvSRAxz2a0&#10;bi/hbiEy4FXJ/2+ofgBQSwMEFAAAAAgAh07iQAopLcQJAgAA9AMAAA4AAABkcnMvZTJvRG9jLnht&#10;bK1TzY7TMBC+I/EOlu80aUvLtmq6h5blgmAl4AGmjpNY8p883qa9cUM8AzeOvAO8zUrwFoydsoVF&#10;SHsgB2fsmflmvs/j1eXBaLaXAZWzFR+PSs6kFa5Wtq34u7dXTy44wwi2Bu2srPhRIr9cP3606v1S&#10;TlzndC0DIxCLy95XvIvRL4sCRScN4Mh5acnZuGAg0ja0RR2gJ3Sji0lZzovehdoHJyQinW4HJz8h&#10;hocAuqZRQm6duDHSxgE1SA2RKGGnPPJ17rZppIivmwZlZLrixDTmlYqQvUtrsV7Bsg3gOyVOLcBD&#10;WrjHyYCyVPQOagsR2E1Qf0EZJYJD18SRcKYYiGRFiMW4vKfNmw68zFxIavR3ouP/gxWv9teBqbri&#10;T+ecWTB0498/fPnx/uPtp2+3Xz+zRZKo97ikyI29Dqcd+uuQ+B6aYNKfmLBDxS/Gi8l0xtmRzHI6&#10;LU8Cy0Nkgtzj2bNJOadCIgdkb3EG8QHjC+kMS0bFMQZQbRc3zlq6SBfGWWLYv8RIbVDir4TUgbas&#10;r/hiNqHyAmgwGxoIMo0ncmjbnItOq/pKaZ0yMLS7jQ5sD2k48pfIEu4fYanIFrAb4rJrGJtOQv3c&#10;1iwePalm6bXw1IKRNWda0uNKFgHCMoLS58gYFNhW/yOaymtLXSTNB5WTtXP1MYufz2kYcp+nwU3T&#10;9vs+Z58f6/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sVNwAAAALAQAADwAAAAAAAAABACAA&#10;AAAiAAAAZHJzL2Rvd25yZXYueG1sUEsBAhQAFAAAAAgAh07iQAopLcQJAgAA9AMAAA4AAAAAAAAA&#10;AQAgAAAAKwEAAGRycy9lMm9Eb2MueG1sUEsFBgAAAAAGAAYAWQEAAKYFAAAAAA==&#10;">
                        <v:fill on="f" focussize="0,0"/>
                        <v:stroke color="#000000" joinstyle="round" endarrow="block"/>
                        <v:imagedata o:title=""/>
                        <o:lock v:ext="edit" aspectratio="f"/>
                      </v:shape>
                      <v:shape id="文本框 10" o:spid="_x0000_s1026" o:spt="202" type="#_x0000_t202" style="position:absolute;left:943239;top:584073;height:314439;width:1341656;"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9Z+IfdcBAACNAwAADgAAAGRycy9lMm9Eb2MueG1srVPN&#10;jtMwEL4j8Q6W7zRJk/2L6q4E1XJBgLTwAK7jNJZij7HdJuUB4A04ceG+z9XnYOx0t+zuZQ9c7PF4&#10;/M1834wX16PuyU46r8AwWsxySqQR0CizYfTrl5s3l5T4wE3DezCS0b309Hr5+tVisLWcQwd9Ix1B&#10;EOPrwTLahWDrLPOik5r7GVhp8LIFp3nAo9tkjeMDous+m+f5eTaAa6wDIb1H72q6pEdE9xJAaFsl&#10;5ArEVksTJlQnex6Qku+U9XSZqm1bKcKntvUykJ5RZBrSiknQXsc1Wy54vXHcdkocS+AvKeEJJ82V&#10;waQPUCseONk69QxKK+HAQxtmAnQ2EUmKIIsif6LNbcetTFxQam8fRPf/D1Z83H12RDWMVheUGK6x&#10;44dfPw+/7w5/fpAiCTRYX2PcrcXIML6FEccmChf9Hp2R99g6HXdkRPD+qirnFWq8Z/Tsssovyklo&#10;OQYi4vOyKs7PMKHAgLKoqvIqBmQnHOt8eC9Bk2gw6rCRSV++++DDFHofEtMauFF9n5rZm0cOxIye&#10;7FRstMK4Ho8M1tDskRj+CMzTgftOyYDzwKj/tuVOUsKNQDej4d58F6YB2lqnNh2+SmqkDNilROM4&#10;UXEM/j2nOk6/aP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OIQDNgAAAALAQAADwAAAAAAAAAB&#10;ACAAAAAiAAAAZHJzL2Rvd25yZXYueG1sUEsBAhQAFAAAAAgAh07iQPWfiH3XAQAAjQMAAA4AAAAA&#10;AAAAAQAgAAAAJwEAAGRycy9lMm9Eb2MueG1sUEsFBgAAAAAGAAYAWQEAAHAFAAAAAA==&#10;">
                        <v:fill on="f" focussize="0,0"/>
                        <v:stroke on="f"/>
                        <v:imagedata o:title=""/>
                        <o:lock v:ext="edit" aspectratio="f"/>
                        <v:textbox>
                          <w:txbxContent>
                            <w:p w14:paraId="7F3B941E">
                              <w:r>
                                <w:rPr>
                                  <w:rFonts w:hint="eastAsia"/>
                                </w:rPr>
                                <w:t>雨水收集管沟</w:t>
                              </w:r>
                            </w:p>
                          </w:txbxContent>
                        </v:textbox>
                      </v:shape>
                      <v:shape id="文本框 11" o:spid="_x0000_s1026" o:spt="202" type="#_x0000_t202" style="position:absolute;left:3231336;top:536867;height:428853;width:913638;" filled="f" stroked="t" coordsize="21600,21600" o:gfxdata="UEsDBAoAAAAAAIdO4kAAAAAAAAAAAAAAAAAEAAAAZHJzL1BLAwQUAAAACACHTuJA3OlSytgAAAAL&#10;AQAADwAAAGRycy9kb3ducmV2LnhtbE2PS0/DMBCE70j8B2uRuLV2k0DaNE4PFO4QCr068TaJ8COK&#10;3Qf8epZTuc1qZ2e/KTcXa9gJpzB4J2ExF8DQtV4PrpOwe3+ZLYGFqJxWxjuU8I0BNtXtTakK7c/u&#10;DU917BiFuFAoCX2MY8F5aHu0Ksz9iI52Bz9ZFWmcOq4ndaZwa3gixCO3anD0oVcjPvXYftVHSxjJ&#10;fpduX2vMc9Wk2+efj9Xh00h5f7cQa2ARL/Fqhj98uoGKmBp/dDowI2GW5RlZSSQPJMixzHJq10hI&#10;VyIDXpX8f4fqF1BLAwQUAAAACACHTuJA3l/mfjECAABMBAAADgAAAGRycy9lMm9Eb2MueG1srVTN&#10;ctMwEL4zwztodCdO4iRNM3U6Q0O5MMBM4QEUWY41oz8kJXF4AHgDTlx657nyHHyS0xbKJQd8kNfa&#10;1bf7fbvy1XWnFdkJH6Q1FR0NhpQIw20tzaainz/dvppTEiIzNVPWiIoeRKDXy5cvrvZuIca2taoW&#10;ngDEhMXeVbSN0S2KIvBWaBYG1gkDZ2O9ZhGfflPUnu2BrlUxHg5nxd762nnLRQjYXfVOekL05wDa&#10;ppFcrCzfamFij+qFYhGUQitdoMtcbdMIHj80TRCRqIqCacwrksBep7VYXrHFxjPXSn4qgZ1TwjNO&#10;mkmDpI9QKxYZ2Xr5D5SW3NtgmzjgVhc9kawIWIyGz7S5a5kTmQukDu5R9PD/YPn73UdPZF3RCfpu&#10;mEbHjz++H3/+Ot5/I6NREmjvwgJxdw6RsXttO4zNw37AZuLdNV6nNxgR+MtxOSrLC0oOFZ2Ws/ns&#10;oldadJFw+C9H5ay8pITDPxnP59NJ8hdPOM6H+FZYTZJRUY9GZn3Z7l2IfehDSEpr7K1UKjdTGbJH&#10;gul4CniGAW0wGDC1A8lgNhkmWCXrdCQdDn6zvlGe7FgakvycqvkrLOVbsdD2cdnVk9IyCp9zt4LV&#10;b0xN4sFBR4P7Q1MxWtSUKIHrlqwcGZlU50RCEmWgTOpBr3WyYrfuAJPMta0P6AsuNGRqrf+KjBhn&#10;UP2yZR75meHYrig06M2b2M//1nm5aXEqNzNnwJDlLpwuRJriP79zHU8/g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OlSytgAAAALAQAADwAAAAAAAAABACAAAAAiAAAAZHJzL2Rvd25yZXYueG1s&#10;UEsBAhQAFAAAAAgAh07iQN5f5n4xAgAATAQAAA4AAAAAAAAAAQAgAAAAJwEAAGRycy9lMm9Eb2Mu&#10;eG1sUEsFBgAAAAAGAAYAWQEAAMoFAAAAAA==&#10;">
                        <v:fill on="f" focussize="0,0"/>
                        <v:stroke color="#000000" joinstyle="miter"/>
                        <v:imagedata o:title=""/>
                        <o:lock v:ext="edit" aspectratio="f"/>
                        <v:textbox>
                          <w:txbxContent>
                            <w:p w14:paraId="0109EA87">
                              <w:pPr>
                                <w:jc w:val="center"/>
                                <w:rPr>
                                  <w:rFonts w:hint="default" w:eastAsia="宋体"/>
                                  <w:lang w:val="en-US" w:eastAsia="zh-CN"/>
                                </w:rPr>
                              </w:pPr>
                              <w:r>
                                <w:rPr>
                                  <w:rFonts w:hint="eastAsia"/>
                                </w:rPr>
                                <w:t>事故应急池</w:t>
                              </w:r>
                              <w:r>
                                <w:rPr>
                                  <w:rFonts w:hint="eastAsia"/>
                                  <w:lang w:eastAsia="zh-CN"/>
                                </w:rPr>
                                <w:t>、</w:t>
                              </w:r>
                              <w:r>
                                <w:rPr>
                                  <w:rFonts w:hint="eastAsia"/>
                                  <w:lang w:val="en-US" w:eastAsia="zh-CN"/>
                                </w:rPr>
                                <w:t>厂区</w:t>
                              </w:r>
                            </w:p>
                          </w:txbxContent>
                        </v:textbox>
                      </v:shape>
                      <v:shape id="自选图形 12" o:spid="_x0000_s1026" o:spt="32" type="#_x0000_t32" style="position:absolute;left:2828119;top:802500;height:800;width:403217;" filled="f" stroked="t" coordsize="21600,21600" o:gfxdata="UEsDBAoAAAAAAIdO4kAAAAAAAAAAAAAAAAAEAAAAZHJzL1BLAwQUAAAACACHTuJA9UusVNwAAAAL&#10;AQAADwAAAGRycy9kb3ducmV2LnhtbE2PzU7DMBCE70i8g7VI3Fq7JaRtiFMJKkQuINGiqkc3NrFF&#10;vI5i94+nZznBbUb7aXamXJ59x45miC6ghMlYADPYBO2wlfCxeR7NgcWkUKsuoJFwMRGW1fVVqQod&#10;TvhujuvUMgrBWCgJNqW+4Dw21ngVx6E3SLfPMHiVyA4t14M6Ubjv+FSInHvlkD5Y1Zsna5qv9cFL&#10;SKvdxebb5nHh3jYvr7n7rut6JeXtzUQ8AEvmnP5g+K1P1aGiTvtwQB1ZJ2GUzTJCSUzvSRAxz2a0&#10;bi/hbiEy4FXJ/2+ofgBQSwMEFAAAAAgAh07iQAGkAxcKAgAA9QMAAA4AAABkcnMvZTJvRG9jLnht&#10;bK1TS44TMRDdI3EHy3vSHyaQaaUzi4Rhg2Ak4ACO7e625J9cnnSyY4c4AzuW3IG5zUhwC8ruMIFB&#10;SLOgF+6yq+pVvefy8mJvNNnJAMrZllazkhJpuRPK9i19/+7yyYISiMwKpp2VLT1IoBerx4+Wo29k&#10;7QanhQwEQSw0o2/pEKNvigL4IA2DmfPSorNzwbCI29AXIrAR0Y0u6rJ8VowuCB8clwB4upmc9IgY&#10;HgLouk5xuXH82kgbJ9QgNYtICQblga5yt10neXzTdSAj0S1FpjGvWATtbVqL1ZI1fWB+UPzYAntI&#10;C/c4GaYsFr2D2rDIyHVQf0EZxYMD18UZd6aYiGRFkEVV3tPm7cC8zFxQavB3osP/g+Wvd1eBKNHS&#10;s3NKLDN4498/fv3x4dPt55vbb19IVSeNRg8Nhq7tVTjuwF+FRHjfBZP+SIXsW1ov6kVVo7qHli7K&#10;el4eJZb7SDj6z8qndfWcEp792VmcQHyA+FI6Q5LRUoiBqX6Ia2ct3qQLVdaY7V5BxDYw8VdC6kBb&#10;Mrb0fF7PEZ7hZHY4EWgaj+zA9jkXnFbiUmmdMiD027UOZMfSdOQvkUXcP8JSkQ2DYYrLrmluBsnE&#10;CytIPHiUzeJzoakFIwUlWuLrShYCsiYypU+RMShme/2PaCyvLXaRNJ9UTtbWiUMWP5/jNOQ+j5Ob&#10;xu33fc4+vdb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VLrFTcAAAACwEAAA8AAAAAAAAAAQAg&#10;AAAAIgAAAGRycy9kb3ducmV2LnhtbFBLAQIUABQAAAAIAIdO4kABpAMXCgIAAPUDAAAOAAAAAAAA&#10;AAEAIAAAACsBAABkcnMvZTJvRG9jLnhtbFBLBQYAAAAABgAGAFkBAACnBQAAAAA=&#10;">
                        <v:fill on="f" focussize="0,0"/>
                        <v:stroke color="#000000" joinstyle="round" endarrow="block"/>
                        <v:imagedata o:title=""/>
                        <o:lock v:ext="edit" aspectratio="f"/>
                      </v:shape>
                      <v:shape id="自选图形 13" o:spid="_x0000_s1026" o:spt="5" type="#_x0000_t5" style="position:absolute;left:2542507;top:839304;height:226428;width:144006;" filled="f" stroked="t" coordsize="21600,21600" o:gfxdata="UEsDBAoAAAAAAIdO4kAAAAAAAAAAAAAAAAAEAAAAZHJzL1BLAwQUAAAACACHTuJAuj+UydoAAAAL&#10;AQAADwAAAGRycy9kb3ducmV2LnhtbE2PS0/DMBCE70j8B2uRuLVOiqElxKkQEhI36IMDNzfexlH9&#10;SGI3bf89y6ncZrSfZmfK5dlZNuIQ2+Al5NMMGPo66NY3Erab98kCWEzKa2WDRwkXjLCsbm9KVehw&#10;8isc16lhFOJjoSSYlLqC81gbdCpOQ4eebvswOJXIDg3XgzpRuLN8lmVP3KnW0wejOnwzWB/WRyeh&#10;N+2X/cw/Vpft6yFtvn/2fS9GKe/v8uwFWMJzusLwV5+qQ0WdduHodWRWwkTMBaEkZo8kiFiIOa3b&#10;SXh4zgTwquT/N1S/UEsDBBQAAAAIAIdO4kBakTWmRAIAAGoEAAAOAAAAZHJzL2Uyb0RvYy54bWyt&#10;VEty1DAQ3VPFHVTaE3s84zCZiieLDGFDQaoCB+hIsi1KPyTNjxU7ijOwy5I7wG1SBbegJTsJhM0s&#10;8MLTcrde93vdPadnO63IRvggrWno5KikRBhmuTRdQ9+9vXg2pyREMByUNaKhexHo2fLpk9OtW4jK&#10;9lZx4QmCmLDYuob2MbpFUQTWCw3hyDph0NlaryHi0XcF97BFdK2KqiyPi6313HnLRAj4dTU46Yjo&#10;DwG0bSuZWFm21sLEAdULBREphV66QJe52rYVLL5p2yAiUQ1FpjG/MQna1+ldLE9h0XlwvWRjCXBI&#10;CY84aZAGk95DrSACWXv5D5SWzNtg23jErC4GIlkRZDEpH2lz1YMTmQtKHdy96OH/wbLXm0tPJG9o&#10;jZIY0Njxn5+//fr05fbrj9vvN2QyTRptXVhg6JW79OMpoJkI71qv0y9SIbuGVvWsqsvnlOwbOp+e&#10;TMt6kFjsImHon8xmOAOUMPRX1fGsmid/8YDjfIgvhdUkGQ2NXoLpVFIBFrB5FWJWmY+lAn9PSasV&#10;9mwDitQlPiPgGIzQd5DpprEXUqncdWXItqEndVVjOYCT3OIEoakdqhFMl1MGqyRPV9Ll4Lvrc+UJ&#10;psLZyc+Y7K+wlG8FoR/ismsQQcsofM7dC+AvDCdx71Bwg4tGUzFacEqUwL1MVo6MINUhkchTGVQy&#10;dWroTbKuLd9jf3HdUcve+o+YBocd+X1Yg8ekYBh+Rp3vzPM4bMfaedn1eGuSKSYwHMHcqnFd0oz/&#10;ec7JH/4i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j+UydoAAAALAQAADwAAAAAAAAABACAA&#10;AAAiAAAAZHJzL2Rvd25yZXYueG1sUEsBAhQAFAAAAAgAh07iQFqRNaZEAgAAagQAAA4AAAAAAAAA&#10;AQAgAAAAKQEAAGRycy9lMm9Eb2MueG1sUEsFBgAAAAAGAAYAWQEAAN8FAAAAAA==&#10;" adj="10800">
                        <v:fill on="f" focussize="0,0"/>
                        <v:stroke color="#000000" joinstyle="miter"/>
                        <v:imagedata o:title=""/>
                        <o:lock v:ext="edit" aspectratio="f"/>
                      </v:shape>
                      <v:shape id="自选图形 14" o:spid="_x0000_s1026" o:spt="32" type="#_x0000_t32" style="position:absolute;left:2615310;top:1065733;height:326440;width:800;" filled="f" stroked="t" coordsize="21600,21600" o:gfxdata="UEsDBAoAAAAAAIdO4kAAAAAAAAAAAAAAAAAEAAAAZHJzL1BLAwQUAAAACACHTuJA11JbFtgAAAAL&#10;AQAADwAAAGRycy9kb3ducmV2LnhtbE2PO1PDMBCEe2b4D5pjhi6RbBySOJZTkFBRESgoL9bFNuhh&#10;LOXBv+eoSLc7983ebrW+OCtONMY+eA3ZVIEg3wTT+1bD+9vzZAEiJvQGbfCk4YcirOvbmwpLE87+&#10;lU671AoO8bFEDV1KQyllbDpyGKdhIM+3QxgdJrZjK82IZw53VuZKPUqHvecPHQ701FHztTs6DcvG&#10;bfP08WLxe/O5GbOkZjLfan1/l6kViESX9A/DX32uDjV32oejN1FYDZNiXjDKIp+xYGJRzHndXsPD&#10;UhUg60peb6h/AVBLAwQUAAAACACHTuJAdFmNgwwCAAD1AwAADgAAAGRycy9lMm9Eb2MueG1srVPN&#10;jtMwEL4j8Q6W7zRJ/1iipntoWS4IVgIeYGo7iSX/yfY27Y0b4hm4ceQd4G1Wgrdg7JQtLELaAzk4&#10;Y8/MN/N9Hq8uD1qRvfBBWtPQalJSIgyzXJquoe/eXj25oCREMByUNaKhRxHo5frxo9XgajG1vVVc&#10;eIIgJtSDa2gfo6uLIrBeaAgT64RBZ2u9hohb3xXcw4DoWhXTslwWg/XcectECHi6HZ30hOgfAmjb&#10;VjKxtexGCxNHVC8URKQUeukCXedu21aw+Lptg4hENRSZxrxiEbR3aS3WK6g7D66X7NQCPKSFe5w0&#10;SINF76C2EIHcePkXlJbM22DbOGFWFyORrAiyqMp72rzpwYnMBaUO7k708P9g2av9tSeSN3RRUWJA&#10;441///Dlx/uPt5++3X79TKp50mhwocbQjbn2p11w1z4RPrRepz9SIYeGTpfVYlYh1BFnq1wuns5m&#10;o8biEAnDgIsSpWfonU2X83mVnMUZxfkQXwirSTIaGqIH2fVxY43Bq7S+yiLD/mWIY+KvhNSCMmRo&#10;6LPFdIEVAEezxZFAUzukF0yXc4NVkl9JpVJG8N1uozzZQxqP/J0a+iMsFdlC6Mc4jtbIqRfAnxtO&#10;4tGhbAafC00daMEpUQJfV7KwT6gjSHWOjF6C6dQ/olEOZVCVpPmocrJ2lh+z+PkcpyHrdprcNG6/&#10;73P2+bW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UlsW2AAAAAsBAAAPAAAAAAAAAAEAIAAA&#10;ACIAAABkcnMvZG93bnJldi54bWxQSwECFAAUAAAACACHTuJAdFmNgwwCAAD1AwAADgAAAAAAAAAB&#10;ACAAAAAnAQAAZHJzL2Uyb0RvYy54bWxQSwUGAAAAAAYABgBZAQAApQUAAAAA&#10;">
                        <v:fill on="f" focussize="0,0"/>
                        <v:stroke color="#000000" joinstyle="round" dashstyle="dash" endarrow="block"/>
                        <v:imagedata o:title=""/>
                        <o:lock v:ext="edit" aspectratio="f"/>
                      </v:shape>
                      <v:shape id="自选图形 15" o:spid="_x0000_s1026" o:spt="32" type="#_x0000_t32" style="position:absolute;left:1940882;top:379247;flip:x y;height:423252;width:662427;" filled="f" stroked="t" coordsize="21600,21600" o:gfxdata="UEsDBAoAAAAAAIdO4kAAAAAAAAAAAAAAAAAEAAAAZHJzL1BLAwQUAAAACACHTuJADS8TVdoAAAAL&#10;AQAADwAAAGRycy9kb3ducmV2LnhtbE2PwU7DMBBE70j8g7VI3Fq7aaAhjVMJBBLiUIlSiasbu3Go&#10;vY5ipyl/z3KC24z2aXam2ly8Y2czxC6ghMVcADPYBN1hK2H/8TIrgMWkUCsX0Ej4NhE29fVVpUod&#10;Jnw3511qGYVgLJUEm1Jfch4ba7yK89AbpNsxDF4lskPL9aAmCveOZ0Lcc686pA9W9ebJmua0G72E&#10;Ihvxa8Lt82n/2GxtF5ev7u1TytubhVgDS+aS/mD4rU/VoaZOhzCijsxJmOWrnFAS2R0JIop8ResO&#10;EpYPIgdeV/z/hvoHUEsDBBQAAAAIAIdO4kCQC8PPEwIAAAcEAAAOAAAAZHJzL2Uyb0RvYy54bWyt&#10;U82O0zAQviPxDpbvNG3adNuo6R5aFg4IKvFzd20nseQ/ebxNe+OGeAZuHHkHeJuV4C0YJ2WB5dID&#10;OUQzHs83830zXl0fjSYHGUA5W9HJaEyJtNwJZZuKvn1z82RBCURmBdPOyoqeJNDr9eNHq86XMnet&#10;00IGgiAWys5XtI3Rl1kGvJWGwch5aTFYu2BYRDc0mQisQ3Sjs3w8nmedC8IHxyUAnm6HID0jhksA&#10;XV0rLreO3xpp44AapGYRKUGrPNB1321dSx5f1TXISHRFkWns/1gE7X36Z+sVK5vAfKv4uQV2SQsP&#10;OBmmLBa9h9qyyMhtUP9AGcWDA1fHEXcmG4j0iiCLyfiBNq9b5mXPBaUGfy86/D9Y/vKwC0SJihY5&#10;JZYZnPj3D19+vP949+nb3dfPZFIkjToPJV7d2F04e+B3IRE+1sGQWiv/HJeJ9ta7ZKUY0iNHdJaz&#10;8WKB8KeKTq+W+exqkF0eI+EYn8/zWY5bxzE+y6d5MU3xbMBOOD5AfCadIcmoKMTAVNPGjbMWB+zC&#10;UI0dXkAcEn8lpGRtSVfRZZEXWIHhwta4KGgaj6TBNn2n4LQSN0rrlAGh2W90IAeWlqb/zg39dS0V&#10;2TJoh3sCrYFWK5l4agWJJ49iWnxENHVgpKBES3xzycI+WRmZ0pfcRCm0RUXSFAbdk7V34tSPoz/H&#10;/eg1O+9yWsA//T779/td/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LxNV2gAAAAsBAAAPAAAA&#10;AAAAAAEAIAAAACIAAABkcnMvZG93bnJldi54bWxQSwECFAAUAAAACACHTuJAkAvDzxMCAAAHBAAA&#10;DgAAAAAAAAABACAAAAApAQAAZHJzL2Uyb0RvYy54bWxQSwUGAAAAAAYABgBZAQAArgUAAAAA&#10;">
                        <v:fill on="f" focussize="0,0"/>
                        <v:stroke color="#000000" joinstyle="round" dashstyle="dash"/>
                        <v:imagedata o:title=""/>
                        <o:lock v:ext="edit" aspectratio="f"/>
                      </v:shape>
                      <v:shape id="文本框 16" o:spid="_x0000_s1026" o:spt="202" type="#_x0000_t202" style="position:absolute;left:378415;top:127215;height:504063;width:1562466;" filled="f" stroked="t" coordsize="21600,21600" o:gfxdata="UEsDBAoAAAAAAIdO4kAAAAAAAAAAAAAAAAAEAAAAZHJzL1BLAwQUAAAACACHTuJAOS9gOdsAAAAL&#10;AQAADwAAAGRycy9kb3ducmV2LnhtbE2PwU7DMBBE70j8g7VI3Fq7rUtKiNMDEhJIqIjSA705yZJE&#10;jddR7Dbh71lOcJvRPs3OZNvJdeKCQ2g9GVjMFQik0lct1QYOH0+zDYgQLVW284QGvjHANr++ymxa&#10;+ZHe8bKPteAQCqk10MTYp1KGskFnw9z3SHz78oOzke1Qy2qwI4e7Ti6VupPOtsQfGtvjY4PlaX92&#10;Bo6HsdC73VpOb6+fGFfPL/aUHI25vVmoBxARp/gHw299rg45dyr8maogOgMznWhGWSzXLJjY6ITX&#10;FQZW90qDzDP5f0P+A1BLAwQUAAAACACHTuJA6Xs+eS8CAABLBAAADgAAAGRycy9lMm9Eb2MueG1s&#10;rVRLktMwEN1TxR1U2hM7zmcG1zhTxYRhQwFVAwfoSLKtKv2QlMThAHADVmzYc66cg5acmYFhkwVZ&#10;OG3p6XW/1y1fXQ9akZ3wQVrT0OmkpEQYZrk0XUM/fbx9cUlJiGA4KGtEQw8i0OvV82dXe1eLyvZW&#10;ceEJkphQ711D+xhdXRSB9UJDmFgnDG621muI+Oq7gnvYI7tWRVWWy2JvPXfeMhECrq7HTXpi9OcQ&#10;2raVTKwt22ph4sjqhYKIkkIvXaCrXG3bChbft20QkaiGotKYn5gE4016FqsrqDsPrpfsVAKcU8IT&#10;TRqkwaQPVGuIQLZe/kOlJfM22DZOmNXFKCQ7giqm5RNv7npwImtBq4N7MD38P1r2bvfBE8kbuphR&#10;YkBjx4/fvx1//Dr+/Eqmy2TQ3oUacXcOkXF4ZQccm/v1gItJ99B6nf5REcH92cXlHA+TA0Kri2rk&#10;gVoMkbB0fLGs5kvcZwhYlPNyOUuExSOP8yG+EVaTFDTUYyOzv7B7G+IIvYektMbeSqVyM5Uh+4a+&#10;XFQLpAcc0BYHA0PtUGQwXaYJVkmejqTDwXebG+XJDtKQ5N+pmr9gKd8aQj/iOEYJBbWWUfgc9QL4&#10;a8NJPDi00eD1oakWLTglSuBtS1FGRpDqHCQ6ogwak1owWp2iOGwGpEnhxvIDtgXvM7rUW/8FM+I0&#10;o9LPW/CYHwzD5YaiBWN4E8fx3zovux5P5V7mDDhjuQmn+5CG+M/3XMfjN2D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vYDnbAAAACwEAAA8AAAAAAAAAAQAgAAAAIgAAAGRycy9kb3ducmV2Lnht&#10;bFBLAQIUABQAAAAIAIdO4kDpez55LwIAAEsEAAAOAAAAAAAAAAEAIAAAACoBAABkcnMvZTJvRG9j&#10;LnhtbFBLBQYAAAAABgAGAFkBAADLBQAAAAA=&#10;">
                        <v:fill on="f" focussize="0,0"/>
                        <v:stroke color="#000000" joinstyle="miter" dashstyle="dash"/>
                        <v:imagedata o:title=""/>
                        <o:lock v:ext="edit" aspectratio="f"/>
                        <v:textbox>
                          <w:txbxContent>
                            <w:p w14:paraId="3E4CF638">
                              <w:pPr>
                                <w:jc w:val="center"/>
                              </w:pPr>
                              <w:r>
                                <w:rPr>
                                  <w:rFonts w:hint="eastAsia"/>
                                </w:rPr>
                                <w:t>阀门平时开启，事故时收集事故废水后关闭</w:t>
                              </w:r>
                            </w:p>
                          </w:txbxContent>
                        </v:textbox>
                      </v:shape>
                      <v:shape id="文本框 17" o:spid="_x0000_s1026" o:spt="202" type="#_x0000_t202" style="position:absolute;left:4144975;top:1904238;height:333641;width:913638;" filled="f" stroked="t" coordsize="21600,21600" o:gfxdata="UEsDBAoAAAAAAIdO4kAAAAAAAAAAAAAAAAAEAAAAZHJzL1BLAwQUAAAACACHTuJA3OlSytgAAAAL&#10;AQAADwAAAGRycy9kb3ducmV2LnhtbE2PS0/DMBCE70j8B2uRuLV2k0DaNE4PFO4QCr068TaJ8COK&#10;3Qf8epZTuc1qZ2e/KTcXa9gJpzB4J2ExF8DQtV4PrpOwe3+ZLYGFqJxWxjuU8I0BNtXtTakK7c/u&#10;DU917BiFuFAoCX2MY8F5aHu0Ksz9iI52Bz9ZFWmcOq4ndaZwa3gixCO3anD0oVcjPvXYftVHSxjJ&#10;fpduX2vMc9Wk2+efj9Xh00h5f7cQa2ARL/Fqhj98uoGKmBp/dDowI2GW5RlZSSQPJMixzHJq10hI&#10;VyIDXpX8f4fqF1BLAwQUAAAACACHTuJAEdQH9jECAABNBAAADgAAAGRycy9lMm9Eb2MueG1srVRL&#10;chMxFNxTxR1U2uPxN4ldHqeKmLChgKrAAWSNZkZV+iHJ9pgDwA1Yscmec/kctDROAmHjBV6M30it&#10;fq/7Pc3yutOK7IQP0pqSjgZDSoThtpKmKennT7evrigJkZmKKWtESQ8i0OvVyxfLvVuIsW2tqoQn&#10;IDFhsXclbWN0i6IIvBWahYF1wmCztl6ziFffFJVne7BrVYyHw4tib33lvOUiBKyu+016YvTnENq6&#10;llysLd9qYWLP6oViEZJCK12gq1xtXQseP9R1EJGokkJpzE8kQbxJz2K1ZIvGM9dKfiqBnVPCM02a&#10;SYOkj1RrFhnZevkPlZbc22DrOOBWF72Q7AhUjIbPvLlrmRNZC6wO7tH08P9o+fvdR09kVdLZlBLD&#10;NDp+/PH9+PPX8f4bGV0mg/YuLIC7c0DG7rXtMDYP6wGLSXdXe53+oYhgfzqaTueXM0oOwM6H0/Hk&#10;qrdadJFwAOajycVkTgkHYDKZXEzHab94InI+xLfCapKCknp0MhvMdu9C7KEPkJTX2FupVO6mMmSP&#10;BLMx0nOGCa0xGQi1g8pgmkwTrJJVOpIOB99sbpQnO5amJP9O1fwFS/nWLLQ9Lm/1orSMwufcrWDV&#10;G1OReHAw0uAC0VSMFhUlSuC+pSgjI5PqHCQsUQbOpCb0ZqcodpsONCnc2OqAxuBGw6bW+q/IiHmG&#10;1C9b5pGfGY7lksKDPryJ/QXYOi+bFqdyN3MGTFnuwulGpDH+8z3X8fQV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OlSytgAAAALAQAADwAAAAAAAAABACAAAAAiAAAAZHJzL2Rvd25yZXYueG1s&#10;UEsBAhQAFAAAAAgAh07iQBHUB/YxAgAATQQAAA4AAAAAAAAAAQAgAAAAJwEAAGRycy9lMm9Eb2Mu&#10;eG1sUEsFBgAAAAAGAAYAWQEAAMoFAAAAAA==&#10;">
                        <v:fill on="f" focussize="0,0"/>
                        <v:stroke color="#000000" joinstyle="miter"/>
                        <v:imagedata o:title=""/>
                        <o:lock v:ext="edit" aspectratio="f"/>
                        <v:textbox>
                          <w:txbxContent>
                            <w:p w14:paraId="02CC7879">
                              <w:pPr>
                                <w:jc w:val="center"/>
                              </w:pPr>
                              <w:r>
                                <w:rPr>
                                  <w:rFonts w:hint="eastAsia"/>
                                </w:rPr>
                                <w:t>污水处理站</w:t>
                              </w:r>
                            </w:p>
                          </w:txbxContent>
                        </v:textbox>
                      </v:shape>
                      <v:shape id="自选图形 18" o:spid="_x0000_s1026" o:spt="33" type="#_x0000_t33" style="position:absolute;left:3364142;top:1290561;flip:x;height:456057;width:1105646;rotation:5898240f;" filled="f" stroked="t" coordsize="21600,21600" o:gfxdata="UEsDBAoAAAAAAIdO4kAAAAAAAAAAAAAAAAAEAAAAZHJzL1BLAwQUAAAACACHTuJAILrhAtkAAAAL&#10;AQAADwAAAGRycy9kb3ducmV2LnhtbE2PwU7DMBBE70j8g7VI3FqnJdCSxukhUiVuqA0SVzfeJFbj&#10;dYidtvD1LCd6m9E+zc7k26vrxRnHYD0pWMwTEEi1N5ZaBR/VbrYGEaImo3tPqOAbA2yL+7tcZ8Zf&#10;aI/nQ2wFh1DItIIuxiGTMtQdOh3mfkDiW+NHpyPbsZVm1BcOd71cJsmLdNoSf+j0gGWH9ekwOQVl&#10;a6vqa/fWVCR/4t5+vk/l0Cj1+LBINiAiXuM/DH/1uToU3OnoJzJB9Apm6SpllMXymQUT63TF644K&#10;nl6TFGSRy9sNxS9QSwMEFAAAAAgAh07iQHmLLBQjAgAAGQQAAA4AAABkcnMvZTJvRG9jLnhtbK1T&#10;S24UMRDdI3EHy/ukP5meJK3pyWKGwALBSMABPG6725J/sp3pmR07xBnYseQOcJtIcAvK9pBAYJEF&#10;vWiV7Vev/F6VF1d7JdGOOS+M7nB1WmLENDW90EOH3729PrnAyAeieyKNZh0+MI+vlk+fLCbbstqM&#10;RvbMISDRvp1sh8cQbFsUno5MEX9qLNNwyI1TJMDSDUXvyATsShZ1Wc6LybjeOkOZ97C7zof4yOge&#10;Q2g4F5StDb1RTIfM6pgkAST5UViPl+m2nDMaXnPuWUCyw6A0pD8UgXgb/8VyQdrBETsKerwCecwV&#10;HmhSRGgoeke1JoGgGyf+olKCOuMND6fUqCILSY6Aiqp84M2bkViWtIDV3t6Z7v8fLX212zgk+g43&#10;DUaaKOj49w9ffrz/ePvp2+3Xz6i6iB5N1rcAXemNO6683bgoeM+dQs6AsSfNrIwfRlwK+wJmKzkC&#10;GtG+w2dn81k1qzE6wEF9WTbzKpvP9gFRAFQV7M3OMaKAmDXzsjmPgCKXiKWs8+E5MwrFoMNb6P3K&#10;aA09Nq5OtcjupQ856Rc4JkqNpg5fNjVIpARmlsOsQKgs6PZ6SLneSNFfCyljhnfDdiUd2pE4N1lW&#10;5v0DFousiR8zLh1lUUoEFp0i7chI/0z3KBwsWGuAEMfLKNZjJBm8wBglZCBC3iODE0QPkv0bDa5I&#10;DebEvuROxGhr+kNqUNqHiUn2Hac7juTv65R9/6K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uuEC2QAAAAsBAAAPAAAAAAAAAAEAIAAAACIAAABkcnMvZG93bnJldi54bWxQSwECFAAUAAAACACH&#10;TuJAeYssFCMCAAAZBAAADgAAAAAAAAABACAAAAAoAQAAZHJzL2Uyb0RvYy54bWxQSwUGAAAAAAYA&#10;BgBZAQAAvQUAAAAA&#10;">
                        <v:fill on="f" focussize="0,0"/>
                        <v:stroke color="#000000" joinstyle="miter" startarrow="oval" endarrow="block"/>
                        <v:imagedata o:title=""/>
                        <o:lock v:ext="edit" aspectratio="f"/>
                      </v:shape>
                      <v:shape id="自选图形 19" o:spid="_x0000_s1026" o:spt="32" type="#_x0000_t32" style="position:absolute;left:3688155;top:2069858;height:1600;width:456819;" filled="f" stroked="t" coordsize="21600,21600" o:gfxdata="UEsDBAoAAAAAAIdO4kAAAAAAAAAAAAAAAAAEAAAAZHJzL1BLAwQUAAAACACHTuJApafMbNkAAAAL&#10;AQAADwAAAGRycy9kb3ducmV2LnhtbE2PzW7CMBCE75X6DtZW6g2cQAohjcOhUi89IJH+nE1s4ij2&#10;OrINoW/f7am9zWg/zc7U+5uz7KpDHDwKyJcZMI2dVwP2Aj7eXxclsJgkKmk9agHfOsK+ub+rZaX8&#10;jEd9bVPPKARjJQWYlKaK89gZ7WRc+kkj3c4+OJnIhp6rIGcKd5avsmzDnRyQPhg56Reju7G9OAG9&#10;Pc5foRxxY9afmL+Nh3YsD0I8PuTZM7Ckb+kPht/6VB0a6nTyF1SRWQGLYlsQSmL1RIKIstjSupOA&#10;9S4rgDc1/7+h+QFQSwMEFAAAAAgAh07iQCR/JG0NAgAA9wMAAA4AAABkcnMvZTJvRG9jLnhtbK1T&#10;TY7TMBTeI3EHy3uapJCojZrOomXYIKgEHODVcRJL/pPtadodO8QZ2LHkDnCbkeAWPDtlCgOLWZCF&#10;82y/9/n7Pj+vro5KkgN3Xhjd0GKWU8I1M63QfUPfvb1+sqDEB9AtSKN5Q0/c06v140er0dZ8bgYj&#10;W+4Igmhfj7ahQwi2zjLPBq7Az4zlGjc74xQEnLo+ax2MiK5kNs/zKhuNa60zjHuPq9tpk54R3UMA&#10;TdcJxreG3Siuw4TquISAkvwgrKfrxLbrOAuvu87zQGRDUWlIIx6C8T6O2XoFde/ADoKdKcBDKNzT&#10;pEBoPPQOagsByI0Tf0EpwZzxpgszZlQ2CUmOoIoiv+fNmwEsT1rQam/vTPf/D5a9OuwcEW1Dy4oS&#10;DQpv/PuHLz/ef7z99O3262dSLKNHo/U1pm70zp1n3u5cFHzsnIp/lEKODX1aLRZFhDo1dJ5Xy0WZ&#10;6qHmx0AYJjwrqwViEoYJRZWnG8guMNb58IIbRWLQUB8ciH4IG6M13qVxRXIZDi99QCJY+KsgcpCa&#10;jA1dlvMS8QF7s8OewFBZ1Od1n2q9kaK9FlLGCu/6/UY6coDYH+mLchH3j7R4yBb8MOWlralzBg7t&#10;c92ScLJonEEYGiko3lIiOb6vGCEg1AGEvGQGJ0D3kv87G4+XGllE1yefY7Q37SnZn9axHxLPc+/G&#10;hvt9nqov73X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WnzGzZAAAACwEAAA8AAAAAAAAAAQAg&#10;AAAAIgAAAGRycy9kb3ducmV2LnhtbFBLAQIUABQAAAAIAIdO4kAkfyRtDQIAAPcDAAAOAAAAAAAA&#10;AAEAIAAAACgBAABkcnMvZTJvRG9jLnhtbFBLBQYAAAAABgAGAFkBAACnBQAAAAA=&#10;">
                        <v:fill on="f" focussize="0,0"/>
                        <v:stroke color="#000000" joinstyle="round" startarrow="oval" endarrow="block"/>
                        <v:imagedata o:title=""/>
                        <o:lock v:ext="edit" aspectratio="f"/>
                      </v:shape>
                      <v:shape id="文本框 20" o:spid="_x0000_s1026" o:spt="202" type="#_x0000_t202" style="position:absolute;left:3688155;top:965720;height:342442;width:819234;"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RVf/YdkBAACNAwAADgAAAGRycy9lMm9Eb2MueG1srVNL&#10;jhMxEN0jcQer9qSTzmcyrTgjQTRsECANHMBx22lL7Q+2k+5wALgBKzbs51w5B2V3ZgLDZhZs3OWq&#10;8qt6r6pXN71uyUH4oKyhMBmNgQjDba3MjsLnT7evlkBCZKZmrTWCwlEEuFm/fLHqXCVK29i2Fp4g&#10;iAlV5yg0MbqqKAJvhGZhZJ0wGJTWaxbx6ndF7VmH6LotyvF4UXTW185bLkJA72YIwhnRPwfQSqm4&#10;2Fi+18LEAdWLlkWkFBrlAqxzt1IKHj9IGUQkLQVkGvOJRdDeprNYr1i188w1ip9bYM9p4QknzZTB&#10;oo9QGxYZ2Xv1D5RW3NtgZRxxq4uBSFYEWUzGT7S5a5gTmQtKHdyj6OH/wfL3h4+eqJrC/AqIYRon&#10;fvrx/fTz/vTrGymzQJ0LFebdOcyM/Wvb49ok4ZI/oDPx7qXX6YuMCMani+VyMl8AOVK4XsyvyvyA&#10;VaKPhGN8Obkup3MgHOPTWTmbTRNgccFxPsS3wmqSDAoeB5n1ZYd3IQ6pDymprLG3qm3zMFvzlwMx&#10;k6e4NJus2G/7M4OtrY9IDP8IrNNY/xVIh/tAIXzZMy+AMMPRTSE+mG/isEB759WuwVeZXK6AU8o0&#10;zhuV1uDPe+7j8he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4hAM2AAAAAsBAAAPAAAAAAAA&#10;AAEAIAAAACIAAABkcnMvZG93bnJldi54bWxQSwECFAAUAAAACACHTuJARVf/YdkBAACNAwAADgAA&#10;AAAAAAABACAAAAAnAQAAZHJzL2Uyb0RvYy54bWxQSwUGAAAAAAYABgBZAQAAcgUAAAAA&#10;">
                        <v:fill on="f" focussize="0,0"/>
                        <v:stroke on="f"/>
                        <v:imagedata o:title=""/>
                        <o:lock v:ext="edit" aspectratio="f"/>
                        <v:textbox>
                          <w:txbxContent>
                            <w:p w14:paraId="0393EC48">
                              <w:pPr>
                                <w:rPr>
                                  <w:sz w:val="18"/>
                                  <w:szCs w:val="18"/>
                                </w:rPr>
                              </w:pPr>
                              <w:r>
                                <w:rPr>
                                  <w:rFonts w:hint="eastAsia"/>
                                  <w:sz w:val="18"/>
                                  <w:szCs w:val="18"/>
                                </w:rPr>
                                <w:t>提升泵</w:t>
                              </w:r>
                            </w:p>
                          </w:txbxContent>
                        </v:textbox>
                      </v:shape>
                      <v:shape id="自选图形 21" o:spid="_x0000_s1026" o:spt="33" type="#_x0000_t33" style="position:absolute;left:5058613;top:2071458;height:263232;width:179207;" filled="f" stroked="t" coordsize="21600,21600" o:gfxdata="UEsDBAoAAAAAAIdO4kAAAAAAAAAAAAAAAAAEAAAAZHJzL1BLAwQUAAAACACHTuJAk3ylsdsAAAAL&#10;AQAADwAAAGRycy9kb3ducmV2LnhtbE2PzU7DMBCE70i8g7VI3Fo7xdAS4lSIH4n0gihcuLmxSULt&#10;dRS7aXj7Lie4zWg/zc4U68k7NtohdgEVZHMBzGIdTIeNgo/359kKWEwajXYBrYIfG2Fdnp8VOjfh&#10;iG923KaGUQjGXCtoU+pzzmPdWq/jPPQW6fYVBq8T2aHhZtBHCveOL4S44V53SB9a3duH1tb77cEr&#10;eHn8rjJe3Tf7jezGp03lXj+nTKnLi0zcAUt2Sn8w/Nan6lBSp104oInMKZjJpSSUxOKaBBEruaR1&#10;OwVXt0ICLwv+f0N5AlBLAwQUAAAACACHTuJAr/RriRACAAD/AwAADgAAAGRycy9lMm9Eb2MueG1s&#10;rVNLjhMxEN0jcQfLe9KfTDKTVjqzSBg2CCIBB3Dc7m5L/snlSSc7dogzsGPJHeA2I8EtKLvDBAYh&#10;zYJeuMv283O9V+Xl9UErshcepDU1LSY5JcJw20jT1fTd25tnV5RAYKZhyhpR06MAer16+mQ5uEqU&#10;treqEZ4giYFqcDXtQ3BVlgHvhWYwsU4Y3Gyt1yzg1HdZ49mA7FplZZ7Ps8H6xnnLBQCubsZNemL0&#10;jyG0bSu52Fh+q4UJI6sXigWUBL10QFcp27YVPLxuWxCBqJqi0pBGvATjXRyz1ZJVnWeul/yUAntM&#10;Cg80aSYNXnpPtWGBkVsv/6LSknsLtg0TbnU2CkmOoIoif+DNm545kbSg1eDuTYf/R8tf7beeyKam&#10;M6y7YRor/v3Dlx/vP959+nb39TMpi+jR4KBC6Nps/WkGbuuj4EPrdfyjFHJAlnx2NS8uKDnWtMwv&#10;i4vZYvRYHALhCCguF2WOV/EImE/L6TTuZ2ci5yG8EFaTGNR0hxVeW2OwktaXyWO2fwlhPPQLHDNQ&#10;hgw1XczKGbIz7MwWOwJD7VAdmC6dBatkcyOViifAd7u18mTPYnek75TMH7B4yYZBP+LS1qhJyyA8&#10;JsKqXrDmuWlIODo00ODDoTEZLRpKlMB3FqOEDEyqMzJ4yUyn/oFGV5RBc6L7o98x2tnmmMqQ1rEv&#10;kn2nHo6N9/s8nT6/29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3ylsdsAAAALAQAADwAAAAAA&#10;AAABACAAAAAiAAAAZHJzL2Rvd25yZXYueG1sUEsBAhQAFAAAAAgAh07iQK/0a4kQAgAA/wMAAA4A&#10;AAAAAAAAAQAgAAAAKgEAAGRycy9lMm9Eb2MueG1sUEsFBgAAAAAGAAYAWQEAAKwFAAAAAA==&#10;">
                        <v:fill on="f" focussize="0,0"/>
                        <v:stroke color="#000000" joinstyle="miter" endarrow="block"/>
                        <v:imagedata o:title=""/>
                        <o:lock v:ext="edit" aspectratio="f"/>
                      </v:shape>
                      <v:shape id="文本框 22" o:spid="_x0000_s1026" o:spt="202" type="#_x0000_t202" style="position:absolute;left:4860205;top:2334691;height:340042;width:755231;"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KpTwrNoBAACOAwAADgAAAGRycy9lMm9Eb2MueG1srVNL&#10;btswEN0XyB2I2ddSJNtNBNMBWiPdFG2BJAegKcoiIH5C0pbcA7Q36Kqb7nsun6NDys6vmyy6oYYz&#10;ozfz3gwXV4PqyE44L42mcD7JgQjNTS31hsLd7fXbCyA+MF2zzmhBYS88XC3P3ix6W4nCtKarhSMI&#10;on3VWwptCLbKMs9boZifGCs0BhvjFAt4dZusdqxHdNVlRZ7Ps9642jrDhffoXY1BOCK61wCappFc&#10;rAzfKqHDiOpExwJS8q20Hpap26YRPHxpGi8C6Sgg05BOLIL2Op7ZcsGqjWO2lfzYAntNCy84KSY1&#10;Fn2AWrHAyNbJf6CU5M5404QJNyobiSRFkMV5/kKbm5ZZkbig1N4+iO7/Hyz/vPvqiKwpzC6BaKZw&#10;4oefPw6//hx+fydFEQXqra8w78ZiZhjemwHX5uT36Iy8h8ap+EVGBOPTi3le5DMgewpFWU7nlwmJ&#10;VWIIhGPCu9msKAsgHBPKaZ5Py4iYPQJZ58NHYRSJBgWHk0wCs90nH8bUU0qsq8217Lo0zU4/cyBm&#10;9GSRxdhttMKwHo7U1qbeIzN8ElinNe4bkB4XgoK/3zIngDDN0U0hnMwPYdygrXVy0+JfSY5UAceU&#10;aBxXKu7B03vq4/EZL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OIQDNgAAAALAQAADwAAAAAA&#10;AAABACAAAAAiAAAAZHJzL2Rvd25yZXYueG1sUEsBAhQAFAAAAAgAh07iQCqU8KzaAQAAjgMAAA4A&#10;AAAAAAAAAQAgAAAAJwEAAGRycy9lMm9Eb2MueG1sUEsFBgAAAAAGAAYAWQEAAHMFAAAAAA==&#10;">
                        <v:fill on="f" focussize="0,0"/>
                        <v:stroke on="f"/>
                        <v:imagedata o:title=""/>
                        <o:lock v:ext="edit" aspectratio="f"/>
                        <v:textbox>
                          <w:txbxContent>
                            <w:p w14:paraId="32B99275">
                              <w:pPr>
                                <w:jc w:val="center"/>
                              </w:pPr>
                              <w:r>
                                <w:rPr>
                                  <w:rFonts w:hint="eastAsia"/>
                                </w:rPr>
                                <w:t>达标排放</w:t>
                              </w:r>
                            </w:p>
                          </w:txbxContent>
                        </v:textbox>
                      </v:shape>
                      <v:group id="组合 23" o:spid="_x0000_s1026" o:spt="203" style="position:absolute;left:2391301;top:705688;height:192824;width:436818;" coordorigin="5606,3061" coordsize="393,345" o:gfxdata="UEsDBAoAAAAAAIdO4kAAAAAAAAAAAAAAAAAEAAAAZHJzL1BLAwQUAAAACACHTuJAxERwjtsAAAAL&#10;AQAADwAAAGRycy9kb3ducmV2LnhtbE2PwU7DMBBE70j8g7VI3Fo7bUpLiFOhCjhVSLRIiJsbb5Oo&#10;8TqK3aT9e5YT3Ga0T7Mz+friWjFgHxpPGpKpAoFUettQpeFz/zpZgQjRkDWtJ9RwxQDr4vYmN5n1&#10;I33gsIuV4BAKmdFQx9hlUoayRmfC1HdIfDv63pnItq+k7c3I4a6VM6UepDMN8YfadLipsTztzk7D&#10;22jG53nyMmxPx831e794/9omqPX9XaKeQES8xD8YfutzdSi408GfyQbRapiky5RRFrMFCyZW6ZLX&#10;HTTMH1UKssjl/w3FD1BLAwQUAAAACACHTuJAcbAP2f0CAABgCAAADgAAAGRycy9lMm9Eb2MueG1s&#10;7VbNbtNAEL4j8Q6rvbf+i9PEqtND0/aCAKnwAFt7/YPWu8vuJk44cUACbty5ceQVELxNBbwFs2s7&#10;JaFCURGc8MEZe2bn55tvxjk+WTUMLanSteApDg59jCjPRF7zMsVPn5wfTDDShvCcMMFpitdU45PZ&#10;/XvHrUxoKCrBcqoQOOE6aWWKK2Nk4nk6q2hD9KGQlIOyEKohBh5V6eWKtOC9YV7o+2OvFSqXSmRU&#10;a3g775S496j2cSiKos7oXGSLhnLTeVWUEQMl6aqWGs9ctkVBM/OoKDQ1iKUYKjXuDkFAvrJ3b3ZM&#10;klIRWdVZnwLZJ4WdmhpScwi6cTUnhqCFqn9x1dSZEloU5jATjdcV4hCBKgJ/B5sLJRbS1VImbSk3&#10;oEOjdlC/s9vs4fKxQnWe4nGIEScNdPzrp1fX796gMLLotLJMwOhCyUv5WPUvyu7JFrwqVGN/oRS0&#10;SnEYTYPIDzBap/jIj8eTSQcxXRmUgX4UjScBMCwDfTANJ+Go02cV9Mk6iMf+2J2O/HEw6M7609E0&#10;6o5Go9jqvCG+Z9PcZNVKoKa+wUv/GV6XFZHUtUFbKAa8gEIdXt9ef/z+8u31+y/Xnz+griCbAZhu&#10;INOJBvQGvJASQMR45NvL0aZHL46DDroo8HeAsxU71ELf9WVTOkmk0uaCigZZIcVG1YSXzGZMErJ8&#10;oI0VyrzPluTPMCoaBjRfEoZil0OHZW8MrgeX9iQX5zVjYEESxlGb4mkc2lwIDH8BQwdiI4FAmpcu&#10;pBaszu0Re0Kr8uqUKQShYNzc1Tduy8zGmxNddXZO1fW+qQ1VLnZFSX7Gc2TWEjjKYTdhm0xDc4wY&#10;hVVmJWdpSM32sYQ6GQcS2WZ17bHSlcjX0GLYkIBlJdQLCAP7Aep7viAKghKewWvAeRBPTbdQFlLV&#10;ZQWnHG+dW2ChHaF/QUcgzm10dHOyDx0PbuPjUT/Kv+Vj2Hd0WAUDef4SH7eIs8Wvc3f12WyZ/Sfu&#10;XYjrtip8eNyi7T+S9sv287Obn5s/Br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xERwjtsAAAAL&#10;AQAADwAAAAAAAAABACAAAAAiAAAAZHJzL2Rvd25yZXYueG1sUEsBAhQAFAAAAAgAh07iQHGwD9n9&#10;AgAAYAgAAA4AAAAAAAAAAQAgAAAAKgEAAGRycy9lMm9Eb2MueG1sUEsFBgAAAAAGAAYAWQEAAJkG&#10;AAAAAA==&#10;">
                        <o:lock v:ext="edit" aspectratio="f"/>
                        <v:shape id="自选图形 24" o:spid="_x0000_s1026" o:spt="5" type="#_x0000_t5" style="position:absolute;left:5511;top:3108;height:203;width:345;rotation:5898240f;" filled="f" stroked="t" coordsize="21600,21600" o:gfxdata="UEsDBAoAAAAAAIdO4kAAAAAAAAAAAAAAAAAEAAAAZHJzL1BLAwQUAAAACACHTuJAg2UgmbwAAADb&#10;AAAADwAAAGRycy9kb3ducmV2LnhtbEVPy2qDQBTdF/IPwy10I8loKSExTkIqtSlklccHXJxbtXXu&#10;WGei9u87i0KWh/POdpNpxUC9aywrSBYxCOLS6oYrBddLMV+BcB5ZY2uZFPySg9129pBhqu3IJxrO&#10;vhIhhF2KCmrvu1RKV9Zk0C1sRxy4T9sb9AH2ldQ9jiHctPI5jpfSYMOhocaO8prK7/PNKFjL2/7l&#10;9T0/Xr+O0WGMIjy8FT9KPT0m8QaEp8nfxf/uD61gGdaHL+EH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lIJm8AAAA&#10;2wAAAA8AAAAAAAAAAQAgAAAAIgAAAGRycy9kb3ducmV2LnhtbFBLAQIUABQAAAAIAIdO4kAzLwWe&#10;OwAAADkAAAAQAAAAAAAAAAEAIAAAAAsBAABkcnMvc2hhcGV4bWwueG1sUEsFBgAAAAAGAAYAWwEA&#10;ALUDAAAAAA==&#10;" adj="10800">
                          <v:fill on="f" focussize="0,0"/>
                          <v:stroke color="#000000" joinstyle="miter"/>
                          <v:imagedata o:title=""/>
                          <o:lock v:ext="edit" aspectratio="f"/>
                        </v:shape>
                        <v:shape id="自选图形 25" o:spid="_x0000_s1026" o:spt="5" type="#_x0000_t5" style="position:absolute;left:5701;top:3108;height:202;width:345;rotation:-5898240f;" fillcolor="#FFFFFF" filled="t" stroked="t" coordsize="21600,21600" o:gfxdata="UEsDBAoAAAAAAIdO4kAAAAAAAAAAAAAAAAAEAAAAZHJzL1BLAwQUAAAACACHTuJAgOZD370AAADb&#10;AAAADwAAAGRycy9kb3ducmV2LnhtbEWPQYvCMBSE74L/ITxhb2taWUSr0YMi7MKyatWDt0fzbKvN&#10;S2li1X9vhAWPw8x8w0znd1OJlhpXWlYQ9yMQxJnVJecK9rvV5wiE88gaK8uk4EEO5rNuZ4qJtjfe&#10;Upv6XAQIuwQVFN7XiZQuK8ig69uaOHgn2xj0QTa51A3eAtxUchBFQ2mw5LBQYE2LgrJLejUKNl/X&#10;s1+2a/wZ5+fd8VD9Hv5Kp9RHL44mIDzd/Tv83/7WCoYxvL6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kPf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26" o:spid="_x0000_s1026" o:spt="203" style="position:absolute;left:2588909;top:1392173;height:1600;width:2270495;" coordorigin="5855,4277" coordsize="2837,1" o:gfxdata="UEsDBAoAAAAAAIdO4kAAAAAAAAAAAAAAAAAEAAAAZHJzL1BLAwQUAAAACACHTuJAxERwjtsAAAAL&#10;AQAADwAAAGRycy9kb3ducmV2LnhtbE2PwU7DMBBE70j8g7VI3Fo7bUpLiFOhCjhVSLRIiJsbb5Oo&#10;8TqK3aT9e5YT3Ga0T7Mz+friWjFgHxpPGpKpAoFUettQpeFz/zpZgQjRkDWtJ9RwxQDr4vYmN5n1&#10;I33gsIuV4BAKmdFQx9hlUoayRmfC1HdIfDv63pnItq+k7c3I4a6VM6UepDMN8YfadLipsTztzk7D&#10;22jG53nyMmxPx831e794/9omqPX9XaKeQES8xD8YfutzdSi408GfyQbRapiky5RRFrMFCyZW6ZLX&#10;HTTMH1UKssjl/w3FD1BLAwQUAAAACACHTuJA4PwEeK4CAABLBwAADgAAAGRycy9lMm9Eb2MueG1s&#10;3VXNbtQwEL4j8Q6W7zTZ7H/UbA/dthwQVCpwdx0nseTYlu1udm8ckIAbd24ceQUEb1MBb8HYSbbb&#10;0sMKpB7YQ3Ycj2e++eYb5/BoXQu0YsZyJTM8OIgxYpKqnMsyw69enj6ZYWQdkTkRSrIMb5jFR4vH&#10;jw4bnbJEVUrkzCAIIm3a6AxXzuk0iiytWE3sgdJMwmahTE0cLE0Z5YY0EL0WURLHk6hRJtdGUWYt&#10;vF22m7iLaPYJqIqCU7ZU9Kpm0rVRDRPEQUm24triRUBbFIy6F0VhmUMiw1CpC09IAvalf0aLQ5KW&#10;huiK0w4C2QfCnZpqwiUk3YZaEkfQleF/hKo5Ncqqwh1QVUdtIYERqGIQ3+HmzKgrHWop06bUW9Kh&#10;UXdY/+uw9Pnq3CCeZ3gyxkiSGjr+4+vb64/vUTLx7DS6TMHpzOgLfW66F2W78gWvC1P7fygFrTOc&#10;jGezeTzHaAPaGs6TwXTUcszWDlHvkEzj0XyCEfUek7hrAa2gTz7AeDYGILA3SqbT9iitTvrDs+G0&#10;O+m3oj595FFuQTUalGlv6LL/RtdFRTQLXbCeiZ6uYU/Xz3dffr35cP3p+/W3zygJmD0CcD2WHWM2&#10;tUBeTxcqBNdPoXocrNfe2qHwHgZ68gZJAtMZmLtVP0m1se6MqRp5I8PWGcLLyh0rKWEGlGkzkNUz&#10;61ri+gM+sZCoyfB8nADzlMBMFzBLYNYadGFlGdBZJXh+yoXwJ6wpL4+FQSvi5yr8OkC33HySJbFV&#10;65eD1Xa0YiQ/kTlyGw16k3DPYI+gZjlGgsG15C3ASVJHuNjHE6QgJCjCM99y7a1LlW9CC8J70ITX&#10;80OIY3S/OGa+qH3FsSOJ6XACfb81FFtJDBNI9r9JwhlOZCkeThbhBoE7Nlwq3ffAX+K76yCvm2/g&#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ERHCO2wAAAAsBAAAPAAAAAAAAAAEAIAAAACIAAABk&#10;cnMvZG93bnJldi54bWxQSwECFAAUAAAACACHTuJA4PwEeK4CAABLBwAADgAAAAAAAAABACAAAAAq&#10;AQAAZHJzL2Uyb0RvYy54bWxQSwUGAAAAAAYABgBZAQAASgYAAAAA&#10;">
                        <o:lock v:ext="edit" aspectratio="f"/>
                        <v:shape id="自选图形 27" o:spid="_x0000_s1026" o:spt="32" type="#_x0000_t32" style="position:absolute;left:5855;top:4277;flip:x y;height:1;width:1228;" filled="f" stroked="t" coordsize="21600,21600" o:gfxdata="UEsDBAoAAAAAAIdO4kAAAAAAAAAAAAAAAAAEAAAAZHJzL1BLAwQUAAAACACHTuJA07zYPbkAAADb&#10;AAAADwAAAGRycy9kb3ducmV2LnhtbEWPzQrCMBCE74LvEFbwpqkKItUoKAriQfAHvC7N2lSbTWmi&#10;1bc3guBxmJlvmNniZUvxpNoXjhUM+gkI4szpgnMF59OmNwHhA7LG0jEpeJOHxbzdmmGqXcMHeh5D&#10;LiKEfYoKTAhVKqXPDFn0fVcRR+/qaoshyjqXusYmwm0ph0kylhYLjgsGK1oZyu7Hh1UwGT741vB+&#10;fT8vs70p/Ghb7i5KdTuDZAoi0Cv8w7/2VisYj+D7Jf4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82D2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shape>
                        <v:shape id="自选图形 28" o:spid="_x0000_s1026" o:spt="32" type="#_x0000_t32" style="position:absolute;left:7368;top:4277;flip:x;height:1;width:1324;" filled="f" stroked="t" coordsize="21600,21600" o:gfxdata="UEsDBAoAAAAAAIdO4kAAAAAAAAAAAAAAAAAEAAAAZHJzL1BLAwQUAAAACACHTuJAGvXtBb4AAADb&#10;AAAADwAAAGRycy9kb3ducmV2LnhtbEWPQWvCQBSE70L/w/KE3syuIlrSrB4ChdpT1ZY2t0f2mQSz&#10;b0N2G5N/3xUKPQ4z8w2T7UfbioF63zjWsEwUCOLSmYYrDR/nl8UTCB+QDbaOScNEHva7h1mGqXE3&#10;PtJwCpWIEPYpaqhD6FIpfVmTRZ+4jjh6F9dbDFH2lTQ93iLctnKl1EZabDgu1NhRXlN5Pf1YDYfD&#10;Kn/ffjaDyq9UfE9v3K6LL60f50v1DCLQGP7Df+1Xo2Gzhvu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XtBb4A&#10;AADbAAAADwAAAAAAAAABACAAAAAiAAAAZHJzL2Rvd25yZXYueG1sUEsBAhQAFAAAAAgAh07iQDMv&#10;BZ47AAAAOQAAABAAAAAAAAAAAQAgAAAADQEAAGRycy9zaGFwZXhtbC54bWxQSwUGAAAAAAYABgBb&#10;AQAAtwMAAAAA&#10;">
                          <v:fill on="f" focussize="0,0"/>
                          <v:stroke color="#000000" joinstyle="round" dashstyle="dash" startarrow="block"/>
                          <v:imagedata o:title=""/>
                          <o:lock v:ext="edit" aspectratio="f"/>
                        </v:shape>
                      </v:group>
                      <v:shape id="文本框 29" o:spid="_x0000_s1026" o:spt="202" type="#_x0000_t202" style="position:absolute;left:4859405;top:1212951;height:343242;width:820034;"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SNI3ItgBAACOAwAADgAAAGRycy9lMm9Eb2MueG1srVPN&#10;jtMwEL4j8Q6W7zRp+qO2aroSVMsFAdLCA7iO01iKPWbsNikPAG/AiQt3nqvPsWOn3YXlsgcuznhm&#10;8s1834zXN71p2VGh12BLPh7lnCkrodJ2X/LPn25fLTjzQdhKtGBVyU/K85vNyxfrzq1UAQ20lUJG&#10;INavOlfyJgS3yjIvG2WEH4FTloI1oBGBrrjPKhQdoZs2K/J8nnWAlUOQynvybocgvyDicwChrrVU&#10;W5AHo2wYUFG1IhAl32jn+SZ1W9dKhg917VVgbcmJaUgnFSF7F89ssxarPQrXaHlpQTynhSecjNCW&#10;ij5AbUUQ7ID6HyijJYKHOowkmGwgkhQhFuP8iTZ3jXAqcSGpvXsQ3f8/WPn++BGZrko+n3NmhaGJ&#10;n398P//8ff71jRXLKFDn/Iry7hxlhv419LQ2V78nZ+Td12jilxgxik8Xs+U0n3F2otxiXCxnxSC1&#10;6gOTlLCgVZhQXFLCZDopppMYzx6BHPrwVoFh0Sg50iSTwOL4zoch9ZoS61q41W2bptnavxyEGT1Z&#10;ZDF0G63Q7/oLtR1UJ2JGT4LqNIBfOetoIUruvxwEKs6EleQuebiab8KwQQeHet/QX0mOVIHGlGhc&#10;ViruwZ/31MfjM9rc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iEAzYAAAACwEAAA8AAAAAAAAA&#10;AQAgAAAAIgAAAGRycy9kb3ducmV2LnhtbFBLAQIUABQAAAAIAIdO4kBI0jci2AEAAI4DAAAOAAAA&#10;AAAAAAEAIAAAACcBAABkcnMvZTJvRG9jLnhtbFBLBQYAAAAABgAGAFkBAABxBQAAAAA=&#10;">
                        <v:fill on="f" focussize="0,0"/>
                        <v:stroke on="f"/>
                        <v:imagedata o:title=""/>
                        <o:lock v:ext="edit" aspectratio="f"/>
                        <v:textbox>
                          <w:txbxContent>
                            <w:p w14:paraId="11CD9D42">
                              <w:r>
                                <w:rPr>
                                  <w:rFonts w:hint="eastAsia"/>
                                </w:rPr>
                                <w:t>雨水管网</w:t>
                              </w:r>
                            </w:p>
                          </w:txbxContent>
                        </v:textbox>
                      </v:shape>
                      <v:shape id="文本框 30" o:spid="_x0000_s1026" o:spt="202" type="#_x0000_t202" style="position:absolute;left:2588909;top:839304;height:340842;width:817634;" filled="f" stroked="f" coordsize="21600,21600" o:gfxdata="UEsDBAoAAAAAAIdO4kAAAAAAAAAAAAAAAAAEAAAAZHJzL1BLAwQUAAAACACHTuJADOIQDNgAAAAL&#10;AQAADwAAAGRycy9kb3ducmV2LnhtbE2PzU7DMBCE70i8g7WVuLV2i/sX4vQA4gqiFCRubrxNosbr&#10;KHab8PYsJ7jNaD/NzuS70bfiin1sAhmYzxQIpDK4hioDh/fn6QZETJacbQOhgW+MsCtub3KbuTDQ&#10;G173qRIcQjGzBuqUukzKWNbobZyFDolvp9B7m9j2lXS9HTjct3Kh1Ep62xB/qG2HjzWW5/3FG/h4&#10;OX19avVaPfllN4RRSfJbaczdZK4eQCQc0x8Mv/W5OhTc6Rgu5KJoDUz1WjPKYrFkwcRGr3nd0cD9&#10;VmmQRS7/byh+AFBLAwQUAAAACACHTuJAIPgMe9gBAACNAwAADgAAAGRycy9lMm9Eb2MueG1srVPN&#10;jtMwEL4j8Q7W3GnSZttNo7orQbVcECAtPIDrOI2l+AfbbVIeAN6AExfu+1x9DsZOdwvLZQ9cnPHM&#10;5Jv5vhmvbgbVkYNwXhpNYTrJgQjNTS31jsLnT7evSiA+MF2zzmhB4Sg83Kxfvlj1thIz05quFo4g&#10;iPZVbym0IdgqyzxvhWJ+YqzQGGyMUyzg1e2y2rEe0VWXzfJ8kfXG1dYZLrxH72YMwhnRPQfQNI3k&#10;YmP4XgkdRlQnOhaQkm+l9bBO3TaN4OFD03gRSEcBmYZ0YhG0t/HM1itW7RyzreTnFthzWnjCSTGp&#10;segj1IYFRvZO/gOlJHfGmyZMuFHZSCQpgiym+RNt7lpmReKCUnv7KLr/f7D8/eGjI7KmsLgGopnC&#10;iZ9+fD/9vD/9+kaKJFBvfYV5dxYzw/DaDLg2Ubjo9+iMvIfGqfhFRgTjs3lZLvMlkCOFslgW+XxU&#10;WgyBcIyX0+tFMQfCMV5c5eVVEePZBcc6H94Ko0g0KDgcZNKXHd75MKY+pMSy2tzKrkvD7PRfDsSM&#10;nuzSbLTCsB3ODLamPiIxfBFYpzXuK5Ae94GC/7JnTgBhmqObQngw34RxgfbWyV2LfyU1UgWcUqJx&#10;3qi4Bn/eUx+XV7T+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iEAzYAAAACwEAAA8AAAAAAAAA&#10;AQAgAAAAIgAAAGRycy9kb3ducmV2LnhtbFBLAQIUABQAAAAIAIdO4kAg+Ax72AEAAI0DAAAOAAAA&#10;AAAAAAEAIAAAACcBAABkcnMvZTJvRG9jLnhtbFBLBQYAAAAABgAGAFkBAABxBQAAAAA=&#10;">
                        <v:fill on="f" focussize="0,0"/>
                        <v:stroke on="f"/>
                        <v:imagedata o:title=""/>
                        <o:lock v:ext="edit" aspectratio="f"/>
                        <v:textbox>
                          <w:txbxContent>
                            <w:p w14:paraId="4E4591D8">
                              <w:pPr>
                                <w:rPr>
                                  <w:b/>
                                  <w:sz w:val="18"/>
                                  <w:szCs w:val="18"/>
                                </w:rPr>
                              </w:pPr>
                              <w:r>
                                <w:rPr>
                                  <w:rFonts w:hint="eastAsia"/>
                                  <w:b/>
                                  <w:sz w:val="18"/>
                                  <w:szCs w:val="18"/>
                                </w:rPr>
                                <w:t>切换阀</w:t>
                              </w:r>
                            </w:p>
                          </w:txbxContent>
                        </v:textbox>
                      </v:shape>
                    </v:group>
                  </w:pict>
                </mc:Fallback>
              </mc:AlternateContent>
            </w:r>
          </w:p>
          <w:p w14:paraId="4CBDD2DF">
            <w:pPr>
              <w:spacing w:line="360" w:lineRule="auto"/>
              <w:ind w:firstLine="420" w:firstLineChars="200"/>
              <w:rPr>
                <w:rFonts w:hint="eastAsia"/>
                <w:color w:val="auto"/>
                <w:kern w:val="0"/>
                <w:szCs w:val="21"/>
              </w:rPr>
            </w:pPr>
          </w:p>
          <w:p w14:paraId="0B847BC5">
            <w:pPr>
              <w:spacing w:line="360" w:lineRule="auto"/>
              <w:ind w:firstLine="420" w:firstLineChars="200"/>
              <w:rPr>
                <w:rFonts w:hint="eastAsia"/>
                <w:color w:val="auto"/>
                <w:kern w:val="0"/>
                <w:szCs w:val="21"/>
              </w:rPr>
            </w:pPr>
          </w:p>
          <w:p w14:paraId="58FE5CD1">
            <w:pPr>
              <w:pStyle w:val="138"/>
              <w:numPr>
                <w:ilvl w:val="0"/>
                <w:numId w:val="0"/>
              </w:numPr>
              <w:ind w:left="1417"/>
              <w:rPr>
                <w:color w:val="auto"/>
              </w:rPr>
            </w:pPr>
          </w:p>
          <w:p w14:paraId="534F5DB1">
            <w:pPr>
              <w:pStyle w:val="138"/>
              <w:numPr>
                <w:ilvl w:val="0"/>
                <w:numId w:val="0"/>
              </w:numPr>
              <w:ind w:left="1417"/>
              <w:rPr>
                <w:rFonts w:hint="eastAsia"/>
                <w:color w:val="auto"/>
              </w:rPr>
            </w:pPr>
          </w:p>
          <w:p w14:paraId="23BD5002">
            <w:pPr>
              <w:pStyle w:val="104"/>
              <w:rPr>
                <w:rFonts w:hint="eastAsia"/>
                <w:color w:val="auto"/>
              </w:rPr>
            </w:pPr>
          </w:p>
          <w:p w14:paraId="3E45750C">
            <w:pPr>
              <w:pStyle w:val="104"/>
              <w:rPr>
                <w:rFonts w:hint="eastAsia"/>
                <w:color w:val="auto"/>
              </w:rPr>
            </w:pPr>
          </w:p>
          <w:p w14:paraId="3374C5FF">
            <w:pPr>
              <w:pStyle w:val="104"/>
              <w:rPr>
                <w:rFonts w:hint="eastAsia"/>
                <w:color w:val="auto"/>
              </w:rPr>
            </w:pPr>
          </w:p>
          <w:p w14:paraId="4AD58400">
            <w:pPr>
              <w:pStyle w:val="104"/>
              <w:rPr>
                <w:rFonts w:hint="eastAsia"/>
                <w:color w:val="auto"/>
              </w:rPr>
            </w:pPr>
          </w:p>
          <w:p w14:paraId="3975CFDF">
            <w:pPr>
              <w:spacing w:line="360" w:lineRule="auto"/>
              <w:jc w:val="center"/>
              <w:rPr>
                <w:rFonts w:hint="eastAsia"/>
                <w:b/>
                <w:color w:val="auto"/>
              </w:rPr>
            </w:pPr>
            <w:r>
              <w:rPr>
                <w:b/>
                <w:color w:val="auto"/>
              </w:rPr>
              <w:t>图</w:t>
            </w:r>
            <w:r>
              <w:rPr>
                <w:rFonts w:hint="eastAsia"/>
                <w:b/>
                <w:color w:val="auto"/>
              </w:rPr>
              <w:t xml:space="preserve">10  </w:t>
            </w:r>
            <w:r>
              <w:rPr>
                <w:rFonts w:hint="eastAsia"/>
                <w:b/>
                <w:color w:val="auto"/>
                <w:kern w:val="0"/>
                <w:szCs w:val="21"/>
              </w:rPr>
              <w:t>项目事故废水阀门控制设置</w:t>
            </w:r>
            <w:r>
              <w:rPr>
                <w:b/>
                <w:color w:val="auto"/>
              </w:rPr>
              <w:t>示意图</w:t>
            </w:r>
          </w:p>
          <w:p w14:paraId="08622B37">
            <w:pPr>
              <w:spacing w:line="360" w:lineRule="auto"/>
              <w:ind w:firstLine="420" w:firstLineChars="200"/>
              <w:rPr>
                <w:rFonts w:hint="eastAsia" w:ascii="宋体" w:cs="宋体"/>
                <w:color w:val="auto"/>
                <w:kern w:val="0"/>
                <w:szCs w:val="21"/>
              </w:rPr>
            </w:pPr>
            <w:r>
              <w:rPr>
                <w:rFonts w:hint="eastAsia" w:ascii="宋体" w:cs="宋体"/>
                <w:color w:val="auto"/>
                <w:kern w:val="0"/>
                <w:szCs w:val="21"/>
              </w:rPr>
              <w:t>通过采取上述水环境风险防范措施，可有效保证事故废水不外排，切断了泄漏物料向地表水体转移的途径，从而避免了地表水环境风险。</w:t>
            </w:r>
          </w:p>
          <w:p w14:paraId="3590B997">
            <w:pPr>
              <w:pStyle w:val="139"/>
              <w:ind w:firstLine="420"/>
              <w:rPr>
                <w:rFonts w:hint="eastAsia"/>
                <w:color w:val="auto"/>
                <w:sz w:val="21"/>
                <w:szCs w:val="21"/>
                <w:lang w:val="en-US"/>
              </w:rPr>
            </w:pPr>
            <w:r>
              <w:rPr>
                <w:rFonts w:hint="eastAsia"/>
                <w:color w:val="auto"/>
                <w:sz w:val="21"/>
                <w:szCs w:val="21"/>
                <w:lang w:val="en-US"/>
              </w:rPr>
              <w:t>3、地下水</w:t>
            </w:r>
          </w:p>
          <w:p w14:paraId="41769F69">
            <w:pPr>
              <w:spacing w:line="360" w:lineRule="auto"/>
              <w:ind w:firstLine="420" w:firstLineChars="200"/>
              <w:rPr>
                <w:rFonts w:hint="eastAsia" w:hAnsi="宋体"/>
                <w:color w:val="auto"/>
                <w:kern w:val="0"/>
                <w:szCs w:val="21"/>
              </w:rPr>
            </w:pPr>
            <w:r>
              <w:rPr>
                <w:rFonts w:hint="eastAsia" w:hAnsi="宋体"/>
                <w:color w:val="auto"/>
                <w:kern w:val="0"/>
                <w:szCs w:val="21"/>
              </w:rPr>
              <w:t>建设项目有毒有害物质在储存或厂内转移过程中由于操作不当、防渗材料破裂等原因产生泄露，将对地下水和土壤环境造成影响。</w:t>
            </w:r>
          </w:p>
          <w:p w14:paraId="7768ADF9">
            <w:pPr>
              <w:spacing w:line="360" w:lineRule="auto"/>
              <w:ind w:firstLine="420" w:firstLineChars="200"/>
              <w:rPr>
                <w:rFonts w:hint="eastAsia"/>
                <w:color w:val="auto"/>
                <w:kern w:val="0"/>
                <w:szCs w:val="21"/>
              </w:rPr>
            </w:pPr>
            <w:r>
              <w:rPr>
                <w:rFonts w:hint="eastAsia"/>
                <w:color w:val="auto"/>
                <w:szCs w:val="21"/>
              </w:rPr>
              <w:t>本项目所存储物料均为地上布设，发生泄漏事故时易于及时发现，物料发生泄漏事故时，首先</w:t>
            </w:r>
            <w:r>
              <w:rPr>
                <w:rFonts w:hint="eastAsia"/>
                <w:color w:val="auto"/>
                <w:kern w:val="0"/>
                <w:szCs w:val="21"/>
              </w:rPr>
              <w:t>及时跟换新的物料桶，用铁锹、吸油毡等把地面上能收集的物料收集，然后将地面清理擦洗干净。</w:t>
            </w:r>
            <w:r>
              <w:rPr>
                <w:rFonts w:hint="eastAsia"/>
                <w:color w:val="auto"/>
                <w:szCs w:val="21"/>
              </w:rPr>
              <w:t>采取以上措施可有效控制泄漏物料溢流。</w:t>
            </w:r>
          </w:p>
          <w:p w14:paraId="6FBDFFD5">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另外，本环评要求本工程加强全厂防渗工作，防渗设计应按照《环境影响评价技术导则地下水环境》（HJ610-2016）中有关规定实施。对其它不敏感部位，应进行相应的硬化或绿化，保证工程建成后，全厂无裸露地坪。在严格执行环评提出的风险防范措施和制定有效的突发环境事件现场应急措施前提下，本程基本不会对地下水环境产生环境风险。综上所述，本评价确定的最大可信事故为火灾、爆炸事故中物料、废油发生燃烧伴生CO的事故。</w:t>
            </w:r>
          </w:p>
          <w:p w14:paraId="6D46BD26">
            <w:pPr>
              <w:pageBreakBefore w:val="0"/>
              <w:widowControl w:val="0"/>
              <w:numPr>
                <w:ilvl w:val="0"/>
                <w:numId w:val="0"/>
              </w:numPr>
              <w:kinsoku/>
              <w:wordWrap/>
              <w:overflowPunct/>
              <w:topLinePunct w:val="0"/>
              <w:autoSpaceDE/>
              <w:autoSpaceDN/>
              <w:bidi w:val="0"/>
              <w:spacing w:before="0" w:after="0" w:line="360" w:lineRule="auto"/>
              <w:ind w:firstLine="422" w:firstLineChars="200"/>
              <w:jc w:val="left"/>
              <w:textAlignment w:val="auto"/>
              <w:outlineLvl w:val="9"/>
              <w:rPr>
                <w:b/>
                <w:bCs/>
                <w:color w:val="auto"/>
                <w:sz w:val="21"/>
                <w:szCs w:val="21"/>
              </w:rPr>
            </w:pPr>
            <w:bookmarkStart w:id="32" w:name="_Toc32368"/>
            <w:bookmarkStart w:id="33" w:name="_Toc11056552"/>
            <w:bookmarkStart w:id="34" w:name="_Toc7174"/>
            <w:r>
              <w:rPr>
                <w:rFonts w:hint="eastAsia"/>
                <w:b/>
                <w:bCs/>
                <w:color w:val="auto"/>
                <w:sz w:val="21"/>
                <w:szCs w:val="21"/>
              </w:rPr>
              <w:t>9、</w:t>
            </w:r>
            <w:r>
              <w:rPr>
                <w:b/>
                <w:bCs/>
                <w:color w:val="auto"/>
                <w:sz w:val="21"/>
                <w:szCs w:val="21"/>
              </w:rPr>
              <w:t>源项分析</w:t>
            </w:r>
          </w:p>
          <w:p w14:paraId="0F30E206">
            <w:pPr>
              <w:pageBreakBefore w:val="0"/>
              <w:widowControl w:val="0"/>
              <w:numPr>
                <w:ilvl w:val="0"/>
                <w:numId w:val="0"/>
              </w:numPr>
              <w:kinsoku/>
              <w:wordWrap/>
              <w:overflowPunct/>
              <w:topLinePunct w:val="0"/>
              <w:autoSpaceDE/>
              <w:autoSpaceDN/>
              <w:bidi w:val="0"/>
              <w:spacing w:line="360" w:lineRule="auto"/>
              <w:ind w:firstLine="420" w:firstLineChars="200"/>
              <w:jc w:val="left"/>
              <w:textAlignment w:val="auto"/>
              <w:outlineLvl w:val="9"/>
              <w:rPr>
                <w:rFonts w:hint="eastAsia"/>
                <w:bCs w:val="0"/>
                <w:color w:val="auto"/>
                <w:kern w:val="24"/>
                <w:sz w:val="21"/>
                <w:szCs w:val="21"/>
                <w:lang w:eastAsia="zh-CN"/>
              </w:rPr>
            </w:pPr>
            <w:r>
              <w:rPr>
                <w:rFonts w:hint="eastAsia"/>
                <w:color w:val="auto"/>
                <w:sz w:val="21"/>
                <w:szCs w:val="21"/>
                <w:lang w:eastAsia="zh-CN"/>
              </w:rPr>
              <w:t>（1）风险事故统计资料分析</w:t>
            </w:r>
          </w:p>
          <w:p w14:paraId="23F8A14A">
            <w:pPr>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Ansi="宋体"/>
                <w:color w:val="auto"/>
                <w:kern w:val="0"/>
                <w:szCs w:val="21"/>
              </w:rPr>
            </w:pPr>
            <w:r>
              <w:rPr>
                <w:rFonts w:hAnsi="宋体"/>
                <w:color w:val="auto"/>
                <w:kern w:val="0"/>
                <w:szCs w:val="21"/>
              </w:rPr>
              <w:t>根据《企业突发环境事件风险分级方法》（HJ941-2018，2018.3.1实施）要求，本项目搜集国内外同类企业突发环境事件资料见表</w:t>
            </w:r>
            <w:r>
              <w:rPr>
                <w:rFonts w:hint="eastAsia" w:hAnsi="宋体"/>
                <w:color w:val="auto"/>
                <w:kern w:val="0"/>
                <w:szCs w:val="21"/>
                <w:lang w:val="en-US" w:eastAsia="zh-CN"/>
              </w:rPr>
              <w:t>7-22</w:t>
            </w:r>
            <w:r>
              <w:rPr>
                <w:rFonts w:hAnsi="宋体"/>
                <w:color w:val="auto"/>
                <w:kern w:val="0"/>
                <w:szCs w:val="21"/>
              </w:rPr>
              <w:t>。</w:t>
            </w:r>
          </w:p>
          <w:p w14:paraId="0EEF9F8C">
            <w:pPr>
              <w:pStyle w:val="140"/>
              <w:ind w:firstLine="422"/>
              <w:jc w:val="center"/>
              <w:rPr>
                <w:b/>
                <w:color w:val="auto"/>
                <w:kern w:val="24"/>
                <w:sz w:val="21"/>
                <w:szCs w:val="21"/>
              </w:rPr>
            </w:pPr>
            <w:r>
              <w:rPr>
                <w:b/>
                <w:color w:val="auto"/>
                <w:kern w:val="24"/>
                <w:sz w:val="21"/>
                <w:szCs w:val="21"/>
              </w:rPr>
              <w:t>表</w:t>
            </w:r>
            <w:r>
              <w:rPr>
                <w:rFonts w:hint="eastAsia"/>
                <w:b/>
                <w:color w:val="auto"/>
                <w:kern w:val="24"/>
                <w:sz w:val="21"/>
                <w:szCs w:val="21"/>
              </w:rPr>
              <w:t>7-2</w:t>
            </w:r>
            <w:r>
              <w:rPr>
                <w:rFonts w:hint="eastAsia"/>
                <w:b/>
                <w:color w:val="auto"/>
                <w:kern w:val="24"/>
                <w:sz w:val="21"/>
                <w:szCs w:val="21"/>
                <w:lang w:val="en-US" w:eastAsia="zh-CN"/>
              </w:rPr>
              <w:t>2</w:t>
            </w:r>
            <w:r>
              <w:rPr>
                <w:b/>
                <w:color w:val="auto"/>
                <w:kern w:val="24"/>
                <w:sz w:val="21"/>
                <w:szCs w:val="21"/>
              </w:rPr>
              <w:t xml:space="preserve">   国内外同类企业突发环境事故案例一览表</w:t>
            </w:r>
          </w:p>
          <w:tbl>
            <w:tblPr>
              <w:tblStyle w:val="35"/>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876"/>
              <w:gridCol w:w="780"/>
              <w:gridCol w:w="2480"/>
              <w:gridCol w:w="2416"/>
            </w:tblGrid>
            <w:tr w14:paraId="0800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4DD2A8B2">
                  <w:pPr>
                    <w:adjustRightInd w:val="0"/>
                    <w:snapToGrid w:val="0"/>
                    <w:jc w:val="center"/>
                    <w:rPr>
                      <w:snapToGrid w:val="0"/>
                      <w:color w:val="auto"/>
                      <w:kern w:val="0"/>
                      <w:szCs w:val="21"/>
                    </w:rPr>
                  </w:pPr>
                  <w:r>
                    <w:rPr>
                      <w:rFonts w:hAnsi="宋体"/>
                      <w:snapToGrid w:val="0"/>
                      <w:color w:val="auto"/>
                      <w:kern w:val="0"/>
                      <w:szCs w:val="21"/>
                    </w:rPr>
                    <w:t>时间</w:t>
                  </w:r>
                </w:p>
              </w:tc>
              <w:tc>
                <w:tcPr>
                  <w:tcW w:w="1876" w:type="dxa"/>
                  <w:tcBorders>
                    <w:top w:val="single" w:color="auto" w:sz="4" w:space="0"/>
                    <w:left w:val="single" w:color="auto" w:sz="4" w:space="0"/>
                    <w:bottom w:val="single" w:color="auto" w:sz="4" w:space="0"/>
                    <w:right w:val="single" w:color="auto" w:sz="4" w:space="0"/>
                  </w:tcBorders>
                  <w:noWrap w:val="0"/>
                  <w:vAlign w:val="center"/>
                </w:tcPr>
                <w:p w14:paraId="30F881AC">
                  <w:pPr>
                    <w:adjustRightInd w:val="0"/>
                    <w:snapToGrid w:val="0"/>
                    <w:jc w:val="center"/>
                    <w:rPr>
                      <w:snapToGrid w:val="0"/>
                      <w:color w:val="auto"/>
                      <w:kern w:val="0"/>
                      <w:szCs w:val="21"/>
                    </w:rPr>
                  </w:pPr>
                  <w:r>
                    <w:rPr>
                      <w:rFonts w:hAnsi="宋体"/>
                      <w:snapToGrid w:val="0"/>
                      <w:color w:val="auto"/>
                      <w:kern w:val="0"/>
                      <w:szCs w:val="21"/>
                    </w:rPr>
                    <w:t>企业</w:t>
                  </w:r>
                  <w:r>
                    <w:rPr>
                      <w:snapToGrid w:val="0"/>
                      <w:color w:val="auto"/>
                      <w:kern w:val="0"/>
                      <w:szCs w:val="21"/>
                    </w:rPr>
                    <w:t>/</w:t>
                  </w:r>
                  <w:r>
                    <w:rPr>
                      <w:rFonts w:hAnsi="宋体"/>
                      <w:snapToGrid w:val="0"/>
                      <w:color w:val="auto"/>
                      <w:kern w:val="0"/>
                      <w:szCs w:val="21"/>
                    </w:rPr>
                    <w:t>地点</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7E5FF74C">
                  <w:pPr>
                    <w:adjustRightInd w:val="0"/>
                    <w:snapToGrid w:val="0"/>
                    <w:jc w:val="center"/>
                    <w:rPr>
                      <w:snapToGrid w:val="0"/>
                      <w:color w:val="auto"/>
                      <w:kern w:val="0"/>
                      <w:szCs w:val="21"/>
                    </w:rPr>
                  </w:pPr>
                  <w:r>
                    <w:rPr>
                      <w:rFonts w:hAnsi="宋体"/>
                      <w:snapToGrid w:val="0"/>
                      <w:color w:val="auto"/>
                      <w:kern w:val="0"/>
                      <w:szCs w:val="21"/>
                    </w:rPr>
                    <w:t>事故</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6BB6DA8B">
                  <w:pPr>
                    <w:adjustRightInd w:val="0"/>
                    <w:snapToGrid w:val="0"/>
                    <w:ind w:firstLine="210" w:firstLineChars="100"/>
                    <w:jc w:val="center"/>
                    <w:rPr>
                      <w:snapToGrid w:val="0"/>
                      <w:color w:val="auto"/>
                      <w:kern w:val="0"/>
                      <w:szCs w:val="21"/>
                    </w:rPr>
                  </w:pPr>
                  <w:r>
                    <w:rPr>
                      <w:rFonts w:hAnsi="宋体"/>
                      <w:snapToGrid w:val="0"/>
                      <w:color w:val="auto"/>
                      <w:kern w:val="0"/>
                      <w:szCs w:val="21"/>
                    </w:rPr>
                    <w:t>事故原因</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FA84390">
                  <w:pPr>
                    <w:adjustRightInd w:val="0"/>
                    <w:snapToGrid w:val="0"/>
                    <w:jc w:val="center"/>
                    <w:rPr>
                      <w:snapToGrid w:val="0"/>
                      <w:color w:val="auto"/>
                      <w:kern w:val="0"/>
                      <w:szCs w:val="21"/>
                    </w:rPr>
                  </w:pPr>
                  <w:r>
                    <w:rPr>
                      <w:rFonts w:hAnsi="宋体"/>
                      <w:snapToGrid w:val="0"/>
                      <w:color w:val="auto"/>
                      <w:kern w:val="0"/>
                      <w:szCs w:val="21"/>
                    </w:rPr>
                    <w:t>危害情况</w:t>
                  </w:r>
                </w:p>
              </w:tc>
            </w:tr>
            <w:tr w14:paraId="6B9B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3546B6CC">
                  <w:pPr>
                    <w:adjustRightInd w:val="0"/>
                    <w:snapToGrid w:val="0"/>
                    <w:jc w:val="center"/>
                    <w:rPr>
                      <w:snapToGrid w:val="0"/>
                      <w:color w:val="auto"/>
                      <w:kern w:val="0"/>
                      <w:szCs w:val="21"/>
                    </w:rPr>
                  </w:pPr>
                  <w:r>
                    <w:rPr>
                      <w:snapToGrid w:val="0"/>
                      <w:color w:val="auto"/>
                      <w:kern w:val="0"/>
                      <w:szCs w:val="21"/>
                    </w:rPr>
                    <w:t>20</w:t>
                  </w:r>
                  <w:r>
                    <w:rPr>
                      <w:rFonts w:hint="eastAsia"/>
                      <w:snapToGrid w:val="0"/>
                      <w:color w:val="auto"/>
                      <w:kern w:val="0"/>
                      <w:szCs w:val="21"/>
                      <w:lang w:val="en-US" w:eastAsia="zh-CN"/>
                    </w:rPr>
                    <w:t>07</w:t>
                  </w:r>
                  <w:r>
                    <w:rPr>
                      <w:rFonts w:hAnsi="宋体"/>
                      <w:snapToGrid w:val="0"/>
                      <w:color w:val="auto"/>
                      <w:kern w:val="0"/>
                      <w:szCs w:val="21"/>
                    </w:rPr>
                    <w:t>年</w:t>
                  </w:r>
                  <w:r>
                    <w:rPr>
                      <w:rFonts w:hint="eastAsia"/>
                      <w:snapToGrid w:val="0"/>
                      <w:color w:val="auto"/>
                      <w:kern w:val="0"/>
                      <w:szCs w:val="21"/>
                      <w:lang w:val="en-US" w:eastAsia="zh-CN"/>
                    </w:rPr>
                    <w:t>8</w:t>
                  </w:r>
                  <w:r>
                    <w:rPr>
                      <w:rFonts w:hAnsi="宋体"/>
                      <w:snapToGrid w:val="0"/>
                      <w:color w:val="auto"/>
                      <w:kern w:val="0"/>
                      <w:szCs w:val="21"/>
                    </w:rPr>
                    <w:t>月</w:t>
                  </w:r>
                  <w:r>
                    <w:rPr>
                      <w:rFonts w:hint="eastAsia"/>
                      <w:snapToGrid w:val="0"/>
                      <w:color w:val="auto"/>
                      <w:kern w:val="0"/>
                      <w:szCs w:val="21"/>
                      <w:lang w:val="en-US" w:eastAsia="zh-CN"/>
                    </w:rPr>
                    <w:t>6</w:t>
                  </w:r>
                  <w:r>
                    <w:rPr>
                      <w:rFonts w:hAnsi="宋体"/>
                      <w:snapToGrid w:val="0"/>
                      <w:color w:val="auto"/>
                      <w:kern w:val="0"/>
                      <w:szCs w:val="21"/>
                    </w:rPr>
                    <w:t>日</w:t>
                  </w:r>
                </w:p>
              </w:tc>
              <w:tc>
                <w:tcPr>
                  <w:tcW w:w="1876" w:type="dxa"/>
                  <w:tcBorders>
                    <w:top w:val="single" w:color="auto" w:sz="4" w:space="0"/>
                    <w:left w:val="single" w:color="auto" w:sz="4" w:space="0"/>
                    <w:bottom w:val="single" w:color="auto" w:sz="4" w:space="0"/>
                    <w:right w:val="single" w:color="auto" w:sz="4" w:space="0"/>
                  </w:tcBorders>
                  <w:noWrap w:val="0"/>
                  <w:vAlign w:val="center"/>
                </w:tcPr>
                <w:p w14:paraId="4D23D8C4">
                  <w:pPr>
                    <w:adjustRightInd w:val="0"/>
                    <w:snapToGrid w:val="0"/>
                    <w:jc w:val="center"/>
                    <w:rPr>
                      <w:rFonts w:hint="eastAsia" w:eastAsia="宋体"/>
                      <w:snapToGrid w:val="0"/>
                      <w:color w:val="auto"/>
                      <w:kern w:val="0"/>
                      <w:szCs w:val="21"/>
                      <w:lang w:val="en-US" w:eastAsia="zh-CN"/>
                    </w:rPr>
                  </w:pPr>
                  <w:r>
                    <w:rPr>
                      <w:rFonts w:hint="eastAsia" w:ascii="Helvetica" w:hAnsi="Helvetica" w:cs="Helvetica"/>
                      <w:color w:val="auto"/>
                      <w:sz w:val="19"/>
                      <w:szCs w:val="19"/>
                      <w:shd w:val="clear" w:color="auto" w:fill="FFFFFF"/>
                    </w:rPr>
                    <w:t>福建省万达汽车玻璃工业有限公司</w:t>
                  </w:r>
                  <w:r>
                    <w:rPr>
                      <w:rFonts w:hint="eastAsia" w:ascii="Helvetica" w:hAnsi="Helvetica" w:cs="Helvetica"/>
                      <w:color w:val="auto"/>
                      <w:sz w:val="19"/>
                      <w:szCs w:val="19"/>
                      <w:shd w:val="clear" w:color="auto" w:fill="FFFFFF"/>
                      <w:lang w:val="en-US" w:eastAsia="zh-CN"/>
                    </w:rPr>
                    <w:t>四厂</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1C24AC1">
                  <w:pPr>
                    <w:adjustRightInd w:val="0"/>
                    <w:snapToGrid w:val="0"/>
                    <w:jc w:val="center"/>
                    <w:rPr>
                      <w:snapToGrid w:val="0"/>
                      <w:color w:val="auto"/>
                      <w:kern w:val="0"/>
                      <w:szCs w:val="21"/>
                    </w:rPr>
                  </w:pPr>
                  <w:r>
                    <w:rPr>
                      <w:rFonts w:hAnsi="宋体"/>
                      <w:snapToGrid w:val="0"/>
                      <w:color w:val="auto"/>
                      <w:kern w:val="0"/>
                      <w:szCs w:val="21"/>
                    </w:rPr>
                    <w:t>火灾</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4C1D0CE2">
                  <w:pPr>
                    <w:adjustRightInd w:val="0"/>
                    <w:snapToGrid w:val="0"/>
                    <w:jc w:val="center"/>
                    <w:rPr>
                      <w:snapToGrid w:val="0"/>
                      <w:color w:val="auto"/>
                      <w:kern w:val="0"/>
                      <w:szCs w:val="21"/>
                    </w:rPr>
                  </w:pPr>
                  <w:r>
                    <w:rPr>
                      <w:rFonts w:hint="eastAsia" w:hAnsi="宋体"/>
                      <w:snapToGrid w:val="0"/>
                      <w:color w:val="auto"/>
                      <w:kern w:val="0"/>
                      <w:szCs w:val="21"/>
                    </w:rPr>
                    <w:t>设备控制柜电器接触位自燃</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BC1990B">
                  <w:pPr>
                    <w:adjustRightInd w:val="0"/>
                    <w:snapToGrid w:val="0"/>
                    <w:jc w:val="center"/>
                    <w:rPr>
                      <w:snapToGrid w:val="0"/>
                      <w:color w:val="auto"/>
                      <w:kern w:val="0"/>
                      <w:szCs w:val="21"/>
                    </w:rPr>
                  </w:pPr>
                  <w:r>
                    <w:rPr>
                      <w:rFonts w:hAnsi="宋体"/>
                      <w:snapToGrid w:val="0"/>
                      <w:color w:val="auto"/>
                      <w:kern w:val="0"/>
                      <w:szCs w:val="21"/>
                    </w:rPr>
                    <w:t>大气、地表水污染</w:t>
                  </w:r>
                </w:p>
              </w:tc>
            </w:tr>
            <w:tr w14:paraId="5520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6F016092">
                  <w:pPr>
                    <w:adjustRightInd w:val="0"/>
                    <w:snapToGrid w:val="0"/>
                    <w:jc w:val="center"/>
                    <w:rPr>
                      <w:snapToGrid w:val="0"/>
                      <w:color w:val="auto"/>
                      <w:kern w:val="0"/>
                      <w:szCs w:val="21"/>
                    </w:rPr>
                  </w:pPr>
                  <w:r>
                    <w:rPr>
                      <w:rFonts w:hint="eastAsia"/>
                      <w:snapToGrid w:val="0"/>
                      <w:color w:val="auto"/>
                      <w:kern w:val="0"/>
                      <w:szCs w:val="21"/>
                    </w:rPr>
                    <w:t>20</w:t>
                  </w:r>
                  <w:r>
                    <w:rPr>
                      <w:rFonts w:hint="eastAsia"/>
                      <w:snapToGrid w:val="0"/>
                      <w:color w:val="auto"/>
                      <w:kern w:val="0"/>
                      <w:szCs w:val="21"/>
                      <w:lang w:val="en-US" w:eastAsia="zh-CN"/>
                    </w:rPr>
                    <w:t>20</w:t>
                  </w:r>
                  <w:r>
                    <w:rPr>
                      <w:rFonts w:hAnsi="宋体"/>
                      <w:snapToGrid w:val="0"/>
                      <w:color w:val="auto"/>
                      <w:kern w:val="0"/>
                      <w:szCs w:val="21"/>
                    </w:rPr>
                    <w:t>年</w:t>
                  </w:r>
                  <w:r>
                    <w:rPr>
                      <w:rFonts w:hint="eastAsia"/>
                      <w:snapToGrid w:val="0"/>
                      <w:color w:val="auto"/>
                      <w:kern w:val="0"/>
                      <w:szCs w:val="21"/>
                      <w:lang w:val="en-US" w:eastAsia="zh-CN"/>
                    </w:rPr>
                    <w:t>11</w:t>
                  </w:r>
                  <w:r>
                    <w:rPr>
                      <w:rFonts w:hAnsi="宋体"/>
                      <w:snapToGrid w:val="0"/>
                      <w:color w:val="auto"/>
                      <w:kern w:val="0"/>
                      <w:szCs w:val="21"/>
                    </w:rPr>
                    <w:t>月</w:t>
                  </w:r>
                  <w:r>
                    <w:rPr>
                      <w:rFonts w:hint="eastAsia"/>
                      <w:snapToGrid w:val="0"/>
                      <w:color w:val="auto"/>
                      <w:kern w:val="0"/>
                      <w:szCs w:val="21"/>
                      <w:lang w:val="en-US" w:eastAsia="zh-CN"/>
                    </w:rPr>
                    <w:t>23</w:t>
                  </w:r>
                  <w:r>
                    <w:rPr>
                      <w:rFonts w:hAnsi="宋体"/>
                      <w:snapToGrid w:val="0"/>
                      <w:color w:val="auto"/>
                      <w:kern w:val="0"/>
                      <w:szCs w:val="21"/>
                    </w:rPr>
                    <w:t>日</w:t>
                  </w:r>
                </w:p>
              </w:tc>
              <w:tc>
                <w:tcPr>
                  <w:tcW w:w="1876" w:type="dxa"/>
                  <w:tcBorders>
                    <w:top w:val="single" w:color="auto" w:sz="4" w:space="0"/>
                    <w:left w:val="single" w:color="auto" w:sz="4" w:space="0"/>
                    <w:bottom w:val="single" w:color="auto" w:sz="4" w:space="0"/>
                    <w:right w:val="single" w:color="auto" w:sz="4" w:space="0"/>
                  </w:tcBorders>
                  <w:noWrap w:val="0"/>
                  <w:vAlign w:val="center"/>
                </w:tcPr>
                <w:p w14:paraId="24BDADDC">
                  <w:pPr>
                    <w:adjustRightInd w:val="0"/>
                    <w:snapToGrid w:val="0"/>
                    <w:jc w:val="center"/>
                    <w:rPr>
                      <w:rFonts w:hint="eastAsia" w:eastAsia="宋体"/>
                      <w:snapToGrid w:val="0"/>
                      <w:color w:val="auto"/>
                      <w:kern w:val="0"/>
                      <w:szCs w:val="21"/>
                      <w:lang w:eastAsia="zh-CN"/>
                    </w:rPr>
                  </w:pPr>
                  <w:r>
                    <w:rPr>
                      <w:rFonts w:hint="eastAsia"/>
                      <w:snapToGrid w:val="0"/>
                      <w:color w:val="auto"/>
                      <w:kern w:val="0"/>
                      <w:szCs w:val="21"/>
                      <w:lang w:val="en-US" w:eastAsia="zh-CN"/>
                    </w:rPr>
                    <w:t>广州玻璃工厂</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8B94B2B">
                  <w:pPr>
                    <w:adjustRightInd w:val="0"/>
                    <w:snapToGrid w:val="0"/>
                    <w:jc w:val="center"/>
                    <w:rPr>
                      <w:snapToGrid w:val="0"/>
                      <w:color w:val="auto"/>
                      <w:kern w:val="0"/>
                      <w:szCs w:val="21"/>
                    </w:rPr>
                  </w:pPr>
                  <w:r>
                    <w:rPr>
                      <w:rFonts w:hAnsi="宋体"/>
                      <w:snapToGrid w:val="0"/>
                      <w:color w:val="auto"/>
                      <w:kern w:val="0"/>
                      <w:szCs w:val="21"/>
                    </w:rPr>
                    <w:t>火灾</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50A53C66">
                  <w:pPr>
                    <w:adjustRightInd w:val="0"/>
                    <w:snapToGrid w:val="0"/>
                    <w:jc w:val="center"/>
                    <w:rPr>
                      <w:rFonts w:hint="eastAsia" w:eastAsia="宋体"/>
                      <w:snapToGrid w:val="0"/>
                      <w:color w:val="auto"/>
                      <w:kern w:val="0"/>
                      <w:szCs w:val="21"/>
                      <w:lang w:eastAsia="zh-CN"/>
                    </w:rPr>
                  </w:pPr>
                  <w:r>
                    <w:rPr>
                      <w:rFonts w:ascii="Helvetica" w:hAnsi="Helvetica" w:cs="Helvetica"/>
                      <w:color w:val="auto"/>
                      <w:sz w:val="22"/>
                      <w:szCs w:val="22"/>
                      <w:shd w:val="clear" w:color="auto" w:fill="FFFFFF"/>
                    </w:rPr>
                    <w:t>电</w:t>
                  </w:r>
                  <w:r>
                    <w:rPr>
                      <w:rFonts w:hAnsi="宋体"/>
                      <w:snapToGrid w:val="0"/>
                      <w:color w:val="auto"/>
                      <w:kern w:val="0"/>
                      <w:szCs w:val="21"/>
                    </w:rPr>
                    <w:t>焊作业的电花火溅到了车间内</w:t>
                  </w:r>
                  <w:r>
                    <w:rPr>
                      <w:rFonts w:hint="eastAsia" w:hAnsi="宋体"/>
                      <w:snapToGrid w:val="0"/>
                      <w:color w:val="auto"/>
                      <w:kern w:val="0"/>
                      <w:szCs w:val="21"/>
                      <w:lang w:val="en-US" w:eastAsia="zh-CN"/>
                    </w:rPr>
                    <w:t>海绵</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340DECEE">
                  <w:pPr>
                    <w:adjustRightInd w:val="0"/>
                    <w:snapToGrid w:val="0"/>
                    <w:jc w:val="center"/>
                    <w:rPr>
                      <w:snapToGrid w:val="0"/>
                      <w:color w:val="auto"/>
                      <w:kern w:val="0"/>
                      <w:szCs w:val="21"/>
                    </w:rPr>
                  </w:pPr>
                  <w:r>
                    <w:rPr>
                      <w:rFonts w:hAnsi="宋体"/>
                      <w:snapToGrid w:val="0"/>
                      <w:color w:val="auto"/>
                      <w:kern w:val="0"/>
                      <w:szCs w:val="21"/>
                    </w:rPr>
                    <w:t>大气、地表水污染</w:t>
                  </w:r>
                </w:p>
              </w:tc>
            </w:tr>
            <w:tr w14:paraId="30D8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51C3C9DD">
                  <w:pPr>
                    <w:adjustRightInd w:val="0"/>
                    <w:snapToGrid w:val="0"/>
                    <w:jc w:val="center"/>
                    <w:rPr>
                      <w:snapToGrid w:val="0"/>
                      <w:color w:val="auto"/>
                      <w:kern w:val="0"/>
                      <w:szCs w:val="21"/>
                    </w:rPr>
                  </w:pPr>
                  <w:r>
                    <w:rPr>
                      <w:rFonts w:hint="eastAsia"/>
                      <w:snapToGrid w:val="0"/>
                      <w:color w:val="auto"/>
                      <w:kern w:val="0"/>
                      <w:szCs w:val="21"/>
                    </w:rPr>
                    <w:t>2022年11月8日</w:t>
                  </w:r>
                </w:p>
              </w:tc>
              <w:tc>
                <w:tcPr>
                  <w:tcW w:w="1876" w:type="dxa"/>
                  <w:tcBorders>
                    <w:top w:val="single" w:color="auto" w:sz="4" w:space="0"/>
                    <w:left w:val="single" w:color="auto" w:sz="4" w:space="0"/>
                    <w:bottom w:val="single" w:color="auto" w:sz="4" w:space="0"/>
                    <w:right w:val="single" w:color="auto" w:sz="4" w:space="0"/>
                  </w:tcBorders>
                  <w:noWrap w:val="0"/>
                  <w:vAlign w:val="center"/>
                </w:tcPr>
                <w:p w14:paraId="28562055">
                  <w:pPr>
                    <w:adjustRightInd w:val="0"/>
                    <w:snapToGrid w:val="0"/>
                    <w:jc w:val="center"/>
                    <w:rPr>
                      <w:snapToGrid w:val="0"/>
                      <w:color w:val="auto"/>
                      <w:kern w:val="0"/>
                      <w:szCs w:val="21"/>
                    </w:rPr>
                  </w:pPr>
                  <w:r>
                    <w:rPr>
                      <w:rFonts w:hint="eastAsia"/>
                      <w:snapToGrid w:val="0"/>
                      <w:color w:val="auto"/>
                      <w:kern w:val="0"/>
                      <w:szCs w:val="21"/>
                      <w:lang w:val="en-US" w:eastAsia="zh-CN"/>
                    </w:rPr>
                    <w:t>台湾省高雄市玻璃厂</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7AC462F">
                  <w:pPr>
                    <w:adjustRightInd w:val="0"/>
                    <w:snapToGrid w:val="0"/>
                    <w:jc w:val="center"/>
                    <w:rPr>
                      <w:snapToGrid w:val="0"/>
                      <w:color w:val="auto"/>
                      <w:kern w:val="0"/>
                      <w:szCs w:val="21"/>
                    </w:rPr>
                  </w:pPr>
                  <w:r>
                    <w:rPr>
                      <w:rFonts w:hAnsi="宋体"/>
                      <w:snapToGrid w:val="0"/>
                      <w:color w:val="auto"/>
                      <w:kern w:val="0"/>
                      <w:szCs w:val="21"/>
                    </w:rPr>
                    <w:t>火灾爆炸</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48BC8597">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车辆自燃引发火灾</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43BBBF9">
                  <w:pPr>
                    <w:adjustRightInd w:val="0"/>
                    <w:snapToGrid w:val="0"/>
                    <w:jc w:val="center"/>
                    <w:rPr>
                      <w:snapToGrid w:val="0"/>
                      <w:color w:val="auto"/>
                      <w:kern w:val="0"/>
                      <w:szCs w:val="21"/>
                    </w:rPr>
                  </w:pPr>
                  <w:r>
                    <w:rPr>
                      <w:rFonts w:hAnsi="宋体"/>
                      <w:snapToGrid w:val="0"/>
                      <w:color w:val="auto"/>
                      <w:kern w:val="0"/>
                      <w:szCs w:val="21"/>
                    </w:rPr>
                    <w:t>大气、地表水污染</w:t>
                  </w:r>
                </w:p>
              </w:tc>
            </w:tr>
          </w:tbl>
          <w:p w14:paraId="193C7278">
            <w:pPr>
              <w:pStyle w:val="140"/>
              <w:pageBreakBefore w:val="0"/>
              <w:widowControl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Cs/>
                <w:color w:val="auto"/>
                <w:kern w:val="24"/>
                <w:sz w:val="21"/>
                <w:szCs w:val="21"/>
              </w:rPr>
              <w:t>根据上述风险识别分析可知，涉及到员工操作环节等存在较大风险，因此扩建项目</w:t>
            </w:r>
            <w:r>
              <w:rPr>
                <w:rFonts w:hint="eastAsia"/>
                <w:bCs/>
                <w:color w:val="auto"/>
                <w:kern w:val="24"/>
                <w:sz w:val="21"/>
                <w:szCs w:val="21"/>
                <w:lang w:val="en-US" w:eastAsia="zh-CN"/>
              </w:rPr>
              <w:t>燃料储罐、</w:t>
            </w:r>
            <w:r>
              <w:rPr>
                <w:rFonts w:hint="eastAsia"/>
                <w:bCs/>
                <w:color w:val="auto"/>
                <w:kern w:val="24"/>
                <w:sz w:val="21"/>
                <w:szCs w:val="21"/>
              </w:rPr>
              <w:t>装置区存在较大环境风险。</w:t>
            </w:r>
          </w:p>
          <w:p w14:paraId="4DFA6156">
            <w:pPr>
              <w:pStyle w:val="4"/>
              <w:pageBreakBefore w:val="0"/>
              <w:widowControl w:val="0"/>
              <w:numPr>
                <w:ilvl w:val="0"/>
                <w:numId w:val="0"/>
              </w:numPr>
              <w:kinsoku/>
              <w:wordWrap/>
              <w:overflowPunct/>
              <w:topLinePunct w:val="0"/>
              <w:bidi w:val="0"/>
              <w:adjustRightInd/>
              <w:snapToGrid/>
              <w:spacing w:before="0" w:after="0" w:line="360" w:lineRule="auto"/>
              <w:ind w:firstLine="422" w:firstLineChars="200"/>
              <w:jc w:val="left"/>
              <w:textAlignment w:val="auto"/>
              <w:rPr>
                <w:rFonts w:hint="eastAsia"/>
                <w:color w:val="auto"/>
                <w:sz w:val="21"/>
                <w:szCs w:val="21"/>
                <w:lang w:eastAsia="zh-CN"/>
              </w:rPr>
            </w:pPr>
            <w:r>
              <w:rPr>
                <w:rFonts w:hint="eastAsia"/>
                <w:color w:val="auto"/>
                <w:sz w:val="21"/>
                <w:szCs w:val="21"/>
                <w:lang w:eastAsia="zh-CN"/>
              </w:rPr>
              <w:t>（2）事故源强计算</w:t>
            </w:r>
          </w:p>
          <w:p w14:paraId="2876A8A0">
            <w:pPr>
              <w:pStyle w:val="140"/>
              <w:pageBreakBefore w:val="0"/>
              <w:widowControl w:val="0"/>
              <w:kinsoku/>
              <w:wordWrap/>
              <w:overflowPunct/>
              <w:topLinePunct w:val="0"/>
              <w:bidi w:val="0"/>
              <w:adjustRightInd/>
              <w:snapToGrid/>
              <w:ind w:firstLine="420" w:firstLineChars="200"/>
              <w:jc w:val="left"/>
              <w:textAlignment w:val="auto"/>
              <w:rPr>
                <w:rFonts w:hint="eastAsia"/>
                <w:bCs/>
                <w:color w:val="auto"/>
                <w:kern w:val="24"/>
                <w:sz w:val="21"/>
                <w:szCs w:val="21"/>
              </w:rPr>
            </w:pPr>
            <w:r>
              <w:rPr>
                <w:rFonts w:hint="eastAsia"/>
                <w:b w:val="0"/>
                <w:bCs/>
                <w:color w:val="auto"/>
                <w:kern w:val="24"/>
                <w:sz w:val="21"/>
                <w:szCs w:val="21"/>
                <w:lang w:val="en-US" w:eastAsia="zh-CN"/>
              </w:rPr>
              <w:t>本项目使用的燃料有管道天然气、液化天然气、液化石油气，</w:t>
            </w:r>
            <w:r>
              <w:rPr>
                <w:b w:val="0"/>
                <w:bCs/>
                <w:color w:val="auto"/>
                <w:kern w:val="24"/>
                <w:sz w:val="21"/>
                <w:szCs w:val="21"/>
              </w:rPr>
              <w:br w:type="page"/>
            </w:r>
            <w:r>
              <w:rPr>
                <w:rFonts w:hint="eastAsia"/>
                <w:b w:val="0"/>
                <w:bCs/>
                <w:color w:val="auto"/>
                <w:kern w:val="24"/>
                <w:sz w:val="21"/>
                <w:szCs w:val="21"/>
              </w:rPr>
              <w:t>根据</w:t>
            </w:r>
            <w:r>
              <w:rPr>
                <w:bCs/>
                <w:color w:val="auto"/>
                <w:kern w:val="24"/>
                <w:sz w:val="21"/>
                <w:szCs w:val="21"/>
              </w:rPr>
              <w:t>《建设项目环境风险评价技术导则》（HJ/T169-2018）</w:t>
            </w:r>
            <w:r>
              <w:rPr>
                <w:rFonts w:hint="eastAsia"/>
                <w:bCs/>
                <w:color w:val="auto"/>
                <w:kern w:val="24"/>
                <w:sz w:val="21"/>
                <w:szCs w:val="21"/>
                <w:lang w:eastAsia="zh-CN"/>
              </w:rPr>
              <w:t>，设置紧急隔离系统的单元，泄漏时间可设定为10min</w:t>
            </w:r>
            <w:r>
              <w:rPr>
                <w:rFonts w:hint="eastAsia"/>
                <w:bCs/>
                <w:color w:val="auto"/>
                <w:kern w:val="24"/>
                <w:sz w:val="21"/>
                <w:szCs w:val="21"/>
              </w:rPr>
              <w:t>。</w:t>
            </w:r>
          </w:p>
          <w:p w14:paraId="45A5B20E">
            <w:pPr>
              <w:pStyle w:val="140"/>
              <w:pageBreakBefore w:val="0"/>
              <w:widowControl w:val="0"/>
              <w:kinsoku/>
              <w:wordWrap/>
              <w:overflowPunct/>
              <w:topLinePunct w:val="0"/>
              <w:bidi w:val="0"/>
              <w:adjustRightInd/>
              <w:snapToGrid/>
              <w:ind w:firstLine="420" w:firstLineChars="200"/>
              <w:jc w:val="left"/>
              <w:textAlignment w:val="auto"/>
              <w:rPr>
                <w:rFonts w:hint="default" w:ascii="宋体" w:hAnsi="宋体" w:eastAsia="宋体" w:cs="宋体"/>
                <w:b w:val="0"/>
                <w:bCs w:val="0"/>
                <w:color w:val="auto"/>
                <w:sz w:val="21"/>
                <w:szCs w:val="21"/>
                <w:lang w:val="en-US" w:eastAsia="zh-CN"/>
              </w:rPr>
            </w:pPr>
            <w:r>
              <w:rPr>
                <w:rFonts w:ascii="宋体" w:hAnsi="宋体" w:eastAsia="宋体" w:cs="宋体"/>
                <w:b w:val="0"/>
                <w:bCs w:val="0"/>
                <w:color w:val="auto"/>
                <w:sz w:val="21"/>
                <w:szCs w:val="21"/>
              </w:rPr>
              <w:t>液体泄漏速率</w:t>
            </w:r>
            <w:r>
              <w:rPr>
                <w:rFonts w:hint="default" w:ascii="Times New Roman" w:hAnsi="Times New Roman" w:eastAsia="宋体" w:cs="Times New Roman"/>
                <w:b w:val="0"/>
                <w:bCs w:val="0"/>
                <w:color w:val="auto"/>
                <w:sz w:val="21"/>
                <w:szCs w:val="21"/>
                <w:lang w:val="en-US" w:eastAsia="zh-CN"/>
              </w:rPr>
              <w:t>Q</w:t>
            </w:r>
            <w:r>
              <w:rPr>
                <w:rFonts w:hint="eastAsia" w:ascii="TimesNewRomanPS-ItalicMT" w:hAnsi="TimesNewRomanPS-ItalicMT" w:eastAsia="宋体" w:cs="TimesNewRomanPS-ItalicMT"/>
                <w:b w:val="0"/>
                <w:bCs w:val="0"/>
                <w:color w:val="auto"/>
                <w:sz w:val="14"/>
                <w:szCs w:val="14"/>
                <w:lang w:val="en-US" w:eastAsia="zh-CN"/>
              </w:rPr>
              <w:t>L</w:t>
            </w:r>
            <w:r>
              <w:rPr>
                <w:rFonts w:ascii="宋体" w:hAnsi="宋体" w:eastAsia="宋体" w:cs="宋体"/>
                <w:b w:val="0"/>
                <w:bCs w:val="0"/>
                <w:color w:val="auto"/>
                <w:sz w:val="21"/>
                <w:szCs w:val="21"/>
              </w:rPr>
              <w:t>用伯努利方程计算（限制条件为液体在喷口内不应有急骤蒸发）</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由于液化天然气泄漏后根据地形条件、气象条件会形成闪蒸，液化天然气不考虑闪蒸时带走液滴的量，蒸发的液体蒸发系数</w:t>
            </w:r>
            <w:r>
              <w:rPr>
                <w:rFonts w:hint="default" w:ascii="Times New Roman" w:hAnsi="Times New Roman" w:eastAsia="宋体" w:cs="Times New Roman"/>
                <w:b w:val="0"/>
                <w:bCs w:val="0"/>
                <w:color w:val="auto"/>
                <w:sz w:val="21"/>
                <w:szCs w:val="21"/>
                <w:lang w:val="en-US" w:eastAsia="zh-CN"/>
              </w:rPr>
              <w:t>Fv=1.261624861463398，Fv&gt;1.0，</w:t>
            </w:r>
            <w:r>
              <w:rPr>
                <w:rFonts w:hint="eastAsia" w:ascii="宋体" w:hAnsi="宋体" w:eastAsia="宋体" w:cs="宋体"/>
                <w:b w:val="0"/>
                <w:bCs w:val="0"/>
                <w:color w:val="auto"/>
                <w:sz w:val="21"/>
                <w:szCs w:val="21"/>
                <w:lang w:val="en-US" w:eastAsia="zh-CN"/>
              </w:rPr>
              <w:t>液体全部蒸发,因此液化天然气液体泄漏量均为气体蒸发量。液化石油气采用气瓶充装，泄漏量按照单个气瓶在泄露时间内全部挥发计算。液化天然气按照单个储罐泄漏计算风险物质泄漏量。</w:t>
            </w:r>
          </w:p>
          <w:p w14:paraId="3B2365BA">
            <w:pPr>
              <w:pStyle w:val="140"/>
              <w:pageBreakBefore w:val="0"/>
              <w:widowControl w:val="0"/>
              <w:kinsoku/>
              <w:wordWrap/>
              <w:overflowPunct/>
              <w:topLinePunct w:val="0"/>
              <w:bidi w:val="0"/>
              <w:adjustRightInd/>
              <w:snapToGrid/>
              <w:ind w:firstLine="480" w:firstLineChars="200"/>
              <w:jc w:val="center"/>
              <w:textAlignment w:val="auto"/>
              <w:rPr>
                <w:rFonts w:hint="eastAsia"/>
                <w:bCs/>
                <w:color w:val="auto"/>
                <w:kern w:val="24"/>
                <w:sz w:val="21"/>
                <w:szCs w:val="21"/>
              </w:rPr>
            </w:pPr>
            <w:r>
              <w:rPr>
                <w:color w:val="auto"/>
              </w:rPr>
              <w:drawing>
                <wp:inline distT="0" distB="0" distL="114300" distR="114300">
                  <wp:extent cx="2419350" cy="561975"/>
                  <wp:effectExtent l="0" t="0" r="3810" b="1905"/>
                  <wp:docPr id="1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
                          <pic:cNvPicPr>
                            <a:picLocks noChangeAspect="1"/>
                          </pic:cNvPicPr>
                        </pic:nvPicPr>
                        <pic:blipFill>
                          <a:blip r:embed="rId22"/>
                          <a:stretch>
                            <a:fillRect/>
                          </a:stretch>
                        </pic:blipFill>
                        <pic:spPr>
                          <a:xfrm>
                            <a:off x="0" y="0"/>
                            <a:ext cx="2419350" cy="561975"/>
                          </a:xfrm>
                          <a:prstGeom prst="rect">
                            <a:avLst/>
                          </a:prstGeom>
                          <a:noFill/>
                          <a:ln>
                            <a:noFill/>
                          </a:ln>
                        </pic:spPr>
                      </pic:pic>
                    </a:graphicData>
                  </a:graphic>
                </wp:inline>
              </w:drawing>
            </w:r>
          </w:p>
          <w:p w14:paraId="7B5E68BF">
            <w:pPr>
              <w:spacing w:line="360" w:lineRule="auto"/>
              <w:jc w:val="left"/>
              <w:rPr>
                <w:rFonts w:hint="default" w:ascii="Times New Roman" w:hAnsi="Times New Roman" w:cs="Times New Roman"/>
                <w:b w:val="0"/>
                <w:bCs/>
                <w:color w:val="auto"/>
                <w:szCs w:val="21"/>
              </w:rPr>
            </w:pPr>
            <w:r>
              <w:rPr>
                <w:rFonts w:hint="eastAsia" w:hAnsi="宋体"/>
                <w:b/>
                <w:color w:val="auto"/>
                <w:szCs w:val="21"/>
              </w:rPr>
              <w:t>式中：</w:t>
            </w:r>
            <w:r>
              <w:rPr>
                <w:rFonts w:hint="default" w:ascii="Times New Roman" w:hAnsi="Times New Roman" w:cs="Times New Roman"/>
                <w:b w:val="0"/>
                <w:bCs/>
                <w:color w:val="auto"/>
                <w:szCs w:val="21"/>
              </w:rPr>
              <w:t>Q</w:t>
            </w:r>
            <w:r>
              <w:rPr>
                <w:rFonts w:hint="default" w:ascii="Times New Roman" w:hAnsi="Times New Roman" w:cs="Times New Roman"/>
                <w:b w:val="0"/>
                <w:bCs/>
                <w:color w:val="auto"/>
                <w:szCs w:val="21"/>
                <w:vertAlign w:val="subscript"/>
              </w:rPr>
              <w:t>L</w:t>
            </w:r>
            <w:r>
              <w:rPr>
                <w:rFonts w:hint="default" w:ascii="Times New Roman" w:hAnsi="Times New Roman" w:cs="Times New Roman"/>
                <w:b w:val="0"/>
                <w:bCs/>
                <w:color w:val="auto"/>
                <w:szCs w:val="21"/>
              </w:rPr>
              <w:t>——液体泄漏速率，kg/s；</w:t>
            </w:r>
          </w:p>
          <w:p w14:paraId="7E73EDFC">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P——容器内介质压力，Pa；</w:t>
            </w:r>
          </w:p>
          <w:p w14:paraId="6B7C7AEF">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P</w:t>
            </w:r>
            <w:r>
              <w:rPr>
                <w:rFonts w:hint="default" w:ascii="Times New Roman" w:hAnsi="Times New Roman" w:cs="Times New Roman"/>
                <w:b w:val="0"/>
                <w:bCs/>
                <w:color w:val="auto"/>
                <w:szCs w:val="21"/>
                <w:vertAlign w:val="subscript"/>
              </w:rPr>
              <w:t>0</w:t>
            </w:r>
            <w:r>
              <w:rPr>
                <w:rFonts w:hint="default" w:ascii="Times New Roman" w:hAnsi="Times New Roman" w:cs="Times New Roman"/>
                <w:b w:val="0"/>
                <w:bCs/>
                <w:color w:val="auto"/>
                <w:szCs w:val="21"/>
              </w:rPr>
              <w:t>——环境压力，</w:t>
            </w:r>
            <w:r>
              <w:rPr>
                <w:rFonts w:hint="eastAsia" w:ascii="Times New Roman" w:hAnsi="Times New Roman" w:cs="Times New Roman"/>
                <w:b w:val="0"/>
                <w:bCs/>
                <w:color w:val="auto"/>
                <w:szCs w:val="21"/>
                <w:lang w:val="en-US" w:eastAsia="zh-CN"/>
              </w:rPr>
              <w:t>101325</w:t>
            </w:r>
            <w:r>
              <w:rPr>
                <w:rFonts w:hint="default" w:ascii="Times New Roman" w:hAnsi="Times New Roman" w:cs="Times New Roman"/>
                <w:b w:val="0"/>
                <w:bCs/>
                <w:color w:val="auto"/>
                <w:szCs w:val="21"/>
              </w:rPr>
              <w:t>Pa；</w:t>
            </w:r>
          </w:p>
          <w:p w14:paraId="42440977">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ρ——泄漏液体密度，kg/m</w:t>
            </w:r>
            <w:r>
              <w:rPr>
                <w:rFonts w:hint="default" w:ascii="Times New Roman" w:hAnsi="Times New Roman" w:cs="Times New Roman"/>
                <w:b w:val="0"/>
                <w:bCs/>
                <w:color w:val="auto"/>
                <w:szCs w:val="21"/>
                <w:vertAlign w:val="superscript"/>
              </w:rPr>
              <w:t>3</w:t>
            </w:r>
            <w:r>
              <w:rPr>
                <w:rFonts w:hint="default" w:ascii="Times New Roman" w:hAnsi="Times New Roman" w:cs="Times New Roman"/>
                <w:b w:val="0"/>
                <w:bCs/>
                <w:color w:val="auto"/>
                <w:szCs w:val="21"/>
              </w:rPr>
              <w:t>；</w:t>
            </w:r>
          </w:p>
          <w:p w14:paraId="75F6AB4E">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g——重力加速度，9.81m/s</w:t>
            </w:r>
            <w:r>
              <w:rPr>
                <w:rFonts w:hint="default" w:ascii="Times New Roman" w:hAnsi="Times New Roman" w:cs="Times New Roman"/>
                <w:b w:val="0"/>
                <w:bCs/>
                <w:color w:val="auto"/>
                <w:szCs w:val="21"/>
                <w:vertAlign w:val="superscript"/>
              </w:rPr>
              <w:t>2</w:t>
            </w:r>
            <w:r>
              <w:rPr>
                <w:rFonts w:hint="default" w:ascii="Times New Roman" w:hAnsi="Times New Roman" w:cs="Times New Roman"/>
                <w:b w:val="0"/>
                <w:bCs/>
                <w:color w:val="auto"/>
                <w:szCs w:val="21"/>
              </w:rPr>
              <w:t>；</w:t>
            </w:r>
          </w:p>
          <w:p w14:paraId="34BDBA08">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h——裂口之上液位高度，</w:t>
            </w:r>
            <w:r>
              <w:rPr>
                <w:rFonts w:hint="eastAsia" w:ascii="Times New Roman" w:hAnsi="Times New Roman" w:cs="Times New Roman"/>
                <w:b w:val="0"/>
                <w:bCs/>
                <w:color w:val="auto"/>
                <w:szCs w:val="21"/>
                <w:lang w:val="en-US" w:eastAsia="zh-CN"/>
              </w:rPr>
              <w:t>2</w:t>
            </w:r>
            <w:r>
              <w:rPr>
                <w:rFonts w:hint="default" w:ascii="Times New Roman" w:hAnsi="Times New Roman" w:cs="Times New Roman"/>
                <w:b w:val="0"/>
                <w:bCs/>
                <w:color w:val="auto"/>
                <w:szCs w:val="21"/>
              </w:rPr>
              <w:t>m；</w:t>
            </w:r>
          </w:p>
          <w:p w14:paraId="17B54DA8">
            <w:pPr>
              <w:spacing w:line="360" w:lineRule="auto"/>
              <w:ind w:firstLine="630" w:firstLineChars="300"/>
              <w:jc w:val="left"/>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C</w:t>
            </w:r>
            <w:r>
              <w:rPr>
                <w:rFonts w:hint="default" w:ascii="Times New Roman" w:hAnsi="Times New Roman" w:cs="Times New Roman"/>
                <w:b w:val="0"/>
                <w:bCs/>
                <w:color w:val="auto"/>
                <w:szCs w:val="21"/>
                <w:vertAlign w:val="subscript"/>
              </w:rPr>
              <w:t>d</w:t>
            </w:r>
            <w:r>
              <w:rPr>
                <w:rFonts w:hint="default" w:ascii="Times New Roman" w:hAnsi="Times New Roman" w:cs="Times New Roman"/>
                <w:b w:val="0"/>
                <w:bCs/>
                <w:color w:val="auto"/>
                <w:szCs w:val="21"/>
              </w:rPr>
              <w:t>——液体泄漏系数，</w:t>
            </w:r>
            <w:r>
              <w:rPr>
                <w:rFonts w:hint="default" w:ascii="Times New Roman" w:hAnsi="Times New Roman" w:cs="Times New Roman"/>
                <w:b w:val="0"/>
                <w:bCs/>
                <w:color w:val="auto"/>
                <w:szCs w:val="21"/>
                <w:lang w:val="en-US" w:eastAsia="zh-CN"/>
              </w:rPr>
              <w:t>本次选取</w:t>
            </w:r>
            <w:r>
              <w:rPr>
                <w:rFonts w:hint="eastAsia" w:ascii="Times New Roman" w:hAnsi="Times New Roman" w:cs="Times New Roman"/>
                <w:b w:val="0"/>
                <w:bCs/>
                <w:color w:val="auto"/>
                <w:szCs w:val="21"/>
                <w:lang w:val="en-US" w:eastAsia="zh-CN"/>
              </w:rPr>
              <w:t>0.65</w:t>
            </w:r>
            <w:r>
              <w:rPr>
                <w:rFonts w:hint="default" w:ascii="Times New Roman" w:hAnsi="Times New Roman" w:cs="Times New Roman"/>
                <w:b w:val="0"/>
                <w:bCs/>
                <w:color w:val="auto"/>
                <w:szCs w:val="21"/>
              </w:rPr>
              <w:t>；</w:t>
            </w:r>
          </w:p>
          <w:p w14:paraId="7B6C8EDF">
            <w:pPr>
              <w:spacing w:line="360" w:lineRule="auto"/>
              <w:ind w:firstLine="630" w:firstLineChars="300"/>
              <w:jc w:val="left"/>
              <w:rPr>
                <w:rFonts w:hint="default" w:ascii="Times New Roman" w:hAnsi="Times New Roman" w:cs="Times New Roman"/>
                <w:b/>
                <w:color w:val="auto"/>
                <w:szCs w:val="21"/>
              </w:rPr>
            </w:pPr>
            <w:r>
              <w:rPr>
                <w:rFonts w:hint="default" w:ascii="Times New Roman" w:hAnsi="Times New Roman" w:cs="Times New Roman"/>
                <w:b w:val="0"/>
                <w:bCs/>
                <w:color w:val="auto"/>
                <w:szCs w:val="21"/>
              </w:rPr>
              <w:t>A——裂口面积，m</w:t>
            </w:r>
            <w:r>
              <w:rPr>
                <w:rFonts w:hint="default" w:ascii="Times New Roman" w:hAnsi="Times New Roman" w:cs="Times New Roman"/>
                <w:b w:val="0"/>
                <w:bCs/>
                <w:color w:val="auto"/>
                <w:szCs w:val="21"/>
                <w:vertAlign w:val="superscript"/>
              </w:rPr>
              <w:t>2</w:t>
            </w:r>
            <w:r>
              <w:rPr>
                <w:rFonts w:hint="default" w:ascii="Times New Roman" w:hAnsi="Times New Roman" w:cs="Times New Roman"/>
                <w:b w:val="0"/>
                <w:bCs/>
                <w:color w:val="auto"/>
                <w:szCs w:val="21"/>
              </w:rPr>
              <w:t>。</w:t>
            </w:r>
          </w:p>
          <w:p w14:paraId="4FBFA245">
            <w:pPr>
              <w:spacing w:line="360" w:lineRule="auto"/>
              <w:jc w:val="center"/>
              <w:rPr>
                <w:rFonts w:hAnsi="宋体"/>
                <w:b/>
                <w:color w:val="auto"/>
                <w:szCs w:val="21"/>
              </w:rPr>
            </w:pPr>
            <w:r>
              <w:rPr>
                <w:rFonts w:hint="eastAsia" w:hAnsi="宋体"/>
                <w:b/>
                <w:color w:val="auto"/>
                <w:szCs w:val="21"/>
              </w:rPr>
              <w:t xml:space="preserve">表7-22 </w:t>
            </w:r>
            <w:r>
              <w:rPr>
                <w:rFonts w:hAnsi="宋体"/>
                <w:b/>
                <w:color w:val="auto"/>
                <w:szCs w:val="21"/>
              </w:rPr>
              <w:t xml:space="preserve"> </w:t>
            </w:r>
            <w:r>
              <w:rPr>
                <w:rFonts w:hint="eastAsia" w:hAnsi="宋体"/>
                <w:b/>
                <w:color w:val="auto"/>
                <w:szCs w:val="21"/>
                <w:lang w:val="en-US" w:eastAsia="zh-CN"/>
              </w:rPr>
              <w:t>泄漏</w:t>
            </w:r>
            <w:r>
              <w:rPr>
                <w:rFonts w:hint="eastAsia" w:hAnsi="宋体"/>
                <w:b/>
                <w:color w:val="auto"/>
                <w:szCs w:val="21"/>
              </w:rPr>
              <w:t>物质释放量计算一览表</w:t>
            </w:r>
          </w:p>
          <w:tbl>
            <w:tblPr>
              <w:tblStyle w:val="35"/>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200"/>
              <w:gridCol w:w="1125"/>
              <w:gridCol w:w="1470"/>
              <w:gridCol w:w="846"/>
              <w:gridCol w:w="1329"/>
              <w:gridCol w:w="1414"/>
            </w:tblGrid>
            <w:tr w14:paraId="30F5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0" w:type="dxa"/>
                  <w:gridSpan w:val="2"/>
                  <w:noWrap w:val="0"/>
                  <w:vAlign w:val="center"/>
                </w:tcPr>
                <w:p w14:paraId="7207C969">
                  <w:pPr>
                    <w:spacing w:line="360" w:lineRule="auto"/>
                    <w:jc w:val="center"/>
                    <w:rPr>
                      <w:rFonts w:hint="default" w:hAnsi="宋体"/>
                      <w:b/>
                      <w:color w:val="auto"/>
                      <w:szCs w:val="21"/>
                      <w:lang w:val="en-US"/>
                    </w:rPr>
                  </w:pPr>
                  <w:r>
                    <w:rPr>
                      <w:rFonts w:hint="eastAsia" w:hAnsi="宋体"/>
                      <w:b/>
                      <w:color w:val="auto"/>
                      <w:szCs w:val="21"/>
                      <w:lang w:val="en-US" w:eastAsia="zh-CN"/>
                    </w:rPr>
                    <w:t>泄漏物质参数</w:t>
                  </w:r>
                </w:p>
              </w:tc>
              <w:tc>
                <w:tcPr>
                  <w:tcW w:w="3441" w:type="dxa"/>
                  <w:gridSpan w:val="3"/>
                  <w:noWrap w:val="0"/>
                  <w:vAlign w:val="center"/>
                </w:tcPr>
                <w:p w14:paraId="0E22D0F5">
                  <w:pPr>
                    <w:spacing w:line="360" w:lineRule="auto"/>
                    <w:jc w:val="center"/>
                    <w:rPr>
                      <w:rFonts w:hint="eastAsia" w:hAnsi="宋体"/>
                      <w:b/>
                      <w:color w:val="auto"/>
                      <w:szCs w:val="21"/>
                      <w:lang w:val="en-US" w:eastAsia="zh-CN"/>
                    </w:rPr>
                  </w:pPr>
                  <w:r>
                    <w:rPr>
                      <w:rFonts w:hint="eastAsia" w:hAnsi="宋体"/>
                      <w:b/>
                      <w:color w:val="auto"/>
                      <w:szCs w:val="21"/>
                      <w:lang w:val="en-US" w:eastAsia="zh-CN"/>
                    </w:rPr>
                    <w:t>储存参数</w:t>
                  </w:r>
                </w:p>
              </w:tc>
              <w:tc>
                <w:tcPr>
                  <w:tcW w:w="1329" w:type="dxa"/>
                  <w:vMerge w:val="restart"/>
                  <w:noWrap w:val="0"/>
                  <w:vAlign w:val="center"/>
                </w:tcPr>
                <w:p w14:paraId="5CECBA52">
                  <w:pPr>
                    <w:spacing w:line="360" w:lineRule="auto"/>
                    <w:jc w:val="center"/>
                    <w:rPr>
                      <w:rFonts w:hAnsi="宋体"/>
                      <w:b/>
                      <w:color w:val="auto"/>
                      <w:szCs w:val="21"/>
                    </w:rPr>
                  </w:pPr>
                  <w:r>
                    <w:rPr>
                      <w:rFonts w:hint="eastAsia" w:hAnsi="宋体"/>
                      <w:b/>
                      <w:color w:val="auto"/>
                      <w:szCs w:val="21"/>
                      <w:lang w:val="en-US" w:eastAsia="zh-CN"/>
                    </w:rPr>
                    <w:t>泄漏</w:t>
                  </w:r>
                  <w:r>
                    <w:rPr>
                      <w:rFonts w:hint="eastAsia" w:hAnsi="宋体"/>
                      <w:b/>
                      <w:color w:val="auto"/>
                      <w:szCs w:val="21"/>
                    </w:rPr>
                    <w:t>时间</w:t>
                  </w:r>
                </w:p>
              </w:tc>
              <w:tc>
                <w:tcPr>
                  <w:tcW w:w="1414" w:type="dxa"/>
                  <w:vMerge w:val="restart"/>
                  <w:noWrap w:val="0"/>
                  <w:vAlign w:val="center"/>
                </w:tcPr>
                <w:p w14:paraId="54350F1D">
                  <w:pPr>
                    <w:spacing w:line="360" w:lineRule="auto"/>
                    <w:jc w:val="center"/>
                    <w:rPr>
                      <w:rFonts w:hAnsi="宋体"/>
                      <w:b/>
                      <w:color w:val="auto"/>
                      <w:szCs w:val="21"/>
                    </w:rPr>
                  </w:pPr>
                  <w:r>
                    <w:rPr>
                      <w:rFonts w:hint="eastAsia" w:hAnsi="宋体"/>
                      <w:b/>
                      <w:color w:val="auto"/>
                      <w:szCs w:val="21"/>
                      <w:lang w:val="en-US" w:eastAsia="zh-CN"/>
                    </w:rPr>
                    <w:t>泄漏</w:t>
                  </w:r>
                  <w:r>
                    <w:rPr>
                      <w:rFonts w:hint="eastAsia" w:hAnsi="宋体"/>
                      <w:b/>
                      <w:color w:val="auto"/>
                      <w:szCs w:val="21"/>
                    </w:rPr>
                    <w:t>速率</w:t>
                  </w:r>
                </w:p>
              </w:tc>
            </w:tr>
            <w:tr w14:paraId="6376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noWrap w:val="0"/>
                  <w:vAlign w:val="center"/>
                </w:tcPr>
                <w:p w14:paraId="395CEEA6">
                  <w:pPr>
                    <w:spacing w:line="360" w:lineRule="auto"/>
                    <w:jc w:val="center"/>
                    <w:rPr>
                      <w:rFonts w:hint="default" w:hAnsi="宋体"/>
                      <w:b/>
                      <w:color w:val="auto"/>
                      <w:szCs w:val="21"/>
                      <w:lang w:val="en-US" w:eastAsia="zh-CN"/>
                    </w:rPr>
                  </w:pPr>
                  <w:r>
                    <w:rPr>
                      <w:rFonts w:hint="eastAsia" w:hAnsi="宋体"/>
                      <w:b/>
                      <w:color w:val="auto"/>
                      <w:szCs w:val="21"/>
                      <w:lang w:val="en-US" w:eastAsia="zh-CN"/>
                    </w:rPr>
                    <w:t>名称</w:t>
                  </w:r>
                </w:p>
              </w:tc>
              <w:tc>
                <w:tcPr>
                  <w:tcW w:w="1200" w:type="dxa"/>
                  <w:noWrap w:val="0"/>
                  <w:vAlign w:val="center"/>
                </w:tcPr>
                <w:p w14:paraId="5EC8FACE">
                  <w:pPr>
                    <w:spacing w:line="360" w:lineRule="auto"/>
                    <w:jc w:val="center"/>
                    <w:rPr>
                      <w:rFonts w:hint="eastAsia" w:hAnsi="宋体" w:eastAsia="宋体"/>
                      <w:b/>
                      <w:color w:val="auto"/>
                      <w:szCs w:val="21"/>
                      <w:lang w:eastAsia="zh-CN"/>
                    </w:rPr>
                  </w:pPr>
                  <w:r>
                    <w:rPr>
                      <w:rFonts w:hint="eastAsia" w:hAnsi="宋体"/>
                      <w:b/>
                      <w:color w:val="auto"/>
                      <w:szCs w:val="21"/>
                      <w:lang w:val="en-US" w:eastAsia="zh-CN"/>
                    </w:rPr>
                    <w:t>密度</w:t>
                  </w:r>
                </w:p>
              </w:tc>
              <w:tc>
                <w:tcPr>
                  <w:tcW w:w="1125" w:type="dxa"/>
                  <w:noWrap w:val="0"/>
                  <w:vAlign w:val="center"/>
                </w:tcPr>
                <w:p w14:paraId="270B5378">
                  <w:pPr>
                    <w:spacing w:line="360" w:lineRule="auto"/>
                    <w:jc w:val="center"/>
                    <w:rPr>
                      <w:rFonts w:hint="eastAsia" w:hAnsi="宋体" w:eastAsia="宋体"/>
                      <w:b/>
                      <w:color w:val="auto"/>
                      <w:szCs w:val="21"/>
                      <w:lang w:val="en-US" w:eastAsia="zh-CN"/>
                    </w:rPr>
                  </w:pPr>
                  <w:r>
                    <w:rPr>
                      <w:rFonts w:hint="eastAsia" w:hAnsi="宋体"/>
                      <w:b/>
                      <w:color w:val="auto"/>
                      <w:szCs w:val="21"/>
                      <w:lang w:val="en-US" w:eastAsia="zh-CN"/>
                    </w:rPr>
                    <w:t>容器压力</w:t>
                  </w:r>
                </w:p>
              </w:tc>
              <w:tc>
                <w:tcPr>
                  <w:tcW w:w="1470" w:type="dxa"/>
                  <w:noWrap w:val="0"/>
                  <w:vAlign w:val="center"/>
                </w:tcPr>
                <w:p w14:paraId="32A8DC61">
                  <w:pPr>
                    <w:spacing w:line="360" w:lineRule="auto"/>
                    <w:jc w:val="center"/>
                    <w:rPr>
                      <w:rFonts w:hint="default" w:hAnsi="宋体" w:eastAsia="宋体"/>
                      <w:b/>
                      <w:color w:val="auto"/>
                      <w:szCs w:val="21"/>
                      <w:lang w:val="en-US" w:eastAsia="zh-CN"/>
                    </w:rPr>
                  </w:pPr>
                  <w:r>
                    <w:rPr>
                      <w:rFonts w:hint="eastAsia" w:hAnsi="宋体"/>
                      <w:b/>
                      <w:color w:val="auto"/>
                      <w:szCs w:val="21"/>
                      <w:lang w:val="en-US" w:eastAsia="zh-CN"/>
                    </w:rPr>
                    <w:t>裂口面积A</w:t>
                  </w:r>
                </w:p>
              </w:tc>
              <w:tc>
                <w:tcPr>
                  <w:tcW w:w="846" w:type="dxa"/>
                  <w:noWrap w:val="0"/>
                  <w:vAlign w:val="center"/>
                </w:tcPr>
                <w:p w14:paraId="35D85484">
                  <w:pPr>
                    <w:spacing w:line="360" w:lineRule="auto"/>
                    <w:jc w:val="center"/>
                    <w:rPr>
                      <w:rFonts w:hint="default" w:hAnsi="宋体"/>
                      <w:b/>
                      <w:color w:val="auto"/>
                      <w:szCs w:val="21"/>
                      <w:lang w:val="en-US" w:eastAsia="zh-CN"/>
                    </w:rPr>
                  </w:pPr>
                  <w:r>
                    <w:rPr>
                      <w:rFonts w:hint="eastAsia" w:hAnsi="宋体"/>
                      <w:b/>
                      <w:color w:val="auto"/>
                      <w:szCs w:val="21"/>
                      <w:lang w:val="en-US" w:eastAsia="zh-CN"/>
                    </w:rPr>
                    <w:t>h</w:t>
                  </w:r>
                </w:p>
              </w:tc>
              <w:tc>
                <w:tcPr>
                  <w:tcW w:w="1329" w:type="dxa"/>
                  <w:vMerge w:val="continue"/>
                  <w:noWrap w:val="0"/>
                  <w:vAlign w:val="center"/>
                </w:tcPr>
                <w:p w14:paraId="4B2E2AC8">
                  <w:pPr>
                    <w:spacing w:line="360" w:lineRule="auto"/>
                    <w:jc w:val="center"/>
                    <w:rPr>
                      <w:rFonts w:hint="eastAsia" w:hAnsi="宋体"/>
                      <w:b/>
                      <w:color w:val="auto"/>
                      <w:szCs w:val="21"/>
                    </w:rPr>
                  </w:pPr>
                </w:p>
              </w:tc>
              <w:tc>
                <w:tcPr>
                  <w:tcW w:w="1414" w:type="dxa"/>
                  <w:vMerge w:val="continue"/>
                  <w:noWrap w:val="0"/>
                  <w:vAlign w:val="center"/>
                </w:tcPr>
                <w:p w14:paraId="2BBC80C9">
                  <w:pPr>
                    <w:spacing w:line="360" w:lineRule="auto"/>
                    <w:jc w:val="center"/>
                    <w:rPr>
                      <w:rFonts w:hint="eastAsia" w:hAnsi="宋体"/>
                      <w:b/>
                      <w:color w:val="auto"/>
                      <w:szCs w:val="21"/>
                    </w:rPr>
                  </w:pPr>
                </w:p>
              </w:tc>
            </w:tr>
            <w:tr w14:paraId="0745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dxa"/>
                  <w:noWrap w:val="0"/>
                  <w:vAlign w:val="center"/>
                </w:tcPr>
                <w:p w14:paraId="6274327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hAnsi="宋体" w:eastAsia="宋体"/>
                      <w:color w:val="auto"/>
                      <w:szCs w:val="21"/>
                      <w:lang w:eastAsia="zh-CN"/>
                    </w:rPr>
                  </w:pPr>
                  <w:r>
                    <w:rPr>
                      <w:rFonts w:hint="eastAsia" w:hAnsi="宋体"/>
                      <w:color w:val="auto"/>
                      <w:szCs w:val="21"/>
                      <w:lang w:val="en-US" w:eastAsia="zh-CN"/>
                    </w:rPr>
                    <w:t>液化天然气</w:t>
                  </w:r>
                </w:p>
              </w:tc>
              <w:tc>
                <w:tcPr>
                  <w:tcW w:w="1200" w:type="dxa"/>
                  <w:noWrap w:val="0"/>
                  <w:vAlign w:val="center"/>
                </w:tcPr>
                <w:p w14:paraId="762C50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eastAsia="宋体"/>
                      <w:color w:val="auto"/>
                      <w:szCs w:val="21"/>
                      <w:lang w:val="en-US" w:eastAsia="zh-CN"/>
                    </w:rPr>
                  </w:pPr>
                  <w:r>
                    <w:rPr>
                      <w:rFonts w:hint="eastAsia" w:hAnsi="宋体"/>
                      <w:color w:val="auto"/>
                      <w:szCs w:val="21"/>
                      <w:lang w:val="en-US" w:eastAsia="zh-CN"/>
                    </w:rPr>
                    <w:t>0.46g/cm</w:t>
                  </w:r>
                  <w:r>
                    <w:rPr>
                      <w:rFonts w:hint="eastAsia" w:hAnsi="宋体"/>
                      <w:color w:val="auto"/>
                      <w:szCs w:val="21"/>
                      <w:vertAlign w:val="superscript"/>
                      <w:lang w:val="en-US" w:eastAsia="zh-CN"/>
                    </w:rPr>
                    <w:t>3</w:t>
                  </w:r>
                </w:p>
              </w:tc>
              <w:tc>
                <w:tcPr>
                  <w:tcW w:w="1125" w:type="dxa"/>
                  <w:noWrap w:val="0"/>
                  <w:vAlign w:val="center"/>
                </w:tcPr>
                <w:p w14:paraId="14A553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Ansi="宋体"/>
                      <w:color w:val="auto"/>
                      <w:szCs w:val="21"/>
                    </w:rPr>
                  </w:pPr>
                  <w:r>
                    <w:rPr>
                      <w:rFonts w:hint="eastAsia" w:ascii="Times New Roman" w:hAnsi="Times New Roman" w:cs="Times New Roman"/>
                      <w:b w:val="0"/>
                      <w:bCs/>
                      <w:color w:val="auto"/>
                      <w:szCs w:val="21"/>
                      <w:lang w:val="en-US" w:eastAsia="zh-CN"/>
                    </w:rPr>
                    <w:t>800000</w:t>
                  </w:r>
                  <w:r>
                    <w:rPr>
                      <w:rFonts w:hint="default" w:ascii="Times New Roman" w:hAnsi="Times New Roman" w:cs="Times New Roman"/>
                      <w:b w:val="0"/>
                      <w:bCs/>
                      <w:color w:val="auto"/>
                      <w:szCs w:val="21"/>
                    </w:rPr>
                    <w:t>Pa</w:t>
                  </w:r>
                </w:p>
              </w:tc>
              <w:tc>
                <w:tcPr>
                  <w:tcW w:w="1470" w:type="dxa"/>
                  <w:noWrap w:val="0"/>
                  <w:vAlign w:val="center"/>
                </w:tcPr>
                <w:p w14:paraId="6B6D1D7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eastAsia="宋体"/>
                      <w:color w:val="auto"/>
                      <w:szCs w:val="21"/>
                      <w:lang w:val="en-US" w:eastAsia="zh-CN"/>
                    </w:rPr>
                  </w:pPr>
                  <w:r>
                    <w:rPr>
                      <w:rFonts w:hint="eastAsia" w:hAnsi="宋体"/>
                      <w:color w:val="auto"/>
                      <w:szCs w:val="21"/>
                      <w:lang w:val="en-US" w:eastAsia="zh-CN"/>
                    </w:rPr>
                    <w:t>0.0000785</w:t>
                  </w:r>
                  <w:r>
                    <w:rPr>
                      <w:rFonts w:hint="default" w:ascii="Times New Roman" w:hAnsi="Times New Roman" w:cs="Times New Roman"/>
                      <w:b w:val="0"/>
                      <w:bCs/>
                      <w:color w:val="auto"/>
                      <w:szCs w:val="21"/>
                    </w:rPr>
                    <w:t>m</w:t>
                  </w:r>
                  <w:r>
                    <w:rPr>
                      <w:rFonts w:hint="default" w:ascii="Times New Roman" w:hAnsi="Times New Roman" w:cs="Times New Roman"/>
                      <w:b w:val="0"/>
                      <w:bCs/>
                      <w:color w:val="auto"/>
                      <w:szCs w:val="21"/>
                      <w:vertAlign w:val="superscript"/>
                    </w:rPr>
                    <w:t>2</w:t>
                  </w:r>
                </w:p>
              </w:tc>
              <w:tc>
                <w:tcPr>
                  <w:tcW w:w="846" w:type="dxa"/>
                  <w:noWrap w:val="0"/>
                  <w:vAlign w:val="center"/>
                </w:tcPr>
                <w:p w14:paraId="4F5F8BD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2m</w:t>
                  </w:r>
                </w:p>
              </w:tc>
              <w:tc>
                <w:tcPr>
                  <w:tcW w:w="1329" w:type="dxa"/>
                  <w:noWrap w:val="0"/>
                  <w:vAlign w:val="center"/>
                </w:tcPr>
                <w:p w14:paraId="1194A1D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Ansi="宋体"/>
                      <w:color w:val="auto"/>
                      <w:szCs w:val="21"/>
                    </w:rPr>
                  </w:pPr>
                  <w:r>
                    <w:rPr>
                      <w:rFonts w:hint="eastAsia" w:hAnsi="宋体"/>
                      <w:color w:val="auto"/>
                      <w:szCs w:val="21"/>
                      <w:lang w:val="en-US" w:eastAsia="zh-CN"/>
                    </w:rPr>
                    <w:t>10</w:t>
                  </w:r>
                  <w:r>
                    <w:rPr>
                      <w:rFonts w:hint="eastAsia" w:hAnsi="宋体"/>
                      <w:color w:val="auto"/>
                      <w:szCs w:val="21"/>
                    </w:rPr>
                    <w:t>min</w:t>
                  </w:r>
                </w:p>
              </w:tc>
              <w:tc>
                <w:tcPr>
                  <w:tcW w:w="1414" w:type="dxa"/>
                  <w:noWrap w:val="0"/>
                  <w:vAlign w:val="center"/>
                </w:tcPr>
                <w:p w14:paraId="73DB72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Ansi="宋体"/>
                      <w:color w:val="auto"/>
                      <w:szCs w:val="21"/>
                    </w:rPr>
                  </w:pPr>
                  <w:r>
                    <w:rPr>
                      <w:rFonts w:hint="eastAsia" w:hAnsi="宋体"/>
                      <w:color w:val="auto"/>
                      <w:szCs w:val="21"/>
                      <w:lang w:val="en-US" w:eastAsia="zh-CN"/>
                    </w:rPr>
                    <w:t>1.302</w:t>
                  </w:r>
                  <w:r>
                    <w:rPr>
                      <w:rFonts w:hint="eastAsia" w:hAnsi="宋体"/>
                      <w:color w:val="auto"/>
                      <w:szCs w:val="21"/>
                    </w:rPr>
                    <w:t>kg/s</w:t>
                  </w:r>
                </w:p>
              </w:tc>
            </w:tr>
            <w:tr w14:paraId="115E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dxa"/>
                  <w:noWrap w:val="0"/>
                  <w:vAlign w:val="center"/>
                </w:tcPr>
                <w:p w14:paraId="525CD93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液化石油气</w:t>
                  </w:r>
                </w:p>
              </w:tc>
              <w:tc>
                <w:tcPr>
                  <w:tcW w:w="1200" w:type="dxa"/>
                  <w:noWrap w:val="0"/>
                  <w:vAlign w:val="center"/>
                </w:tcPr>
                <w:p w14:paraId="15E4EEF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eastAsia="宋体"/>
                      <w:color w:val="auto"/>
                      <w:szCs w:val="21"/>
                      <w:lang w:val="en-US" w:eastAsia="zh-CN"/>
                    </w:rPr>
                  </w:pPr>
                  <w:r>
                    <w:rPr>
                      <w:rFonts w:hint="eastAsia" w:hAnsi="宋体"/>
                      <w:color w:val="auto"/>
                      <w:szCs w:val="21"/>
                      <w:lang w:val="en-US" w:eastAsia="zh-CN"/>
                    </w:rPr>
                    <w:t>0.58</w:t>
                  </w:r>
                  <w:r>
                    <w:rPr>
                      <w:rFonts w:hint="eastAsia" w:hAnsi="宋体"/>
                      <w:color w:val="auto"/>
                      <w:szCs w:val="21"/>
                      <w:lang w:val="en-US" w:eastAsia="zh-CN"/>
                    </w:rPr>
                    <w:t>g/cm</w:t>
                  </w:r>
                  <w:r>
                    <w:rPr>
                      <w:rFonts w:hint="eastAsia" w:hAnsi="宋体"/>
                      <w:color w:val="auto"/>
                      <w:szCs w:val="21"/>
                      <w:vertAlign w:val="superscript"/>
                      <w:lang w:val="en-US" w:eastAsia="zh-CN"/>
                    </w:rPr>
                    <w:t>3</w:t>
                  </w:r>
                </w:p>
              </w:tc>
              <w:tc>
                <w:tcPr>
                  <w:tcW w:w="1125" w:type="dxa"/>
                  <w:noWrap w:val="0"/>
                  <w:vAlign w:val="center"/>
                </w:tcPr>
                <w:p w14:paraId="091D159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eastAsia="宋体"/>
                      <w:color w:val="auto"/>
                      <w:szCs w:val="21"/>
                      <w:lang w:val="en-US" w:eastAsia="zh-CN"/>
                    </w:rPr>
                  </w:pPr>
                  <w:r>
                    <w:rPr>
                      <w:rFonts w:hint="eastAsia" w:hAnsi="宋体"/>
                      <w:color w:val="auto"/>
                      <w:szCs w:val="21"/>
                      <w:lang w:val="en-US" w:eastAsia="zh-CN"/>
                    </w:rPr>
                    <w:t>/</w:t>
                  </w:r>
                </w:p>
              </w:tc>
              <w:tc>
                <w:tcPr>
                  <w:tcW w:w="1470" w:type="dxa"/>
                  <w:noWrap w:val="0"/>
                  <w:vAlign w:val="center"/>
                </w:tcPr>
                <w:p w14:paraId="5F707AD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eastAsia="宋体"/>
                      <w:color w:val="auto"/>
                      <w:szCs w:val="21"/>
                      <w:lang w:val="en-US" w:eastAsia="zh-CN"/>
                    </w:rPr>
                  </w:pPr>
                  <w:r>
                    <w:rPr>
                      <w:rFonts w:hint="eastAsia" w:hAnsi="宋体"/>
                      <w:color w:val="auto"/>
                      <w:szCs w:val="21"/>
                      <w:lang w:val="en-US" w:eastAsia="zh-CN"/>
                    </w:rPr>
                    <w:t>50kg/瓶</w:t>
                  </w:r>
                </w:p>
              </w:tc>
              <w:tc>
                <w:tcPr>
                  <w:tcW w:w="846" w:type="dxa"/>
                  <w:noWrap w:val="0"/>
                  <w:vAlign w:val="center"/>
                </w:tcPr>
                <w:p w14:paraId="6E9E51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w:t>
                  </w:r>
                </w:p>
              </w:tc>
              <w:tc>
                <w:tcPr>
                  <w:tcW w:w="1329" w:type="dxa"/>
                  <w:noWrap w:val="0"/>
                  <w:vAlign w:val="center"/>
                </w:tcPr>
                <w:p w14:paraId="38B819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hAnsi="宋体"/>
                      <w:color w:val="auto"/>
                      <w:szCs w:val="21"/>
                    </w:rPr>
                  </w:pPr>
                  <w:r>
                    <w:rPr>
                      <w:rFonts w:hint="eastAsia" w:hAnsi="宋体"/>
                      <w:color w:val="auto"/>
                      <w:szCs w:val="21"/>
                      <w:lang w:val="en-US" w:eastAsia="zh-CN"/>
                    </w:rPr>
                    <w:t>10</w:t>
                  </w:r>
                  <w:r>
                    <w:rPr>
                      <w:rFonts w:hint="eastAsia" w:hAnsi="宋体"/>
                      <w:color w:val="auto"/>
                      <w:szCs w:val="21"/>
                    </w:rPr>
                    <w:t>min</w:t>
                  </w:r>
                </w:p>
              </w:tc>
              <w:tc>
                <w:tcPr>
                  <w:tcW w:w="1414" w:type="dxa"/>
                  <w:noWrap w:val="0"/>
                  <w:vAlign w:val="center"/>
                </w:tcPr>
                <w:p w14:paraId="6BB2A8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hAnsi="宋体"/>
                      <w:color w:val="auto"/>
                      <w:szCs w:val="21"/>
                    </w:rPr>
                  </w:pPr>
                  <w:r>
                    <w:rPr>
                      <w:rFonts w:hint="eastAsia" w:hAnsi="宋体"/>
                      <w:color w:val="auto"/>
                      <w:szCs w:val="21"/>
                      <w:lang w:val="en-US" w:eastAsia="zh-CN"/>
                    </w:rPr>
                    <w:t>0.083</w:t>
                  </w:r>
                  <w:r>
                    <w:rPr>
                      <w:rFonts w:hint="eastAsia" w:hAnsi="宋体"/>
                      <w:color w:val="auto"/>
                      <w:szCs w:val="21"/>
                    </w:rPr>
                    <w:t>kg/s</w:t>
                  </w:r>
                </w:p>
              </w:tc>
            </w:tr>
            <w:tr w14:paraId="6629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dxa"/>
                  <w:noWrap w:val="0"/>
                  <w:vAlign w:val="center"/>
                </w:tcPr>
                <w:p w14:paraId="251BD0E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管道天然气</w:t>
                  </w:r>
                </w:p>
              </w:tc>
              <w:tc>
                <w:tcPr>
                  <w:tcW w:w="1200" w:type="dxa"/>
                  <w:noWrap w:val="0"/>
                  <w:vAlign w:val="center"/>
                </w:tcPr>
                <w:p w14:paraId="1D01A76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0.68k</w:t>
                  </w:r>
                  <w:r>
                    <w:rPr>
                      <w:rFonts w:hint="eastAsia" w:hAnsi="宋体"/>
                      <w:color w:val="auto"/>
                      <w:szCs w:val="21"/>
                      <w:lang w:val="en-US" w:eastAsia="zh-CN"/>
                    </w:rPr>
                    <w:t>g/m</w:t>
                  </w:r>
                  <w:r>
                    <w:rPr>
                      <w:rFonts w:hint="eastAsia" w:hAnsi="宋体"/>
                      <w:color w:val="auto"/>
                      <w:szCs w:val="21"/>
                      <w:vertAlign w:val="superscript"/>
                      <w:lang w:val="en-US" w:eastAsia="zh-CN"/>
                    </w:rPr>
                    <w:t>3</w:t>
                  </w:r>
                </w:p>
              </w:tc>
              <w:tc>
                <w:tcPr>
                  <w:tcW w:w="1125" w:type="dxa"/>
                  <w:noWrap w:val="0"/>
                  <w:vAlign w:val="center"/>
                </w:tcPr>
                <w:p w14:paraId="4000C30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w:t>
                  </w:r>
                </w:p>
              </w:tc>
              <w:tc>
                <w:tcPr>
                  <w:tcW w:w="1470" w:type="dxa"/>
                  <w:noWrap w:val="0"/>
                  <w:vAlign w:val="center"/>
                </w:tcPr>
                <w:p w14:paraId="4BD0175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w:t>
                  </w:r>
                </w:p>
              </w:tc>
              <w:tc>
                <w:tcPr>
                  <w:tcW w:w="846" w:type="dxa"/>
                  <w:noWrap w:val="0"/>
                  <w:vAlign w:val="center"/>
                </w:tcPr>
                <w:p w14:paraId="059D4F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hAnsi="宋体"/>
                      <w:color w:val="auto"/>
                      <w:szCs w:val="21"/>
                      <w:lang w:val="en-US" w:eastAsia="zh-CN"/>
                    </w:rPr>
                  </w:pPr>
                  <w:r>
                    <w:rPr>
                      <w:rFonts w:hint="eastAsia" w:hAnsi="宋体"/>
                      <w:color w:val="auto"/>
                      <w:szCs w:val="21"/>
                      <w:lang w:val="en-US" w:eastAsia="zh-CN"/>
                    </w:rPr>
                    <w:t>/</w:t>
                  </w:r>
                </w:p>
              </w:tc>
              <w:tc>
                <w:tcPr>
                  <w:tcW w:w="1329" w:type="dxa"/>
                  <w:noWrap w:val="0"/>
                  <w:vAlign w:val="center"/>
                </w:tcPr>
                <w:p w14:paraId="7668DA2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hAnsi="宋体"/>
                      <w:color w:val="auto"/>
                      <w:szCs w:val="21"/>
                      <w:lang w:val="en-US" w:eastAsia="zh-CN"/>
                    </w:rPr>
                  </w:pPr>
                  <w:r>
                    <w:rPr>
                      <w:rFonts w:hint="eastAsia" w:hAnsi="宋体"/>
                      <w:color w:val="auto"/>
                      <w:szCs w:val="21"/>
                      <w:lang w:val="en-US" w:eastAsia="zh-CN"/>
                    </w:rPr>
                    <w:t>10</w:t>
                  </w:r>
                  <w:r>
                    <w:rPr>
                      <w:rFonts w:hint="eastAsia" w:hAnsi="宋体"/>
                      <w:color w:val="auto"/>
                      <w:szCs w:val="21"/>
                    </w:rPr>
                    <w:t>min</w:t>
                  </w:r>
                </w:p>
              </w:tc>
              <w:tc>
                <w:tcPr>
                  <w:tcW w:w="1414" w:type="dxa"/>
                  <w:noWrap w:val="0"/>
                  <w:vAlign w:val="center"/>
                </w:tcPr>
                <w:p w14:paraId="2E59A5C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hAnsi="宋体"/>
                      <w:color w:val="auto"/>
                      <w:szCs w:val="21"/>
                      <w:lang w:val="en-US" w:eastAsia="zh-CN"/>
                    </w:rPr>
                  </w:pPr>
                  <w:r>
                    <w:rPr>
                      <w:rFonts w:hint="eastAsia" w:hAnsi="宋体"/>
                      <w:color w:val="auto"/>
                      <w:szCs w:val="21"/>
                      <w:lang w:val="en-US" w:eastAsia="zh-CN"/>
                    </w:rPr>
                    <w:t>0.022</w:t>
                  </w:r>
                  <w:r>
                    <w:rPr>
                      <w:rFonts w:hint="eastAsia" w:hAnsi="宋体"/>
                      <w:color w:val="auto"/>
                      <w:szCs w:val="21"/>
                    </w:rPr>
                    <w:t>kg/s</w:t>
                  </w:r>
                </w:p>
              </w:tc>
            </w:tr>
          </w:tbl>
          <w:p w14:paraId="68526BA8">
            <w:pPr>
              <w:pStyle w:val="140"/>
              <w:ind w:firstLine="422"/>
              <w:rPr>
                <w:rFonts w:hint="default" w:eastAsia="宋体"/>
                <w:b/>
                <w:bCs/>
                <w:color w:val="auto"/>
                <w:kern w:val="24"/>
                <w:sz w:val="21"/>
                <w:szCs w:val="21"/>
                <w:lang w:val="en-US" w:eastAsia="zh-CN"/>
              </w:rPr>
            </w:pPr>
            <w:r>
              <w:rPr>
                <w:rFonts w:hint="default" w:ascii="Times New Roman" w:hAnsi="Times New Roman" w:eastAsia="宋体" w:cs="Times New Roman"/>
                <w:b w:val="0"/>
                <w:bCs w:val="0"/>
                <w:color w:val="auto"/>
                <w:sz w:val="21"/>
                <w:szCs w:val="21"/>
              </w:rPr>
              <w:t>油气长输管线泄漏事故，按管道截面</w:t>
            </w:r>
            <w:r>
              <w:rPr>
                <w:rFonts w:hint="default" w:ascii="Times New Roman" w:hAnsi="Times New Roman" w:eastAsia="TimesNewRomanPSMT" w:cs="Times New Roman"/>
                <w:b w:val="0"/>
                <w:bCs w:val="0"/>
                <w:color w:val="auto"/>
                <w:sz w:val="21"/>
                <w:szCs w:val="21"/>
              </w:rPr>
              <w:t>100%</w:t>
            </w:r>
            <w:r>
              <w:rPr>
                <w:rFonts w:hint="default" w:ascii="Times New Roman" w:hAnsi="Times New Roman" w:eastAsia="宋体" w:cs="Times New Roman"/>
                <w:b w:val="0"/>
                <w:bCs w:val="0"/>
                <w:color w:val="auto"/>
                <w:sz w:val="21"/>
                <w:szCs w:val="21"/>
              </w:rPr>
              <w:t>断裂估算泄漏量，应考虑截断阀启动前、后的泄漏量。</w:t>
            </w:r>
            <w:r>
              <w:rPr>
                <w:rFonts w:hint="default" w:ascii="Times New Roman" w:hAnsi="Times New Roman" w:eastAsia="宋体" w:cs="Times New Roman"/>
                <w:b w:val="0"/>
                <w:bCs w:val="0"/>
                <w:color w:val="auto"/>
                <w:sz w:val="21"/>
                <w:szCs w:val="21"/>
                <w:lang w:val="en-US" w:eastAsia="zh-CN"/>
              </w:rPr>
              <w:t>发生泄漏在厂区关闭截断阀，</w:t>
            </w:r>
            <w:r>
              <w:rPr>
                <w:rFonts w:hint="default" w:ascii="Times New Roman" w:hAnsi="Times New Roman" w:eastAsia="宋体" w:cs="Times New Roman"/>
                <w:b w:val="0"/>
                <w:bCs w:val="0"/>
                <w:color w:val="auto"/>
                <w:sz w:val="21"/>
                <w:szCs w:val="21"/>
                <w:lang w:val="en-US" w:eastAsia="zh-CN"/>
              </w:rPr>
              <w:t>因此天然气管道泄漏按照厂区内管道天然气存在量0.0133t核算。</w:t>
            </w:r>
          </w:p>
          <w:p w14:paraId="2D424F31">
            <w:pPr>
              <w:pStyle w:val="140"/>
              <w:ind w:firstLine="422"/>
              <w:rPr>
                <w:rFonts w:hint="eastAsia"/>
                <w:b/>
                <w:bCs/>
                <w:color w:val="auto"/>
                <w:kern w:val="24"/>
                <w:sz w:val="21"/>
                <w:szCs w:val="21"/>
              </w:rPr>
            </w:pPr>
            <w:r>
              <w:rPr>
                <w:rFonts w:hint="eastAsia"/>
                <w:b/>
                <w:bCs/>
                <w:color w:val="auto"/>
                <w:kern w:val="24"/>
                <w:sz w:val="21"/>
                <w:szCs w:val="21"/>
              </w:rPr>
              <w:t>（3）火灾伴生/次生污染物一氧化碳产生量估算</w:t>
            </w:r>
          </w:p>
          <w:p w14:paraId="664BEE47">
            <w:pPr>
              <w:pStyle w:val="140"/>
              <w:ind w:firstLine="420"/>
              <w:rPr>
                <w:bCs/>
                <w:color w:val="auto"/>
                <w:kern w:val="24"/>
                <w:sz w:val="21"/>
                <w:szCs w:val="21"/>
              </w:rPr>
            </w:pPr>
            <w:r>
              <w:rPr>
                <w:bCs/>
                <w:color w:val="auto"/>
                <w:kern w:val="24"/>
                <w:sz w:val="21"/>
                <w:szCs w:val="21"/>
              </w:rPr>
              <w:t>当</w:t>
            </w:r>
            <w:r>
              <w:rPr>
                <w:rFonts w:hint="eastAsia"/>
                <w:bCs/>
                <w:color w:val="auto"/>
                <w:kern w:val="24"/>
                <w:sz w:val="21"/>
                <w:szCs w:val="21"/>
              </w:rPr>
              <w:t>原料、废油</w:t>
            </w:r>
            <w:r>
              <w:rPr>
                <w:bCs/>
                <w:color w:val="auto"/>
                <w:kern w:val="24"/>
                <w:sz w:val="21"/>
                <w:szCs w:val="21"/>
              </w:rPr>
              <w:t>泄漏发生火灾时，不完全燃烧会产生一氧化碳，</w:t>
            </w:r>
            <w:r>
              <w:rPr>
                <w:rFonts w:hint="eastAsia"/>
                <w:bCs/>
                <w:color w:val="auto"/>
                <w:kern w:val="24"/>
                <w:sz w:val="21"/>
                <w:szCs w:val="21"/>
              </w:rPr>
              <w:t>原料、废油</w:t>
            </w:r>
            <w:r>
              <w:rPr>
                <w:bCs/>
                <w:color w:val="auto"/>
                <w:kern w:val="24"/>
                <w:sz w:val="21"/>
                <w:szCs w:val="21"/>
              </w:rPr>
              <w:t>漏量</w:t>
            </w:r>
            <w:r>
              <w:rPr>
                <w:rFonts w:hint="eastAsia"/>
                <w:bCs/>
                <w:color w:val="auto"/>
                <w:kern w:val="24"/>
                <w:sz w:val="21"/>
                <w:szCs w:val="21"/>
              </w:rPr>
              <w:t>以储存量计</w:t>
            </w:r>
            <w:r>
              <w:rPr>
                <w:bCs/>
                <w:color w:val="auto"/>
                <w:kern w:val="24"/>
                <w:sz w:val="21"/>
                <w:szCs w:val="21"/>
              </w:rPr>
              <w:t>，火灾燃烧持续时间为</w:t>
            </w:r>
            <w:r>
              <w:rPr>
                <w:rFonts w:hint="eastAsia"/>
                <w:bCs/>
                <w:color w:val="auto"/>
                <w:kern w:val="24"/>
                <w:sz w:val="21"/>
                <w:szCs w:val="21"/>
              </w:rPr>
              <w:t>30min</w:t>
            </w:r>
            <w:r>
              <w:rPr>
                <w:bCs/>
                <w:color w:val="auto"/>
                <w:kern w:val="24"/>
                <w:sz w:val="21"/>
                <w:szCs w:val="21"/>
              </w:rPr>
              <w:t>。该时段内一氧化碳产生量根据《建设项目环境风险评价技术导则》（HJ/T169-2018）附录F，火灾事故伴生/次生污染物产生量估算可按照如下公式计算：</w:t>
            </w:r>
          </w:p>
          <w:p w14:paraId="27B20E26">
            <w:pPr>
              <w:pStyle w:val="140"/>
              <w:ind w:firstLine="420"/>
              <w:rPr>
                <w:rFonts w:hint="eastAsia"/>
                <w:bCs/>
                <w:color w:val="auto"/>
                <w:kern w:val="24"/>
                <w:sz w:val="21"/>
                <w:szCs w:val="21"/>
              </w:rPr>
            </w:pPr>
            <w:r>
              <w:rPr>
                <w:rFonts w:hint="eastAsia"/>
                <w:bCs/>
                <w:color w:val="auto"/>
                <w:kern w:val="24"/>
                <w:sz w:val="21"/>
                <w:szCs w:val="21"/>
              </w:rPr>
              <w:t>火灾伴生/次生一氧化碳产生量按下式计算：</w:t>
            </w:r>
          </w:p>
          <w:p w14:paraId="2E143882">
            <w:pPr>
              <w:pStyle w:val="140"/>
              <w:ind w:firstLine="420"/>
              <w:jc w:val="center"/>
              <w:rPr>
                <w:rFonts w:hint="eastAsia"/>
                <w:bCs/>
                <w:color w:val="auto"/>
                <w:kern w:val="24"/>
                <w:sz w:val="21"/>
                <w:szCs w:val="21"/>
              </w:rPr>
            </w:pPr>
            <w:r>
              <w:rPr>
                <w:rFonts w:hint="eastAsia"/>
                <w:bCs/>
                <w:color w:val="auto"/>
                <w:kern w:val="24"/>
                <w:sz w:val="21"/>
                <w:szCs w:val="21"/>
              </w:rPr>
              <w:t>G</w:t>
            </w:r>
            <w:r>
              <w:rPr>
                <w:rFonts w:hint="eastAsia"/>
                <w:bCs/>
                <w:color w:val="auto"/>
                <w:kern w:val="24"/>
                <w:sz w:val="21"/>
                <w:szCs w:val="21"/>
                <w:vertAlign w:val="subscript"/>
              </w:rPr>
              <w:t>一氧化碳</w:t>
            </w:r>
            <w:r>
              <w:rPr>
                <w:rFonts w:hint="eastAsia"/>
                <w:bCs/>
                <w:color w:val="auto"/>
                <w:kern w:val="24"/>
                <w:sz w:val="21"/>
                <w:szCs w:val="21"/>
              </w:rPr>
              <w:t>=2330qCQ</w:t>
            </w:r>
          </w:p>
          <w:p w14:paraId="03165E32">
            <w:pPr>
              <w:pStyle w:val="140"/>
              <w:ind w:firstLine="420"/>
              <w:rPr>
                <w:rFonts w:hint="eastAsia"/>
                <w:bCs/>
                <w:color w:val="auto"/>
                <w:kern w:val="24"/>
                <w:sz w:val="21"/>
                <w:szCs w:val="21"/>
              </w:rPr>
            </w:pPr>
            <w:r>
              <w:rPr>
                <w:rFonts w:hint="eastAsia"/>
                <w:bCs/>
                <w:color w:val="auto"/>
                <w:kern w:val="24"/>
                <w:sz w:val="21"/>
                <w:szCs w:val="21"/>
              </w:rPr>
              <w:t>式中：G</w:t>
            </w:r>
            <w:r>
              <w:rPr>
                <w:rFonts w:hint="eastAsia"/>
                <w:bCs/>
                <w:color w:val="auto"/>
                <w:kern w:val="24"/>
                <w:sz w:val="21"/>
                <w:szCs w:val="21"/>
                <w:vertAlign w:val="subscript"/>
              </w:rPr>
              <w:t>一氧化碳</w:t>
            </w:r>
            <w:r>
              <w:rPr>
                <w:rFonts w:hint="eastAsia"/>
                <w:bCs/>
                <w:color w:val="auto"/>
                <w:kern w:val="24"/>
                <w:sz w:val="21"/>
                <w:szCs w:val="21"/>
              </w:rPr>
              <w:t>—一氧化碳的产生量，kg/s；</w:t>
            </w:r>
          </w:p>
          <w:p w14:paraId="19867F90">
            <w:pPr>
              <w:pStyle w:val="140"/>
              <w:ind w:firstLine="1050" w:firstLineChars="500"/>
              <w:rPr>
                <w:rFonts w:hint="eastAsia"/>
                <w:bCs/>
                <w:color w:val="auto"/>
                <w:kern w:val="24"/>
                <w:sz w:val="21"/>
                <w:szCs w:val="21"/>
              </w:rPr>
            </w:pPr>
            <w:r>
              <w:rPr>
                <w:rFonts w:hint="eastAsia"/>
                <w:bCs/>
                <w:color w:val="auto"/>
                <w:kern w:val="24"/>
                <w:sz w:val="21"/>
                <w:szCs w:val="21"/>
              </w:rPr>
              <w:t>C—物质中碳的含量；</w:t>
            </w:r>
          </w:p>
          <w:p w14:paraId="77B6B16A">
            <w:pPr>
              <w:pStyle w:val="140"/>
              <w:ind w:firstLine="1050" w:firstLineChars="500"/>
              <w:rPr>
                <w:rFonts w:hint="eastAsia"/>
                <w:bCs/>
                <w:color w:val="auto"/>
                <w:kern w:val="24"/>
                <w:sz w:val="21"/>
                <w:szCs w:val="21"/>
              </w:rPr>
            </w:pPr>
            <w:r>
              <w:rPr>
                <w:rFonts w:hint="eastAsia"/>
                <w:bCs/>
                <w:color w:val="auto"/>
                <w:kern w:val="24"/>
                <w:sz w:val="21"/>
                <w:szCs w:val="21"/>
              </w:rPr>
              <w:t>q—化学不完全燃烧值，取1.5%~6.0%，本次取中值3%；</w:t>
            </w:r>
          </w:p>
          <w:p w14:paraId="22AC0AF7">
            <w:pPr>
              <w:pStyle w:val="140"/>
              <w:ind w:firstLine="1050" w:firstLineChars="500"/>
              <w:rPr>
                <w:rFonts w:hint="eastAsia"/>
                <w:bCs/>
                <w:color w:val="auto"/>
                <w:kern w:val="24"/>
                <w:sz w:val="21"/>
                <w:szCs w:val="21"/>
              </w:rPr>
            </w:pPr>
            <w:r>
              <w:rPr>
                <w:rFonts w:hint="eastAsia"/>
                <w:bCs/>
                <w:color w:val="auto"/>
                <w:kern w:val="24"/>
                <w:sz w:val="21"/>
                <w:szCs w:val="21"/>
              </w:rPr>
              <w:t>Q—参与燃烧的物质值，t/s。</w:t>
            </w:r>
          </w:p>
          <w:p w14:paraId="051D2664">
            <w:pPr>
              <w:spacing w:line="360" w:lineRule="auto"/>
              <w:jc w:val="center"/>
              <w:rPr>
                <w:rFonts w:hAnsi="宋体"/>
                <w:b/>
                <w:color w:val="auto"/>
                <w:szCs w:val="21"/>
              </w:rPr>
            </w:pPr>
            <w:r>
              <w:rPr>
                <w:rFonts w:hint="eastAsia" w:hAnsi="宋体"/>
                <w:b/>
                <w:color w:val="auto"/>
                <w:szCs w:val="21"/>
              </w:rPr>
              <w:t xml:space="preserve">表7-23 </w:t>
            </w:r>
            <w:r>
              <w:rPr>
                <w:rFonts w:hAnsi="宋体"/>
                <w:b/>
                <w:color w:val="auto"/>
                <w:szCs w:val="21"/>
              </w:rPr>
              <w:t xml:space="preserve"> </w:t>
            </w:r>
            <w:r>
              <w:rPr>
                <w:rFonts w:hint="eastAsia" w:hAnsi="宋体"/>
                <w:b/>
                <w:color w:val="auto"/>
                <w:szCs w:val="21"/>
              </w:rPr>
              <w:t>风险物质不完全燃烧CO产生量计算一览表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992"/>
              <w:gridCol w:w="914"/>
              <w:gridCol w:w="1860"/>
              <w:gridCol w:w="1770"/>
              <w:gridCol w:w="1743"/>
            </w:tblGrid>
            <w:tr w14:paraId="2D75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noWrap w:val="0"/>
                  <w:vAlign w:val="center"/>
                </w:tcPr>
                <w:p w14:paraId="5B5A379E">
                  <w:pPr>
                    <w:spacing w:line="240" w:lineRule="atLeast"/>
                    <w:jc w:val="center"/>
                    <w:rPr>
                      <w:b/>
                      <w:color w:val="auto"/>
                      <w:szCs w:val="21"/>
                    </w:rPr>
                  </w:pPr>
                  <w:r>
                    <w:rPr>
                      <w:b/>
                      <w:color w:val="auto"/>
                      <w:szCs w:val="21"/>
                    </w:rPr>
                    <w:t>有毒有害物质</w:t>
                  </w:r>
                </w:p>
              </w:tc>
              <w:tc>
                <w:tcPr>
                  <w:tcW w:w="992" w:type="dxa"/>
                  <w:noWrap w:val="0"/>
                  <w:vAlign w:val="center"/>
                </w:tcPr>
                <w:p w14:paraId="76765DFB">
                  <w:pPr>
                    <w:spacing w:line="240" w:lineRule="atLeast"/>
                    <w:jc w:val="center"/>
                    <w:rPr>
                      <w:b/>
                      <w:color w:val="auto"/>
                      <w:szCs w:val="21"/>
                    </w:rPr>
                  </w:pPr>
                  <w:r>
                    <w:rPr>
                      <w:b/>
                      <w:color w:val="auto"/>
                      <w:szCs w:val="21"/>
                    </w:rPr>
                    <w:t>存储量</w:t>
                  </w:r>
                </w:p>
              </w:tc>
              <w:tc>
                <w:tcPr>
                  <w:tcW w:w="914" w:type="dxa"/>
                  <w:noWrap w:val="0"/>
                  <w:vAlign w:val="center"/>
                </w:tcPr>
                <w:p w14:paraId="3F1E75D9">
                  <w:pPr>
                    <w:spacing w:line="240" w:lineRule="atLeast"/>
                    <w:jc w:val="center"/>
                    <w:rPr>
                      <w:b/>
                      <w:color w:val="auto"/>
                      <w:szCs w:val="21"/>
                    </w:rPr>
                  </w:pPr>
                  <w:r>
                    <w:rPr>
                      <w:b/>
                      <w:color w:val="auto"/>
                      <w:szCs w:val="21"/>
                    </w:rPr>
                    <w:t>碳含量</w:t>
                  </w:r>
                </w:p>
              </w:tc>
              <w:tc>
                <w:tcPr>
                  <w:tcW w:w="1860" w:type="dxa"/>
                  <w:noWrap w:val="0"/>
                  <w:vAlign w:val="center"/>
                </w:tcPr>
                <w:p w14:paraId="4A9044B8">
                  <w:pPr>
                    <w:spacing w:line="240" w:lineRule="atLeast"/>
                    <w:jc w:val="center"/>
                    <w:rPr>
                      <w:b/>
                      <w:color w:val="auto"/>
                      <w:szCs w:val="21"/>
                    </w:rPr>
                  </w:pPr>
                  <w:r>
                    <w:rPr>
                      <w:b/>
                      <w:bCs/>
                      <w:color w:val="auto"/>
                      <w:kern w:val="24"/>
                      <w:szCs w:val="21"/>
                    </w:rPr>
                    <w:t>化学不完全燃烧值</w:t>
                  </w:r>
                </w:p>
              </w:tc>
              <w:tc>
                <w:tcPr>
                  <w:tcW w:w="1770" w:type="dxa"/>
                  <w:noWrap w:val="0"/>
                  <w:vAlign w:val="center"/>
                </w:tcPr>
                <w:p w14:paraId="3337CA36">
                  <w:pPr>
                    <w:spacing w:line="240" w:lineRule="atLeast"/>
                    <w:jc w:val="center"/>
                    <w:rPr>
                      <w:b/>
                      <w:color w:val="auto"/>
                      <w:szCs w:val="21"/>
                    </w:rPr>
                  </w:pPr>
                  <w:r>
                    <w:rPr>
                      <w:b/>
                      <w:bCs/>
                      <w:color w:val="auto"/>
                      <w:kern w:val="24"/>
                      <w:szCs w:val="21"/>
                    </w:rPr>
                    <w:t>参与燃烧的物质值</w:t>
                  </w:r>
                </w:p>
              </w:tc>
              <w:tc>
                <w:tcPr>
                  <w:tcW w:w="1743" w:type="dxa"/>
                  <w:noWrap w:val="0"/>
                  <w:vAlign w:val="center"/>
                </w:tcPr>
                <w:p w14:paraId="7EC48787">
                  <w:pPr>
                    <w:spacing w:line="240" w:lineRule="atLeast"/>
                    <w:jc w:val="center"/>
                    <w:rPr>
                      <w:b/>
                      <w:color w:val="auto"/>
                      <w:szCs w:val="21"/>
                    </w:rPr>
                  </w:pPr>
                  <w:r>
                    <w:rPr>
                      <w:b/>
                      <w:bCs/>
                      <w:color w:val="auto"/>
                      <w:kern w:val="24"/>
                      <w:szCs w:val="21"/>
                    </w:rPr>
                    <w:t>一氧化碳的产生量</w:t>
                  </w:r>
                </w:p>
              </w:tc>
            </w:tr>
            <w:tr w14:paraId="43BF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noWrap w:val="0"/>
                  <w:vAlign w:val="center"/>
                </w:tcPr>
                <w:p w14:paraId="41B919B2">
                  <w:pPr>
                    <w:spacing w:line="360" w:lineRule="auto"/>
                    <w:jc w:val="center"/>
                    <w:rPr>
                      <w:rFonts w:hint="eastAsia" w:hAnsi="宋体"/>
                      <w:color w:val="auto"/>
                      <w:szCs w:val="21"/>
                    </w:rPr>
                  </w:pPr>
                  <w:r>
                    <w:rPr>
                      <w:rFonts w:hint="eastAsia" w:hAnsi="宋体"/>
                      <w:color w:val="auto"/>
                      <w:szCs w:val="21"/>
                    </w:rPr>
                    <w:t>油类物质</w:t>
                  </w:r>
                </w:p>
              </w:tc>
              <w:tc>
                <w:tcPr>
                  <w:tcW w:w="992" w:type="dxa"/>
                  <w:noWrap w:val="0"/>
                  <w:vAlign w:val="center"/>
                </w:tcPr>
                <w:p w14:paraId="37D39D43">
                  <w:pPr>
                    <w:spacing w:line="360" w:lineRule="auto"/>
                    <w:jc w:val="center"/>
                    <w:rPr>
                      <w:rFonts w:hint="eastAsia" w:hAnsi="宋体"/>
                      <w:color w:val="auto"/>
                      <w:szCs w:val="21"/>
                    </w:rPr>
                  </w:pPr>
                  <w:r>
                    <w:rPr>
                      <w:rFonts w:hint="eastAsia" w:hAnsi="宋体"/>
                      <w:color w:val="auto"/>
                      <w:szCs w:val="21"/>
                      <w:lang w:val="en-US" w:eastAsia="zh-CN"/>
                    </w:rPr>
                    <w:t>2.36</w:t>
                  </w:r>
                  <w:r>
                    <w:rPr>
                      <w:rFonts w:hint="eastAsia" w:hAnsi="宋体"/>
                      <w:color w:val="auto"/>
                      <w:szCs w:val="21"/>
                    </w:rPr>
                    <w:t>t</w:t>
                  </w:r>
                </w:p>
              </w:tc>
              <w:tc>
                <w:tcPr>
                  <w:tcW w:w="914" w:type="dxa"/>
                  <w:noWrap w:val="0"/>
                  <w:vAlign w:val="center"/>
                </w:tcPr>
                <w:p w14:paraId="5BA9FC44">
                  <w:pPr>
                    <w:spacing w:line="360" w:lineRule="auto"/>
                    <w:jc w:val="center"/>
                    <w:rPr>
                      <w:rFonts w:hint="eastAsia" w:hAnsi="宋体"/>
                      <w:color w:val="auto"/>
                      <w:szCs w:val="21"/>
                    </w:rPr>
                  </w:pPr>
                  <w:r>
                    <w:rPr>
                      <w:rFonts w:hint="eastAsia" w:hAnsi="宋体"/>
                      <w:color w:val="auto"/>
                      <w:szCs w:val="21"/>
                    </w:rPr>
                    <w:t>85%</w:t>
                  </w:r>
                </w:p>
              </w:tc>
              <w:tc>
                <w:tcPr>
                  <w:tcW w:w="1860" w:type="dxa"/>
                  <w:noWrap w:val="0"/>
                  <w:vAlign w:val="center"/>
                </w:tcPr>
                <w:p w14:paraId="16AD33D4">
                  <w:pPr>
                    <w:spacing w:line="360" w:lineRule="auto"/>
                    <w:jc w:val="center"/>
                    <w:rPr>
                      <w:rFonts w:hint="eastAsia" w:hAnsi="宋体"/>
                      <w:color w:val="auto"/>
                      <w:szCs w:val="21"/>
                    </w:rPr>
                  </w:pPr>
                  <w:r>
                    <w:rPr>
                      <w:rFonts w:hint="eastAsia" w:hAnsi="宋体"/>
                      <w:color w:val="auto"/>
                      <w:szCs w:val="21"/>
                      <w:lang w:val="en-US" w:eastAsia="zh-CN"/>
                    </w:rPr>
                    <w:t>3</w:t>
                  </w:r>
                  <w:r>
                    <w:rPr>
                      <w:rFonts w:hint="eastAsia" w:hAnsi="宋体"/>
                      <w:color w:val="auto"/>
                      <w:szCs w:val="21"/>
                    </w:rPr>
                    <w:t>%</w:t>
                  </w:r>
                </w:p>
              </w:tc>
              <w:tc>
                <w:tcPr>
                  <w:tcW w:w="1770" w:type="dxa"/>
                  <w:noWrap w:val="0"/>
                  <w:vAlign w:val="center"/>
                </w:tcPr>
                <w:p w14:paraId="412D023B">
                  <w:pPr>
                    <w:spacing w:line="360" w:lineRule="auto"/>
                    <w:jc w:val="center"/>
                    <w:rPr>
                      <w:rFonts w:hint="eastAsia" w:hAnsi="宋体"/>
                      <w:color w:val="auto"/>
                      <w:szCs w:val="21"/>
                    </w:rPr>
                  </w:pPr>
                  <w:r>
                    <w:rPr>
                      <w:rFonts w:hint="eastAsia" w:hAnsi="宋体"/>
                      <w:color w:val="auto"/>
                      <w:szCs w:val="21"/>
                    </w:rPr>
                    <w:t>0.00</w:t>
                  </w:r>
                  <w:r>
                    <w:rPr>
                      <w:rFonts w:hint="eastAsia" w:hAnsi="宋体"/>
                      <w:color w:val="auto"/>
                      <w:szCs w:val="21"/>
                      <w:lang w:val="en-US" w:eastAsia="zh-CN"/>
                    </w:rPr>
                    <w:t>13</w:t>
                  </w:r>
                  <w:r>
                    <w:rPr>
                      <w:rFonts w:hint="eastAsia"/>
                      <w:bCs/>
                      <w:color w:val="auto"/>
                      <w:kern w:val="24"/>
                      <w:szCs w:val="21"/>
                    </w:rPr>
                    <w:t>t/s</w:t>
                  </w:r>
                </w:p>
              </w:tc>
              <w:tc>
                <w:tcPr>
                  <w:tcW w:w="1743" w:type="dxa"/>
                  <w:noWrap w:val="0"/>
                  <w:vAlign w:val="center"/>
                </w:tcPr>
                <w:p w14:paraId="3E6BE23A">
                  <w:pPr>
                    <w:spacing w:line="360" w:lineRule="auto"/>
                    <w:jc w:val="center"/>
                    <w:rPr>
                      <w:rFonts w:hAnsi="宋体"/>
                      <w:color w:val="auto"/>
                      <w:szCs w:val="21"/>
                    </w:rPr>
                  </w:pPr>
                  <w:r>
                    <w:rPr>
                      <w:rFonts w:hint="eastAsia"/>
                      <w:bCs/>
                      <w:color w:val="auto"/>
                      <w:kern w:val="24"/>
                      <w:szCs w:val="21"/>
                    </w:rPr>
                    <w:t>0.0</w:t>
                  </w:r>
                  <w:r>
                    <w:rPr>
                      <w:rFonts w:hint="eastAsia"/>
                      <w:bCs/>
                      <w:color w:val="auto"/>
                      <w:kern w:val="24"/>
                      <w:szCs w:val="21"/>
                      <w:lang w:val="en-US" w:eastAsia="zh-CN"/>
                    </w:rPr>
                    <w:t>772</w:t>
                  </w:r>
                  <w:r>
                    <w:rPr>
                      <w:rFonts w:hint="eastAsia"/>
                      <w:bCs/>
                      <w:color w:val="auto"/>
                      <w:kern w:val="24"/>
                      <w:szCs w:val="21"/>
                    </w:rPr>
                    <w:t>kg/s</w:t>
                  </w:r>
                </w:p>
              </w:tc>
            </w:tr>
          </w:tbl>
          <w:p w14:paraId="6B5A928C">
            <w:pPr>
              <w:pStyle w:val="3"/>
              <w:numPr>
                <w:ilvl w:val="0"/>
                <w:numId w:val="0"/>
              </w:numPr>
              <w:spacing w:before="0" w:after="0" w:line="360" w:lineRule="auto"/>
              <w:jc w:val="left"/>
              <w:rPr>
                <w:color w:val="auto"/>
                <w:sz w:val="21"/>
                <w:szCs w:val="21"/>
              </w:rPr>
            </w:pPr>
            <w:r>
              <w:rPr>
                <w:rFonts w:hint="eastAsia"/>
                <w:color w:val="auto"/>
                <w:sz w:val="21"/>
                <w:szCs w:val="21"/>
              </w:rPr>
              <w:t>10、风险预测与评价</w:t>
            </w:r>
          </w:p>
          <w:p w14:paraId="136E82FB">
            <w:pPr>
              <w:pStyle w:val="3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1</w:t>
            </w:r>
            <w:r>
              <w:rPr>
                <w:rFonts w:hint="eastAsia" w:ascii="Times New Roman" w:hAnsi="Times New Roman"/>
                <w:b/>
                <w:bCs/>
                <w:color w:val="auto"/>
                <w:sz w:val="21"/>
                <w:szCs w:val="21"/>
                <w:lang w:eastAsia="zh-CN"/>
              </w:rPr>
              <w:t>）</w:t>
            </w:r>
            <w:r>
              <w:rPr>
                <w:rFonts w:ascii="Times New Roman" w:hAnsi="Times New Roman"/>
                <w:b/>
                <w:bCs/>
                <w:color w:val="auto"/>
                <w:sz w:val="21"/>
                <w:szCs w:val="21"/>
              </w:rPr>
              <w:t>、预测模型</w:t>
            </w:r>
          </w:p>
          <w:p w14:paraId="745C98B8">
            <w:pPr>
              <w:pStyle w:val="30"/>
              <w:spacing w:before="0" w:beforeAutospacing="0" w:after="0" w:afterAutospacing="0" w:line="360" w:lineRule="auto"/>
              <w:ind w:firstLine="420" w:firstLineChars="200"/>
              <w:rPr>
                <w:rFonts w:ascii="Times New Roman" w:hAnsi="Times New Roman"/>
                <w:color w:val="auto"/>
                <w:sz w:val="21"/>
                <w:szCs w:val="21"/>
              </w:rPr>
            </w:pPr>
            <w:r>
              <w:rPr>
                <w:rFonts w:ascii="Times New Roman" w:hAnsi="Times New Roman"/>
                <w:color w:val="auto"/>
                <w:sz w:val="21"/>
                <w:szCs w:val="21"/>
              </w:rPr>
              <w:t>判定连续排放还是瞬时排放，可以通过对比排放时间</w:t>
            </w:r>
            <w:r>
              <w:rPr>
                <w:rFonts w:ascii="Times New Roman" w:hAnsi="Times New Roman"/>
                <w:i/>
                <w:iCs/>
                <w:color w:val="auto"/>
                <w:sz w:val="21"/>
                <w:szCs w:val="21"/>
              </w:rPr>
              <w:t>T</w:t>
            </w:r>
            <w:r>
              <w:rPr>
                <w:rFonts w:ascii="Times New Roman" w:hAnsi="Times New Roman"/>
                <w:color w:val="auto"/>
                <w:sz w:val="21"/>
                <w:szCs w:val="21"/>
              </w:rPr>
              <w:t>d和污染物到达最近的受体点（网格点或敏感点）的时间T确定。</w:t>
            </w:r>
          </w:p>
          <w:p w14:paraId="211828DB">
            <w:pPr>
              <w:pStyle w:val="30"/>
              <w:spacing w:before="0" w:beforeAutospacing="0" w:after="0" w:afterAutospacing="0" w:line="360" w:lineRule="auto"/>
              <w:ind w:firstLine="420" w:firstLineChars="200"/>
              <w:jc w:val="center"/>
              <w:rPr>
                <w:rFonts w:ascii="Times New Roman" w:hAnsi="Times New Roman"/>
                <w:color w:val="auto"/>
                <w:sz w:val="21"/>
                <w:szCs w:val="21"/>
              </w:rPr>
            </w:pPr>
            <w:r>
              <w:rPr>
                <w:rFonts w:ascii="Times New Roman" w:hAnsi="Times New Roman"/>
                <w:color w:val="auto"/>
                <w:sz w:val="21"/>
                <w:szCs w:val="21"/>
              </w:rPr>
              <w:t>T=2X/Ur</w:t>
            </w:r>
          </w:p>
          <w:p w14:paraId="1A7ACBF1">
            <w:pPr>
              <w:pStyle w:val="30"/>
              <w:spacing w:before="0" w:beforeAutospacing="0" w:after="0" w:afterAutospacing="0" w:line="360" w:lineRule="auto"/>
              <w:ind w:firstLine="420" w:firstLineChars="200"/>
              <w:rPr>
                <w:rFonts w:ascii="Times New Roman" w:hAnsi="Times New Roman"/>
                <w:color w:val="auto"/>
                <w:sz w:val="21"/>
                <w:szCs w:val="21"/>
                <w:lang w:val="zh-CN"/>
              </w:rPr>
            </w:pPr>
            <w:r>
              <w:rPr>
                <w:rFonts w:ascii="Times New Roman" w:hAnsi="Times New Roman"/>
                <w:color w:val="auto"/>
                <w:sz w:val="21"/>
                <w:szCs w:val="21"/>
                <w:lang w:val="zh-CN"/>
              </w:rPr>
              <w:t>式中：X——事故发生地与计算点的距离，m；</w:t>
            </w:r>
          </w:p>
          <w:p w14:paraId="0009D188">
            <w:pPr>
              <w:pStyle w:val="30"/>
              <w:spacing w:before="0" w:beforeAutospacing="0" w:after="0" w:afterAutospacing="0" w:line="360" w:lineRule="auto"/>
              <w:ind w:firstLine="420" w:firstLineChars="200"/>
              <w:rPr>
                <w:rFonts w:ascii="Times New Roman" w:hAnsi="Times New Roman"/>
                <w:color w:val="auto"/>
                <w:sz w:val="21"/>
                <w:szCs w:val="21"/>
                <w:lang w:val="zh-CN"/>
              </w:rPr>
            </w:pPr>
            <w:r>
              <w:rPr>
                <w:rFonts w:ascii="Times New Roman" w:hAnsi="Times New Roman"/>
                <w:color w:val="auto"/>
                <w:sz w:val="21"/>
                <w:szCs w:val="21"/>
                <w:lang w:val="zh-CN"/>
              </w:rPr>
              <w:t>Ur——10m高处风速，m/s。假设风速和风向在T时间段内保持不变。</w:t>
            </w:r>
          </w:p>
          <w:p w14:paraId="48E540B1">
            <w:pPr>
              <w:pStyle w:val="30"/>
              <w:spacing w:before="0" w:beforeAutospacing="0" w:after="0" w:afterAutospacing="0" w:line="360" w:lineRule="auto"/>
              <w:ind w:firstLine="420" w:firstLineChars="200"/>
              <w:rPr>
                <w:rFonts w:ascii="Times New Roman" w:hAnsi="Times New Roman"/>
                <w:color w:val="auto"/>
                <w:sz w:val="21"/>
                <w:szCs w:val="21"/>
                <w:lang w:val="zh-CN"/>
              </w:rPr>
            </w:pPr>
            <w:r>
              <w:rPr>
                <w:rFonts w:hint="eastAsia" w:ascii="Times New Roman" w:hAnsi="Times New Roman"/>
                <w:color w:val="auto"/>
                <w:sz w:val="21"/>
                <w:szCs w:val="21"/>
                <w:lang w:val="zh-CN"/>
              </w:rPr>
              <w:t>事故</w:t>
            </w:r>
            <w:r>
              <w:rPr>
                <w:rFonts w:ascii="Times New Roman" w:hAnsi="Times New Roman"/>
                <w:color w:val="auto"/>
                <w:sz w:val="21"/>
                <w:szCs w:val="21"/>
                <w:lang w:val="zh-CN"/>
              </w:rPr>
              <w:t>排放时间Td为</w:t>
            </w:r>
            <w:r>
              <w:rPr>
                <w:rFonts w:hint="eastAsia" w:ascii="Times New Roman" w:hAnsi="Times New Roman"/>
                <w:color w:val="auto"/>
                <w:sz w:val="21"/>
                <w:szCs w:val="21"/>
              </w:rPr>
              <w:t>30</w:t>
            </w:r>
            <w:r>
              <w:rPr>
                <w:rFonts w:ascii="Times New Roman" w:hAnsi="Times New Roman"/>
                <w:color w:val="auto"/>
                <w:sz w:val="21"/>
                <w:szCs w:val="21"/>
                <w:lang w:val="zh-CN"/>
              </w:rPr>
              <w:t>min，事故发生地与最近的敏感点（距离为</w:t>
            </w:r>
            <w:r>
              <w:rPr>
                <w:rFonts w:hint="eastAsia" w:ascii="Times New Roman" w:hAnsi="Times New Roman"/>
                <w:color w:val="auto"/>
                <w:sz w:val="21"/>
                <w:szCs w:val="21"/>
                <w:lang w:val="en-US" w:eastAsia="zh-CN"/>
              </w:rPr>
              <w:t>75</w:t>
            </w:r>
            <w:r>
              <w:rPr>
                <w:rFonts w:ascii="Times New Roman" w:hAnsi="Times New Roman"/>
                <w:color w:val="auto"/>
                <w:sz w:val="21"/>
                <w:szCs w:val="21"/>
                <w:lang w:val="zh-CN"/>
              </w:rPr>
              <w:t>m</w:t>
            </w:r>
            <w:r>
              <w:rPr>
                <w:rFonts w:hint="eastAsia" w:ascii="Times New Roman" w:hAnsi="Times New Roman"/>
                <w:color w:val="auto"/>
                <w:sz w:val="21"/>
                <w:szCs w:val="21"/>
                <w:lang w:val="zh-CN"/>
              </w:rPr>
              <w:t>）</w:t>
            </w:r>
            <w:r>
              <w:rPr>
                <w:rFonts w:ascii="Times New Roman" w:hAnsi="Times New Roman"/>
                <w:color w:val="auto"/>
                <w:sz w:val="21"/>
                <w:szCs w:val="21"/>
                <w:lang w:val="zh-CN"/>
              </w:rPr>
              <w:t>；区域10m高处风速2.</w:t>
            </w:r>
            <w:r>
              <w:rPr>
                <w:rFonts w:hint="eastAsia" w:ascii="Times New Roman" w:hAnsi="Times New Roman"/>
                <w:color w:val="auto"/>
                <w:sz w:val="21"/>
                <w:szCs w:val="21"/>
              </w:rPr>
              <w:t>5</w:t>
            </w:r>
            <w:r>
              <w:rPr>
                <w:rFonts w:ascii="Times New Roman" w:hAnsi="Times New Roman"/>
                <w:color w:val="auto"/>
                <w:sz w:val="21"/>
                <w:szCs w:val="21"/>
                <w:lang w:val="zh-CN"/>
              </w:rPr>
              <w:t>m/s。计算得T=</w:t>
            </w:r>
            <w:r>
              <w:rPr>
                <w:rFonts w:hint="eastAsia" w:ascii="Times New Roman" w:hAnsi="Times New Roman"/>
                <w:color w:val="auto"/>
                <w:sz w:val="21"/>
                <w:szCs w:val="21"/>
                <w:lang w:val="en-US" w:eastAsia="zh-CN"/>
              </w:rPr>
              <w:t>60</w:t>
            </w:r>
            <w:r>
              <w:rPr>
                <w:rFonts w:ascii="Times New Roman" w:hAnsi="Times New Roman"/>
                <w:color w:val="auto"/>
                <w:sz w:val="21"/>
                <w:szCs w:val="21"/>
                <w:lang w:val="zh-CN"/>
              </w:rPr>
              <w:t>s。当Td＞T时，可认为是连续排放。因此，有毒有害物质泄漏</w:t>
            </w:r>
            <w:r>
              <w:rPr>
                <w:rFonts w:hint="eastAsia" w:ascii="Times New Roman" w:hAnsi="Times New Roman"/>
                <w:color w:val="auto"/>
                <w:sz w:val="21"/>
                <w:szCs w:val="21"/>
                <w:lang w:val="zh-CN"/>
              </w:rPr>
              <w:t>及火灾</w:t>
            </w:r>
            <w:r>
              <w:rPr>
                <w:rFonts w:hint="eastAsia" w:ascii="Times New Roman" w:hAnsi="Times New Roman"/>
                <w:color w:val="auto"/>
                <w:sz w:val="21"/>
                <w:szCs w:val="21"/>
              </w:rPr>
              <w:t>CO排放</w:t>
            </w:r>
            <w:r>
              <w:rPr>
                <w:rFonts w:ascii="Times New Roman" w:hAnsi="Times New Roman"/>
                <w:color w:val="auto"/>
                <w:sz w:val="21"/>
                <w:szCs w:val="21"/>
                <w:lang w:val="zh-CN"/>
              </w:rPr>
              <w:t>可被认为是连续排放。</w:t>
            </w:r>
          </w:p>
          <w:p w14:paraId="4AB121BD">
            <w:pPr>
              <w:pStyle w:val="30"/>
              <w:spacing w:before="0" w:beforeAutospacing="0" w:after="0" w:afterAutospacing="0" w:line="360" w:lineRule="auto"/>
              <w:ind w:firstLine="420" w:firstLineChars="200"/>
              <w:rPr>
                <w:rFonts w:ascii="Times New Roman" w:hAnsi="Times New Roman"/>
                <w:color w:val="auto"/>
                <w:sz w:val="21"/>
                <w:szCs w:val="21"/>
              </w:rPr>
            </w:pPr>
            <w:r>
              <w:rPr>
                <w:rFonts w:ascii="Times New Roman" w:hAnsi="Times New Roman"/>
                <w:color w:val="auto"/>
                <w:sz w:val="21"/>
                <w:szCs w:val="21"/>
              </w:rPr>
              <w:t>根据附录G中采用理查德森数判断烟团/烟羽是否为重质气体，选择连续排放形式。</w:t>
            </w:r>
          </w:p>
          <w:p w14:paraId="56194E8D">
            <w:pPr>
              <w:pStyle w:val="30"/>
              <w:spacing w:line="360" w:lineRule="auto"/>
              <w:ind w:firstLine="480" w:firstLineChars="200"/>
              <w:rPr>
                <w:rFonts w:ascii="Times New Roman" w:hAnsi="Times New Roman"/>
                <w:color w:val="auto"/>
              </w:rPr>
            </w:pPr>
            <w:r>
              <w:rPr>
                <w:rFonts w:ascii="Times New Roman" w:hAnsi="Times New Roman"/>
                <w:color w:val="auto"/>
              </w:rPr>
              <w:drawing>
                <wp:anchor distT="0" distB="0" distL="114300" distR="114300" simplePos="0" relativeHeight="251659264" behindDoc="1" locked="0" layoutInCell="1" allowOverlap="1">
                  <wp:simplePos x="0" y="0"/>
                  <wp:positionH relativeFrom="column">
                    <wp:posOffset>448945</wp:posOffset>
                  </wp:positionH>
                  <wp:positionV relativeFrom="paragraph">
                    <wp:posOffset>97790</wp:posOffset>
                  </wp:positionV>
                  <wp:extent cx="3790950" cy="1057275"/>
                  <wp:effectExtent l="0" t="0" r="3810" b="9525"/>
                  <wp:wrapNone/>
                  <wp:docPr id="1"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97"/>
                          <pic:cNvPicPr>
                            <a:picLocks noChangeAspect="1"/>
                          </pic:cNvPicPr>
                        </pic:nvPicPr>
                        <pic:blipFill>
                          <a:blip r:embed="rId23"/>
                          <a:stretch>
                            <a:fillRect/>
                          </a:stretch>
                        </pic:blipFill>
                        <pic:spPr>
                          <a:xfrm>
                            <a:off x="0" y="0"/>
                            <a:ext cx="3790950" cy="1057275"/>
                          </a:xfrm>
                          <a:prstGeom prst="rect">
                            <a:avLst/>
                          </a:prstGeom>
                          <a:noFill/>
                          <a:ln>
                            <a:noFill/>
                          </a:ln>
                        </pic:spPr>
                      </pic:pic>
                    </a:graphicData>
                  </a:graphic>
                </wp:anchor>
              </w:drawing>
            </w:r>
          </w:p>
          <w:p w14:paraId="3D2631E0">
            <w:pPr>
              <w:pStyle w:val="30"/>
              <w:spacing w:line="360" w:lineRule="auto"/>
              <w:ind w:firstLine="480" w:firstLineChars="200"/>
              <w:rPr>
                <w:rFonts w:ascii="Times New Roman" w:hAnsi="Times New Roman"/>
                <w:color w:val="auto"/>
              </w:rPr>
            </w:pPr>
          </w:p>
          <w:p w14:paraId="71D35DC9">
            <w:pPr>
              <w:pStyle w:val="30"/>
              <w:spacing w:line="360" w:lineRule="auto"/>
              <w:ind w:firstLine="480" w:firstLineChars="200"/>
              <w:rPr>
                <w:rFonts w:ascii="Times New Roman" w:hAnsi="Times New Roman"/>
                <w:color w:val="auto"/>
              </w:rPr>
            </w:pPr>
          </w:p>
          <w:p w14:paraId="79C13148">
            <w:pPr>
              <w:pStyle w:val="30"/>
              <w:adjustRightInd w:val="0"/>
              <w:snapToGrid w:val="0"/>
              <w:spacing w:before="0" w:beforeAutospacing="0" w:after="0" w:afterAutospacing="0" w:line="360" w:lineRule="auto"/>
              <w:ind w:firstLine="420" w:firstLineChars="200"/>
              <w:rPr>
                <w:rFonts w:ascii="Times New Roman" w:hAnsi="Times New Roman"/>
                <w:color w:val="auto"/>
                <w:sz w:val="21"/>
                <w:szCs w:val="21"/>
              </w:rPr>
            </w:pPr>
            <w:r>
              <w:rPr>
                <w:rFonts w:ascii="Times New Roman" w:hAnsi="Times New Roman"/>
                <w:color w:val="auto"/>
                <w:sz w:val="21"/>
                <w:szCs w:val="21"/>
              </w:rPr>
              <w:t>式中：</w:t>
            </w:r>
            <w:r>
              <w:rPr>
                <w:rFonts w:ascii="Times New Roman" w:hAnsi="Times New Roman"/>
                <w:i/>
                <w:iCs/>
                <w:color w:val="auto"/>
                <w:sz w:val="21"/>
                <w:szCs w:val="21"/>
              </w:rPr>
              <w:t>ρ</w:t>
            </w:r>
            <w:r>
              <w:rPr>
                <w:rFonts w:ascii="Times New Roman" w:hAnsi="Times New Roman"/>
                <w:color w:val="auto"/>
                <w:sz w:val="21"/>
                <w:szCs w:val="21"/>
              </w:rPr>
              <w:t>rel——排放物质进入大气的初始密度；</w:t>
            </w:r>
          </w:p>
          <w:p w14:paraId="557CEC0F">
            <w:pPr>
              <w:pStyle w:val="30"/>
              <w:adjustRightInd w:val="0"/>
              <w:snapToGrid w:val="0"/>
              <w:spacing w:before="0" w:beforeAutospacing="0" w:after="0" w:afterAutospacing="0" w:line="360" w:lineRule="auto"/>
              <w:ind w:firstLine="840" w:firstLineChars="400"/>
              <w:rPr>
                <w:rFonts w:ascii="Times New Roman" w:hAnsi="Times New Roman"/>
                <w:color w:val="auto"/>
                <w:sz w:val="21"/>
                <w:szCs w:val="21"/>
              </w:rPr>
            </w:pPr>
            <w:r>
              <w:rPr>
                <w:rFonts w:ascii="Times New Roman" w:hAnsi="Times New Roman"/>
                <w:i/>
                <w:iCs/>
                <w:color w:val="auto"/>
                <w:sz w:val="21"/>
                <w:szCs w:val="21"/>
              </w:rPr>
              <w:t>ρ</w:t>
            </w:r>
            <w:r>
              <w:rPr>
                <w:rFonts w:ascii="Times New Roman" w:hAnsi="Times New Roman"/>
                <w:color w:val="auto"/>
                <w:sz w:val="21"/>
                <w:szCs w:val="21"/>
              </w:rPr>
              <w:t>a——环境空气密度，1.29kg/m</w:t>
            </w:r>
            <w:r>
              <w:rPr>
                <w:rFonts w:ascii="Times New Roman" w:hAnsi="Times New Roman"/>
                <w:color w:val="auto"/>
                <w:sz w:val="21"/>
                <w:szCs w:val="21"/>
                <w:vertAlign w:val="superscript"/>
              </w:rPr>
              <w:t>3</w:t>
            </w:r>
            <w:r>
              <w:rPr>
                <w:rFonts w:ascii="Times New Roman" w:hAnsi="Times New Roman"/>
                <w:color w:val="auto"/>
                <w:sz w:val="21"/>
                <w:szCs w:val="21"/>
              </w:rPr>
              <w:t>；</w:t>
            </w:r>
          </w:p>
          <w:p w14:paraId="1F50FD5F">
            <w:pPr>
              <w:pStyle w:val="30"/>
              <w:adjustRightInd w:val="0"/>
              <w:snapToGrid w:val="0"/>
              <w:spacing w:before="0" w:beforeAutospacing="0" w:after="0" w:afterAutospacing="0" w:line="360" w:lineRule="auto"/>
              <w:ind w:firstLine="840" w:firstLineChars="400"/>
              <w:rPr>
                <w:rFonts w:ascii="Times New Roman" w:hAnsi="Times New Roman"/>
                <w:color w:val="auto"/>
                <w:sz w:val="21"/>
                <w:szCs w:val="21"/>
              </w:rPr>
            </w:pPr>
            <w:r>
              <w:rPr>
                <w:rFonts w:ascii="Times New Roman" w:hAnsi="Times New Roman"/>
                <w:i/>
                <w:iCs/>
                <w:color w:val="auto"/>
                <w:sz w:val="21"/>
                <w:szCs w:val="21"/>
              </w:rPr>
              <w:t>Q</w:t>
            </w:r>
            <w:r>
              <w:rPr>
                <w:rFonts w:ascii="Times New Roman" w:hAnsi="Times New Roman"/>
                <w:color w:val="auto"/>
                <w:sz w:val="21"/>
                <w:szCs w:val="21"/>
              </w:rPr>
              <w:t>——连续排放烟羽的排放速率；</w:t>
            </w:r>
          </w:p>
          <w:p w14:paraId="0A6100AD">
            <w:pPr>
              <w:pStyle w:val="30"/>
              <w:adjustRightInd w:val="0"/>
              <w:snapToGrid w:val="0"/>
              <w:spacing w:before="0" w:beforeAutospacing="0" w:after="0" w:afterAutospacing="0" w:line="360" w:lineRule="auto"/>
              <w:ind w:firstLine="840" w:firstLineChars="400"/>
              <w:rPr>
                <w:rFonts w:ascii="Times New Roman" w:hAnsi="Times New Roman"/>
                <w:color w:val="auto"/>
                <w:sz w:val="21"/>
                <w:szCs w:val="21"/>
              </w:rPr>
            </w:pPr>
            <w:r>
              <w:rPr>
                <w:rFonts w:ascii="Times New Roman" w:hAnsi="Times New Roman"/>
                <w:i/>
                <w:iCs/>
                <w:color w:val="auto"/>
                <w:sz w:val="21"/>
                <w:szCs w:val="21"/>
              </w:rPr>
              <w:t>D</w:t>
            </w:r>
            <w:r>
              <w:rPr>
                <w:rFonts w:ascii="Times New Roman" w:hAnsi="Times New Roman"/>
                <w:color w:val="auto"/>
                <w:sz w:val="21"/>
                <w:szCs w:val="21"/>
              </w:rPr>
              <w:t>rel——初始的烟团宽度；</w:t>
            </w:r>
          </w:p>
          <w:p w14:paraId="726B63B4">
            <w:pPr>
              <w:pStyle w:val="30"/>
              <w:adjustRightInd w:val="0"/>
              <w:snapToGrid w:val="0"/>
              <w:spacing w:before="0" w:beforeAutospacing="0" w:after="0" w:afterAutospacing="0" w:line="360" w:lineRule="auto"/>
              <w:ind w:firstLine="840" w:firstLineChars="400"/>
              <w:rPr>
                <w:rFonts w:hint="eastAsia" w:ascii="Times New Roman" w:hAnsi="Times New Roman"/>
                <w:color w:val="auto"/>
                <w:sz w:val="21"/>
                <w:szCs w:val="21"/>
                <w:lang w:eastAsia="zh-CN"/>
              </w:rPr>
            </w:pPr>
            <w:r>
              <w:rPr>
                <w:rFonts w:ascii="Times New Roman" w:hAnsi="Times New Roman"/>
                <w:i/>
                <w:iCs/>
                <w:color w:val="auto"/>
                <w:sz w:val="21"/>
                <w:szCs w:val="21"/>
              </w:rPr>
              <w:t>U</w:t>
            </w:r>
            <w:r>
              <w:rPr>
                <w:rFonts w:ascii="Times New Roman" w:hAnsi="Times New Roman"/>
                <w:color w:val="auto"/>
                <w:sz w:val="21"/>
                <w:szCs w:val="21"/>
              </w:rPr>
              <w:t>r——10m高处风</w:t>
            </w:r>
            <w:r>
              <w:rPr>
                <w:rFonts w:hint="eastAsia" w:ascii="Times New Roman" w:hAnsi="Times New Roman"/>
                <w:color w:val="auto"/>
                <w:sz w:val="21"/>
                <w:szCs w:val="21"/>
                <w:lang w:eastAsia="zh-CN"/>
              </w:rPr>
              <w:t>。</w:t>
            </w:r>
          </w:p>
          <w:p w14:paraId="68FF97FA">
            <w:pPr>
              <w:pStyle w:val="30"/>
              <w:adjustRightInd w:val="0"/>
              <w:snapToGrid w:val="0"/>
              <w:spacing w:before="0" w:beforeAutospacing="0" w:after="0" w:afterAutospacing="0" w:line="360" w:lineRule="auto"/>
              <w:ind w:firstLine="200"/>
              <w:rPr>
                <w:rFonts w:ascii="Times New Roman" w:hAnsi="Times New Roman"/>
                <w:color w:val="auto"/>
                <w:sz w:val="21"/>
                <w:szCs w:val="21"/>
              </w:rPr>
            </w:pPr>
            <w:r>
              <w:rPr>
                <w:rFonts w:ascii="Times New Roman" w:hAnsi="Times New Roman"/>
                <w:color w:val="auto"/>
                <w:sz w:val="21"/>
                <w:szCs w:val="21"/>
              </w:rPr>
              <w:t>根据《建设项目环境风险评价技术导则》（HJ/T169-2018）附录G，</w:t>
            </w:r>
            <w:r>
              <w:rPr>
                <w:rFonts w:hint="eastAsia" w:ascii="Times New Roman" w:hAnsi="Times New Roman"/>
                <w:color w:val="auto"/>
                <w:sz w:val="21"/>
                <w:szCs w:val="21"/>
              </w:rPr>
              <w:t>因此，本项目有毒有害物质</w:t>
            </w:r>
            <w:r>
              <w:rPr>
                <w:rFonts w:hint="eastAsia" w:ascii="Times New Roman" w:hAnsi="Times New Roman"/>
                <w:color w:val="auto"/>
                <w:sz w:val="21"/>
                <w:szCs w:val="21"/>
                <w:lang w:val="en-US" w:eastAsia="zh-CN"/>
              </w:rPr>
              <w:t>天然气甲烷、丙烷</w:t>
            </w:r>
            <w:r>
              <w:rPr>
                <w:rFonts w:hint="eastAsia" w:ascii="Times New Roman" w:hAnsi="Times New Roman"/>
                <w:color w:val="auto"/>
                <w:sz w:val="21"/>
                <w:szCs w:val="21"/>
              </w:rPr>
              <w:t>小于空气密度，属于轻质气体；</w:t>
            </w:r>
            <w:r>
              <w:rPr>
                <w:rFonts w:hint="eastAsia" w:ascii="Times New Roman" w:hAnsi="Times New Roman"/>
                <w:color w:val="auto"/>
                <w:sz w:val="21"/>
                <w:szCs w:val="21"/>
                <w:lang w:val="en-US" w:eastAsia="zh-CN"/>
              </w:rPr>
              <w:t>火灾、爆炸引发的次生污染物一氧化碳密度也小于空气，</w:t>
            </w:r>
            <w:r>
              <w:rPr>
                <w:rFonts w:ascii="Times New Roman" w:hAnsi="Times New Roman"/>
                <w:color w:val="auto"/>
                <w:sz w:val="21"/>
                <w:szCs w:val="21"/>
              </w:rPr>
              <w:t>属于轻质气体，因此本次评价选择AFTOX模型进行预测</w:t>
            </w:r>
            <w:r>
              <w:rPr>
                <w:rFonts w:hint="eastAsia" w:ascii="Times New Roman" w:hAnsi="Times New Roman"/>
                <w:color w:val="auto"/>
                <w:sz w:val="21"/>
                <w:szCs w:val="21"/>
                <w:lang w:eastAsia="zh-CN"/>
              </w:rPr>
              <w:t>。</w:t>
            </w:r>
            <w:r>
              <w:rPr>
                <w:rFonts w:ascii="Times New Roman" w:hAnsi="Times New Roman"/>
                <w:color w:val="auto"/>
                <w:sz w:val="21"/>
                <w:szCs w:val="21"/>
              </w:rPr>
              <w:t>AFTOX模型适用于平坦地形下中质气体和轻质气体排放以及液池蒸发气体的扩散模拟，可模拟连续排放和瞬时排放，液体或气体，地面源或高架源，点源或面源的指定位置浓度，下风向最大浓度及其位置等，可满足本次评价需求。</w:t>
            </w:r>
          </w:p>
          <w:p w14:paraId="6D4EAEA3">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2）、预测源</w:t>
            </w:r>
          </w:p>
          <w:p w14:paraId="5C1ABA0C">
            <w:pPr>
              <w:pStyle w:val="30"/>
              <w:adjustRightInd w:val="0"/>
              <w:snapToGrid w:val="0"/>
              <w:spacing w:before="0" w:beforeAutospacing="0" w:after="0" w:afterAutospacing="0"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lang w:eastAsia="zh-CN"/>
              </w:rPr>
              <w:t>火灾爆炸事故中有毒有害物质</w:t>
            </w:r>
            <w:r>
              <w:rPr>
                <w:rFonts w:hint="eastAsia" w:ascii="Times New Roman" w:hAnsi="Times New Roman"/>
                <w:color w:val="auto"/>
                <w:sz w:val="21"/>
                <w:szCs w:val="21"/>
              </w:rPr>
              <w:t>泄漏</w:t>
            </w:r>
            <w:r>
              <w:rPr>
                <w:rFonts w:hint="eastAsia" w:ascii="Times New Roman" w:hAnsi="Times New Roman"/>
                <w:color w:val="auto"/>
                <w:sz w:val="21"/>
                <w:szCs w:val="21"/>
                <w:lang w:val="en-US" w:eastAsia="zh-CN"/>
              </w:rPr>
              <w:t>甲烷、丙烷</w:t>
            </w:r>
            <w:r>
              <w:rPr>
                <w:rFonts w:hint="eastAsia" w:ascii="Times New Roman" w:hAnsi="Times New Roman"/>
                <w:color w:val="auto"/>
                <w:sz w:val="21"/>
                <w:szCs w:val="21"/>
              </w:rPr>
              <w:t>蒸发速率</w:t>
            </w:r>
            <w:r>
              <w:rPr>
                <w:rFonts w:hint="eastAsia" w:ascii="Times New Roman" w:hAnsi="Times New Roman"/>
                <w:color w:val="auto"/>
                <w:sz w:val="21"/>
                <w:szCs w:val="21"/>
                <w:lang w:eastAsia="zh-CN"/>
              </w:rPr>
              <w:t>分别</w:t>
            </w:r>
            <w:r>
              <w:rPr>
                <w:rFonts w:hint="eastAsia" w:ascii="Times New Roman" w:hAnsi="Times New Roman"/>
                <w:color w:val="auto"/>
                <w:sz w:val="21"/>
                <w:szCs w:val="21"/>
              </w:rPr>
              <w:t>为</w:t>
            </w:r>
            <w:r>
              <w:rPr>
                <w:rFonts w:hint="eastAsia" w:ascii="Times New Roman" w:hAnsi="Times New Roman"/>
                <w:color w:val="auto"/>
                <w:sz w:val="21"/>
                <w:szCs w:val="21"/>
                <w:lang w:val="en-US" w:eastAsia="zh-CN"/>
              </w:rPr>
              <w:t>1.302</w:t>
            </w:r>
            <w:r>
              <w:rPr>
                <w:rFonts w:hint="eastAsia" w:ascii="Times New Roman" w:hAnsi="Times New Roman"/>
                <w:color w:val="auto"/>
                <w:sz w:val="21"/>
                <w:szCs w:val="21"/>
                <w:lang w:eastAsia="zh-CN"/>
              </w:rPr>
              <w:t>kg/s、</w:t>
            </w:r>
            <w:r>
              <w:rPr>
                <w:rFonts w:hint="eastAsia" w:ascii="Times New Roman" w:hAnsi="Times New Roman"/>
                <w:color w:val="auto"/>
                <w:sz w:val="21"/>
                <w:szCs w:val="21"/>
                <w:lang w:val="en-US" w:eastAsia="zh-CN"/>
              </w:rPr>
              <w:t>0.083</w:t>
            </w:r>
            <w:r>
              <w:rPr>
                <w:rFonts w:hint="eastAsia" w:ascii="Times New Roman" w:hAnsi="Times New Roman"/>
                <w:color w:val="auto"/>
                <w:sz w:val="21"/>
                <w:szCs w:val="21"/>
                <w:lang w:eastAsia="zh-CN"/>
              </w:rPr>
              <w:t>kg/s</w:t>
            </w:r>
            <w:r>
              <w:rPr>
                <w:rFonts w:hint="eastAsia" w:ascii="Times New Roman" w:hAnsi="Times New Roman"/>
                <w:color w:val="auto"/>
                <w:sz w:val="21"/>
                <w:szCs w:val="21"/>
              </w:rPr>
              <w:t>（最不利气象条件）；火灾产生CO产生速率为</w:t>
            </w:r>
            <w:r>
              <w:rPr>
                <w:rFonts w:hint="eastAsia" w:ascii="Times New Roman" w:hAnsi="Times New Roman"/>
                <w:color w:val="auto"/>
                <w:sz w:val="21"/>
                <w:szCs w:val="21"/>
                <w:lang w:eastAsia="zh-CN"/>
              </w:rPr>
              <w:t>0.</w:t>
            </w:r>
            <w:r>
              <w:rPr>
                <w:rFonts w:hint="eastAsia" w:ascii="Times New Roman" w:hAnsi="Times New Roman"/>
                <w:color w:val="auto"/>
                <w:sz w:val="21"/>
                <w:szCs w:val="21"/>
                <w:lang w:val="en-US" w:eastAsia="zh-CN"/>
              </w:rPr>
              <w:t>0722</w:t>
            </w:r>
            <w:r>
              <w:rPr>
                <w:rFonts w:hint="eastAsia" w:ascii="Times New Roman" w:hAnsi="Times New Roman"/>
                <w:color w:val="auto"/>
                <w:sz w:val="21"/>
                <w:szCs w:val="21"/>
                <w:lang w:eastAsia="zh-CN"/>
              </w:rPr>
              <w:t>kg/s</w:t>
            </w:r>
            <w:r>
              <w:rPr>
                <w:rFonts w:ascii="Times New Roman" w:hAnsi="Times New Roman"/>
                <w:color w:val="auto"/>
                <w:sz w:val="21"/>
                <w:szCs w:val="21"/>
              </w:rPr>
              <w:t>。</w:t>
            </w:r>
          </w:p>
          <w:p w14:paraId="3C933FC1">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highlight w:val="none"/>
              </w:rPr>
            </w:pPr>
            <w:r>
              <w:rPr>
                <w:rFonts w:ascii="Times New Roman" w:hAnsi="Times New Roman"/>
                <w:b/>
                <w:bCs/>
                <w:color w:val="auto"/>
                <w:sz w:val="21"/>
                <w:szCs w:val="21"/>
                <w:highlight w:val="none"/>
              </w:rPr>
              <w:t>3）、气象条件</w:t>
            </w:r>
          </w:p>
          <w:p w14:paraId="46E75FEE">
            <w:pPr>
              <w:pStyle w:val="30"/>
              <w:adjustRightInd w:val="0"/>
              <w:snapToGrid w:val="0"/>
              <w:spacing w:before="0" w:beforeAutospacing="0" w:after="0" w:afterAutospacing="0" w:line="360" w:lineRule="auto"/>
              <w:ind w:firstLine="420" w:firstLineChars="200"/>
              <w:rPr>
                <w:rFonts w:ascii="Times New Roman" w:hAnsi="Times New Roman"/>
                <w:color w:val="auto"/>
                <w:sz w:val="21"/>
                <w:szCs w:val="21"/>
              </w:rPr>
            </w:pPr>
            <w:r>
              <w:rPr>
                <w:rFonts w:ascii="Times New Roman" w:hAnsi="Times New Roman"/>
                <w:color w:val="auto"/>
                <w:sz w:val="21"/>
                <w:szCs w:val="21"/>
              </w:rPr>
              <w:t>根据《建设项目环境风险评价技术导则》（HJ/T169-2018），二级评价需选取最不利气象条件进行后果预测。最不利气象条件选取F稳定度，1.5m/s风速，温度25</w:t>
            </w:r>
            <w:r>
              <w:rPr>
                <w:rFonts w:hint="eastAsia" w:cs="宋体"/>
                <w:color w:val="auto"/>
                <w:sz w:val="21"/>
                <w:szCs w:val="21"/>
              </w:rPr>
              <w:t>℃</w:t>
            </w:r>
            <w:r>
              <w:rPr>
                <w:rFonts w:ascii="Times New Roman" w:hAnsi="Times New Roman"/>
                <w:color w:val="auto"/>
                <w:sz w:val="21"/>
                <w:szCs w:val="21"/>
              </w:rPr>
              <w:t>，相对湿度50%。</w:t>
            </w:r>
          </w:p>
          <w:p w14:paraId="6E9D33BE">
            <w:pPr>
              <w:pStyle w:val="30"/>
              <w:adjustRightInd w:val="0"/>
              <w:snapToGrid w:val="0"/>
              <w:spacing w:before="0" w:beforeAutospacing="0" w:after="0" w:afterAutospacing="0" w:line="360" w:lineRule="auto"/>
              <w:ind w:firstLine="482"/>
              <w:jc w:val="center"/>
              <w:rPr>
                <w:rFonts w:ascii="Times New Roman" w:hAnsi="Times New Roman"/>
                <w:b/>
                <w:bCs/>
                <w:color w:val="auto"/>
                <w:sz w:val="21"/>
                <w:szCs w:val="21"/>
              </w:rPr>
            </w:pPr>
            <w:r>
              <w:rPr>
                <w:rFonts w:ascii="Times New Roman" w:hAnsi="Times New Roman"/>
                <w:b/>
                <w:bCs/>
                <w:color w:val="auto"/>
                <w:sz w:val="21"/>
                <w:szCs w:val="21"/>
              </w:rPr>
              <w:t xml:space="preserve">表 </w:t>
            </w:r>
            <w:r>
              <w:rPr>
                <w:rFonts w:hint="eastAsia" w:ascii="Times New Roman" w:hAnsi="Times New Roman"/>
                <w:b/>
                <w:color w:val="auto"/>
                <w:kern w:val="24"/>
                <w:sz w:val="21"/>
                <w:szCs w:val="21"/>
                <w:lang w:eastAsia="zh-CN"/>
              </w:rPr>
              <w:t>7-24</w:t>
            </w:r>
            <w:r>
              <w:rPr>
                <w:rFonts w:hint="eastAsia" w:ascii="Times New Roman" w:hAnsi="Times New Roman"/>
                <w:b/>
                <w:color w:val="auto"/>
                <w:kern w:val="24"/>
                <w:sz w:val="21"/>
                <w:szCs w:val="21"/>
              </w:rPr>
              <w:t xml:space="preserve">   </w:t>
            </w:r>
            <w:r>
              <w:rPr>
                <w:rFonts w:ascii="Times New Roman" w:hAnsi="Times New Roman"/>
                <w:b/>
                <w:bCs/>
                <w:color w:val="auto"/>
                <w:sz w:val="21"/>
                <w:szCs w:val="21"/>
              </w:rPr>
              <w:t xml:space="preserve"> 大气预测模型主要参数表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550"/>
              <w:gridCol w:w="4349"/>
            </w:tblGrid>
            <w:tr w14:paraId="2BC6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noWrap w:val="0"/>
                  <w:vAlign w:val="center"/>
                </w:tcPr>
                <w:p w14:paraId="4EF1EC97">
                  <w:pPr>
                    <w:spacing w:line="240" w:lineRule="atLeast"/>
                    <w:jc w:val="center"/>
                    <w:rPr>
                      <w:rFonts w:hint="eastAsia"/>
                      <w:bCs/>
                      <w:color w:val="auto"/>
                      <w:szCs w:val="21"/>
                    </w:rPr>
                  </w:pPr>
                  <w:r>
                    <w:rPr>
                      <w:rFonts w:hint="eastAsia"/>
                      <w:bCs/>
                      <w:color w:val="auto"/>
                      <w:szCs w:val="21"/>
                    </w:rPr>
                    <w:t>参数类型</w:t>
                  </w:r>
                </w:p>
              </w:tc>
              <w:tc>
                <w:tcPr>
                  <w:tcW w:w="2550" w:type="dxa"/>
                  <w:noWrap w:val="0"/>
                  <w:vAlign w:val="center"/>
                </w:tcPr>
                <w:p w14:paraId="71965C70">
                  <w:pPr>
                    <w:spacing w:line="240" w:lineRule="atLeast"/>
                    <w:jc w:val="center"/>
                    <w:rPr>
                      <w:rFonts w:hint="eastAsia"/>
                      <w:bCs/>
                      <w:color w:val="auto"/>
                      <w:szCs w:val="21"/>
                    </w:rPr>
                  </w:pPr>
                  <w:r>
                    <w:rPr>
                      <w:rFonts w:hint="eastAsia"/>
                      <w:bCs/>
                      <w:color w:val="auto"/>
                      <w:szCs w:val="21"/>
                    </w:rPr>
                    <w:t>选项</w:t>
                  </w:r>
                </w:p>
              </w:tc>
              <w:tc>
                <w:tcPr>
                  <w:tcW w:w="4349" w:type="dxa"/>
                  <w:noWrap w:val="0"/>
                  <w:vAlign w:val="center"/>
                </w:tcPr>
                <w:p w14:paraId="6D1B9942">
                  <w:pPr>
                    <w:spacing w:line="240" w:lineRule="atLeast"/>
                    <w:jc w:val="center"/>
                    <w:rPr>
                      <w:rFonts w:hint="eastAsia"/>
                      <w:bCs/>
                      <w:color w:val="auto"/>
                      <w:szCs w:val="21"/>
                    </w:rPr>
                  </w:pPr>
                  <w:r>
                    <w:rPr>
                      <w:rFonts w:hint="eastAsia"/>
                      <w:bCs/>
                      <w:color w:val="auto"/>
                      <w:szCs w:val="21"/>
                    </w:rPr>
                    <w:t>参数</w:t>
                  </w:r>
                </w:p>
              </w:tc>
            </w:tr>
            <w:tr w14:paraId="3DB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81" w:type="dxa"/>
                  <w:vMerge w:val="restart"/>
                  <w:noWrap w:val="0"/>
                  <w:vAlign w:val="center"/>
                </w:tcPr>
                <w:p w14:paraId="4108B447">
                  <w:pPr>
                    <w:spacing w:line="240" w:lineRule="atLeast"/>
                    <w:jc w:val="center"/>
                    <w:rPr>
                      <w:rFonts w:hint="eastAsia"/>
                      <w:bCs/>
                      <w:color w:val="auto"/>
                      <w:szCs w:val="21"/>
                    </w:rPr>
                  </w:pPr>
                  <w:r>
                    <w:rPr>
                      <w:rFonts w:hint="eastAsia"/>
                      <w:bCs/>
                      <w:color w:val="auto"/>
                      <w:szCs w:val="21"/>
                      <w:lang w:val="en-US" w:eastAsia="zh-CN"/>
                    </w:rPr>
                    <w:t>有毒有害物质泄漏</w:t>
                  </w:r>
                  <w:r>
                    <w:rPr>
                      <w:rFonts w:hint="eastAsia"/>
                      <w:bCs/>
                      <w:color w:val="auto"/>
                      <w:szCs w:val="21"/>
                    </w:rPr>
                    <w:t>基本情况</w:t>
                  </w:r>
                </w:p>
              </w:tc>
              <w:tc>
                <w:tcPr>
                  <w:tcW w:w="2550" w:type="dxa"/>
                  <w:noWrap w:val="0"/>
                  <w:vAlign w:val="center"/>
                </w:tcPr>
                <w:p w14:paraId="52293E34">
                  <w:pPr>
                    <w:spacing w:line="240" w:lineRule="atLeast"/>
                    <w:jc w:val="center"/>
                    <w:rPr>
                      <w:bCs/>
                      <w:color w:val="auto"/>
                      <w:szCs w:val="21"/>
                    </w:rPr>
                  </w:pPr>
                  <w:r>
                    <w:rPr>
                      <w:bCs/>
                      <w:color w:val="auto"/>
                      <w:szCs w:val="21"/>
                    </w:rPr>
                    <w:t>事故源经度</w:t>
                  </w:r>
                  <w:r>
                    <w:rPr>
                      <w:rFonts w:hint="eastAsia"/>
                      <w:bCs/>
                      <w:color w:val="auto"/>
                      <w:szCs w:val="21"/>
                    </w:rPr>
                    <w:t>/</w:t>
                  </w:r>
                  <w:r>
                    <w:rPr>
                      <w:bCs/>
                      <w:color w:val="auto"/>
                      <w:szCs w:val="21"/>
                    </w:rPr>
                    <w:t>（°）</w:t>
                  </w:r>
                </w:p>
              </w:tc>
              <w:tc>
                <w:tcPr>
                  <w:tcW w:w="4349" w:type="dxa"/>
                  <w:noWrap w:val="0"/>
                  <w:vAlign w:val="center"/>
                </w:tcPr>
                <w:p w14:paraId="114DA1BD">
                  <w:pPr>
                    <w:spacing w:line="240" w:lineRule="atLeast"/>
                    <w:jc w:val="center"/>
                    <w:rPr>
                      <w:rFonts w:hint="default" w:eastAsia="宋体"/>
                      <w:bCs/>
                      <w:color w:val="auto"/>
                      <w:szCs w:val="21"/>
                      <w:lang w:val="en-US" w:eastAsia="zh-CN"/>
                    </w:rPr>
                  </w:pPr>
                  <w:r>
                    <w:rPr>
                      <w:rFonts w:hint="eastAsia"/>
                      <w:bCs/>
                      <w:color w:val="auto"/>
                      <w:szCs w:val="21"/>
                      <w:lang w:val="en-US" w:eastAsia="zh-CN"/>
                    </w:rPr>
                    <w:t>116.890426</w:t>
                  </w:r>
                </w:p>
              </w:tc>
            </w:tr>
            <w:tr w14:paraId="05B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028D0254">
                  <w:pPr>
                    <w:spacing w:line="240" w:lineRule="atLeast"/>
                    <w:jc w:val="center"/>
                    <w:rPr>
                      <w:bCs/>
                      <w:color w:val="auto"/>
                      <w:szCs w:val="21"/>
                    </w:rPr>
                  </w:pPr>
                </w:p>
              </w:tc>
              <w:tc>
                <w:tcPr>
                  <w:tcW w:w="2550" w:type="dxa"/>
                  <w:noWrap w:val="0"/>
                  <w:vAlign w:val="center"/>
                </w:tcPr>
                <w:p w14:paraId="0C124D7C">
                  <w:pPr>
                    <w:spacing w:line="240" w:lineRule="atLeast"/>
                    <w:jc w:val="center"/>
                    <w:rPr>
                      <w:bCs/>
                      <w:color w:val="auto"/>
                      <w:szCs w:val="21"/>
                    </w:rPr>
                  </w:pPr>
                  <w:r>
                    <w:rPr>
                      <w:bCs/>
                      <w:color w:val="auto"/>
                      <w:szCs w:val="21"/>
                    </w:rPr>
                    <w:t>事故源</w:t>
                  </w:r>
                  <w:r>
                    <w:rPr>
                      <w:rFonts w:hint="eastAsia"/>
                      <w:bCs/>
                      <w:color w:val="auto"/>
                      <w:szCs w:val="21"/>
                    </w:rPr>
                    <w:t>纬度/</w:t>
                  </w:r>
                  <w:r>
                    <w:rPr>
                      <w:bCs/>
                      <w:color w:val="auto"/>
                      <w:szCs w:val="21"/>
                    </w:rPr>
                    <w:t>（°）</w:t>
                  </w:r>
                </w:p>
              </w:tc>
              <w:tc>
                <w:tcPr>
                  <w:tcW w:w="4349" w:type="dxa"/>
                  <w:noWrap w:val="0"/>
                  <w:vAlign w:val="center"/>
                </w:tcPr>
                <w:p w14:paraId="21B76AD2">
                  <w:pPr>
                    <w:spacing w:line="240" w:lineRule="atLeast"/>
                    <w:jc w:val="center"/>
                    <w:rPr>
                      <w:rFonts w:hint="default" w:eastAsia="宋体"/>
                      <w:bCs/>
                      <w:color w:val="auto"/>
                      <w:szCs w:val="21"/>
                      <w:lang w:val="en-US" w:eastAsia="zh-CN"/>
                    </w:rPr>
                  </w:pPr>
                  <w:r>
                    <w:rPr>
                      <w:rFonts w:hint="eastAsia"/>
                      <w:bCs/>
                      <w:color w:val="auto"/>
                      <w:szCs w:val="21"/>
                      <w:lang w:val="en-US" w:eastAsia="zh-CN"/>
                    </w:rPr>
                    <w:t>32.569762</w:t>
                  </w:r>
                </w:p>
              </w:tc>
            </w:tr>
            <w:tr w14:paraId="11E5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24E705EB">
                  <w:pPr>
                    <w:spacing w:line="240" w:lineRule="atLeast"/>
                    <w:jc w:val="center"/>
                    <w:rPr>
                      <w:bCs/>
                      <w:color w:val="auto"/>
                      <w:szCs w:val="21"/>
                    </w:rPr>
                  </w:pPr>
                </w:p>
              </w:tc>
              <w:tc>
                <w:tcPr>
                  <w:tcW w:w="2550" w:type="dxa"/>
                  <w:noWrap w:val="0"/>
                  <w:vAlign w:val="center"/>
                </w:tcPr>
                <w:p w14:paraId="6E349A6B">
                  <w:pPr>
                    <w:spacing w:line="240" w:lineRule="atLeast"/>
                    <w:jc w:val="center"/>
                    <w:rPr>
                      <w:bCs/>
                      <w:color w:val="auto"/>
                      <w:szCs w:val="21"/>
                    </w:rPr>
                  </w:pPr>
                  <w:r>
                    <w:rPr>
                      <w:bCs/>
                      <w:color w:val="auto"/>
                      <w:szCs w:val="21"/>
                    </w:rPr>
                    <w:t>事故源类型</w:t>
                  </w:r>
                </w:p>
              </w:tc>
              <w:tc>
                <w:tcPr>
                  <w:tcW w:w="4349" w:type="dxa"/>
                  <w:noWrap w:val="0"/>
                  <w:vAlign w:val="center"/>
                </w:tcPr>
                <w:p w14:paraId="34E37ECB">
                  <w:pPr>
                    <w:spacing w:line="240" w:lineRule="atLeast"/>
                    <w:jc w:val="center"/>
                    <w:rPr>
                      <w:rFonts w:hint="default" w:eastAsia="宋体"/>
                      <w:bCs/>
                      <w:color w:val="auto"/>
                      <w:szCs w:val="21"/>
                      <w:lang w:val="en-US" w:eastAsia="zh-CN"/>
                    </w:rPr>
                  </w:pPr>
                  <w:r>
                    <w:rPr>
                      <w:rFonts w:hint="eastAsia"/>
                      <w:bCs/>
                      <w:color w:val="auto"/>
                      <w:szCs w:val="21"/>
                      <w:lang w:val="en-US" w:eastAsia="zh-CN"/>
                    </w:rPr>
                    <w:t>有毒有害物质泄漏</w:t>
                  </w:r>
                </w:p>
              </w:tc>
            </w:tr>
            <w:tr w14:paraId="23B3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21DCA8B9">
                  <w:pPr>
                    <w:spacing w:line="240" w:lineRule="atLeast"/>
                    <w:jc w:val="center"/>
                    <w:rPr>
                      <w:bCs/>
                      <w:color w:val="auto"/>
                      <w:szCs w:val="21"/>
                    </w:rPr>
                  </w:pPr>
                </w:p>
              </w:tc>
              <w:tc>
                <w:tcPr>
                  <w:tcW w:w="2550" w:type="dxa"/>
                  <w:noWrap w:val="0"/>
                  <w:vAlign w:val="center"/>
                </w:tcPr>
                <w:p w14:paraId="6619E56C">
                  <w:pPr>
                    <w:spacing w:line="240" w:lineRule="atLeast"/>
                    <w:jc w:val="center"/>
                    <w:rPr>
                      <w:bCs/>
                      <w:color w:val="auto"/>
                      <w:szCs w:val="21"/>
                    </w:rPr>
                  </w:pPr>
                  <w:r>
                    <w:rPr>
                      <w:bCs/>
                      <w:color w:val="auto"/>
                      <w:szCs w:val="21"/>
                    </w:rPr>
                    <w:t>事故源经度</w:t>
                  </w:r>
                  <w:r>
                    <w:rPr>
                      <w:rFonts w:hint="eastAsia"/>
                      <w:bCs/>
                      <w:color w:val="auto"/>
                      <w:szCs w:val="21"/>
                    </w:rPr>
                    <w:t>/</w:t>
                  </w:r>
                  <w:r>
                    <w:rPr>
                      <w:bCs/>
                      <w:color w:val="auto"/>
                      <w:szCs w:val="21"/>
                    </w:rPr>
                    <w:t>（°）</w:t>
                  </w:r>
                </w:p>
              </w:tc>
              <w:tc>
                <w:tcPr>
                  <w:tcW w:w="4349" w:type="dxa"/>
                  <w:noWrap w:val="0"/>
                  <w:vAlign w:val="center"/>
                </w:tcPr>
                <w:p w14:paraId="56091485">
                  <w:pPr>
                    <w:spacing w:line="240" w:lineRule="atLeast"/>
                    <w:jc w:val="center"/>
                    <w:rPr>
                      <w:rFonts w:hint="default"/>
                      <w:bCs/>
                      <w:color w:val="auto"/>
                      <w:szCs w:val="21"/>
                      <w:lang w:val="en-US" w:eastAsia="zh-CN"/>
                    </w:rPr>
                  </w:pPr>
                  <w:r>
                    <w:rPr>
                      <w:rFonts w:hint="eastAsia"/>
                      <w:bCs/>
                      <w:color w:val="auto"/>
                      <w:szCs w:val="21"/>
                      <w:lang w:val="en-US" w:eastAsia="zh-CN"/>
                    </w:rPr>
                    <w:t>116.890794</w:t>
                  </w:r>
                </w:p>
              </w:tc>
            </w:tr>
            <w:tr w14:paraId="7358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33B4917F">
                  <w:pPr>
                    <w:spacing w:line="240" w:lineRule="atLeast"/>
                    <w:jc w:val="center"/>
                    <w:rPr>
                      <w:bCs/>
                      <w:color w:val="auto"/>
                      <w:szCs w:val="21"/>
                    </w:rPr>
                  </w:pPr>
                </w:p>
              </w:tc>
              <w:tc>
                <w:tcPr>
                  <w:tcW w:w="2550" w:type="dxa"/>
                  <w:noWrap w:val="0"/>
                  <w:vAlign w:val="center"/>
                </w:tcPr>
                <w:p w14:paraId="199DFDFD">
                  <w:pPr>
                    <w:spacing w:line="240" w:lineRule="atLeast"/>
                    <w:jc w:val="center"/>
                    <w:rPr>
                      <w:bCs/>
                      <w:color w:val="auto"/>
                      <w:szCs w:val="21"/>
                    </w:rPr>
                  </w:pPr>
                  <w:r>
                    <w:rPr>
                      <w:bCs/>
                      <w:color w:val="auto"/>
                      <w:szCs w:val="21"/>
                    </w:rPr>
                    <w:t>事故源</w:t>
                  </w:r>
                  <w:r>
                    <w:rPr>
                      <w:rFonts w:hint="eastAsia"/>
                      <w:bCs/>
                      <w:color w:val="auto"/>
                      <w:szCs w:val="21"/>
                    </w:rPr>
                    <w:t>纬度/</w:t>
                  </w:r>
                  <w:r>
                    <w:rPr>
                      <w:bCs/>
                      <w:color w:val="auto"/>
                      <w:szCs w:val="21"/>
                    </w:rPr>
                    <w:t>（°）</w:t>
                  </w:r>
                </w:p>
              </w:tc>
              <w:tc>
                <w:tcPr>
                  <w:tcW w:w="4349" w:type="dxa"/>
                  <w:noWrap w:val="0"/>
                  <w:vAlign w:val="center"/>
                </w:tcPr>
                <w:p w14:paraId="06F59815">
                  <w:pPr>
                    <w:spacing w:line="240" w:lineRule="atLeast"/>
                    <w:jc w:val="center"/>
                    <w:rPr>
                      <w:rFonts w:hint="default"/>
                      <w:bCs/>
                      <w:color w:val="auto"/>
                      <w:szCs w:val="21"/>
                      <w:lang w:val="en-US" w:eastAsia="zh-CN"/>
                    </w:rPr>
                  </w:pPr>
                  <w:r>
                    <w:rPr>
                      <w:rFonts w:hint="eastAsia"/>
                      <w:bCs/>
                      <w:color w:val="auto"/>
                      <w:szCs w:val="21"/>
                      <w:lang w:val="en-US" w:eastAsia="zh-CN"/>
                    </w:rPr>
                    <w:t>32.568665</w:t>
                  </w:r>
                </w:p>
              </w:tc>
            </w:tr>
            <w:tr w14:paraId="1328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73C37BA3">
                  <w:pPr>
                    <w:spacing w:line="240" w:lineRule="atLeast"/>
                    <w:jc w:val="center"/>
                    <w:rPr>
                      <w:bCs/>
                      <w:color w:val="auto"/>
                      <w:szCs w:val="21"/>
                    </w:rPr>
                  </w:pPr>
                </w:p>
              </w:tc>
              <w:tc>
                <w:tcPr>
                  <w:tcW w:w="2550" w:type="dxa"/>
                  <w:noWrap w:val="0"/>
                  <w:vAlign w:val="center"/>
                </w:tcPr>
                <w:p w14:paraId="0FF67601">
                  <w:pPr>
                    <w:spacing w:line="240" w:lineRule="atLeast"/>
                    <w:jc w:val="center"/>
                    <w:rPr>
                      <w:bCs/>
                      <w:color w:val="auto"/>
                      <w:szCs w:val="21"/>
                    </w:rPr>
                  </w:pPr>
                  <w:r>
                    <w:rPr>
                      <w:bCs/>
                      <w:color w:val="auto"/>
                      <w:szCs w:val="21"/>
                    </w:rPr>
                    <w:t>事故源类型</w:t>
                  </w:r>
                </w:p>
              </w:tc>
              <w:tc>
                <w:tcPr>
                  <w:tcW w:w="4349" w:type="dxa"/>
                  <w:noWrap w:val="0"/>
                  <w:vAlign w:val="center"/>
                </w:tcPr>
                <w:p w14:paraId="352A4A28">
                  <w:pPr>
                    <w:spacing w:line="240" w:lineRule="atLeast"/>
                    <w:jc w:val="center"/>
                    <w:rPr>
                      <w:rFonts w:hint="eastAsia"/>
                      <w:bCs/>
                      <w:color w:val="auto"/>
                      <w:szCs w:val="21"/>
                      <w:lang w:val="en-US" w:eastAsia="zh-CN"/>
                    </w:rPr>
                  </w:pPr>
                  <w:r>
                    <w:rPr>
                      <w:rFonts w:hint="eastAsia"/>
                      <w:bCs/>
                      <w:color w:val="auto"/>
                      <w:szCs w:val="21"/>
                      <w:lang w:val="en-US" w:eastAsia="zh-CN"/>
                    </w:rPr>
                    <w:t>有毒有害物质泄漏</w:t>
                  </w:r>
                </w:p>
              </w:tc>
            </w:tr>
            <w:tr w14:paraId="3CA9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restart"/>
                  <w:noWrap w:val="0"/>
                  <w:vAlign w:val="center"/>
                </w:tcPr>
                <w:p w14:paraId="4A1738A0">
                  <w:pPr>
                    <w:spacing w:line="240" w:lineRule="atLeast"/>
                    <w:jc w:val="center"/>
                    <w:rPr>
                      <w:rFonts w:hint="eastAsia"/>
                      <w:bCs/>
                      <w:color w:val="auto"/>
                      <w:szCs w:val="21"/>
                    </w:rPr>
                  </w:pPr>
                  <w:r>
                    <w:rPr>
                      <w:rFonts w:hint="eastAsia"/>
                      <w:bCs/>
                      <w:color w:val="auto"/>
                      <w:szCs w:val="21"/>
                    </w:rPr>
                    <w:t>矿物油火灾事故基本情况</w:t>
                  </w:r>
                </w:p>
              </w:tc>
              <w:tc>
                <w:tcPr>
                  <w:tcW w:w="2550" w:type="dxa"/>
                  <w:noWrap w:val="0"/>
                  <w:vAlign w:val="center"/>
                </w:tcPr>
                <w:p w14:paraId="00DF9F77">
                  <w:pPr>
                    <w:spacing w:line="240" w:lineRule="atLeast"/>
                    <w:jc w:val="center"/>
                    <w:rPr>
                      <w:bCs/>
                      <w:color w:val="auto"/>
                      <w:szCs w:val="21"/>
                    </w:rPr>
                  </w:pPr>
                  <w:r>
                    <w:rPr>
                      <w:bCs/>
                      <w:color w:val="auto"/>
                      <w:szCs w:val="21"/>
                    </w:rPr>
                    <w:t>事故源经度</w:t>
                  </w:r>
                  <w:r>
                    <w:rPr>
                      <w:rFonts w:hint="eastAsia"/>
                      <w:bCs/>
                      <w:color w:val="auto"/>
                      <w:szCs w:val="21"/>
                    </w:rPr>
                    <w:t>/</w:t>
                  </w:r>
                  <w:r>
                    <w:rPr>
                      <w:bCs/>
                      <w:color w:val="auto"/>
                      <w:szCs w:val="21"/>
                    </w:rPr>
                    <w:t>（°）</w:t>
                  </w:r>
                </w:p>
              </w:tc>
              <w:tc>
                <w:tcPr>
                  <w:tcW w:w="4349" w:type="dxa"/>
                  <w:noWrap w:val="0"/>
                  <w:vAlign w:val="center"/>
                </w:tcPr>
                <w:p w14:paraId="1DAC10FE">
                  <w:pPr>
                    <w:spacing w:line="240" w:lineRule="atLeast"/>
                    <w:jc w:val="center"/>
                    <w:rPr>
                      <w:rFonts w:hint="default" w:eastAsia="宋体"/>
                      <w:bCs/>
                      <w:color w:val="auto"/>
                      <w:szCs w:val="21"/>
                      <w:lang w:val="en-US" w:eastAsia="zh-CN"/>
                    </w:rPr>
                  </w:pPr>
                  <w:r>
                    <w:rPr>
                      <w:rFonts w:hint="eastAsia"/>
                      <w:bCs/>
                      <w:color w:val="auto"/>
                      <w:szCs w:val="21"/>
                      <w:lang w:val="en-US" w:eastAsia="zh-CN"/>
                    </w:rPr>
                    <w:t>116.890389</w:t>
                  </w:r>
                </w:p>
              </w:tc>
            </w:tr>
            <w:tr w14:paraId="49E7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76851311">
                  <w:pPr>
                    <w:spacing w:line="240" w:lineRule="atLeast"/>
                    <w:jc w:val="center"/>
                    <w:rPr>
                      <w:bCs/>
                      <w:color w:val="auto"/>
                      <w:szCs w:val="21"/>
                    </w:rPr>
                  </w:pPr>
                </w:p>
              </w:tc>
              <w:tc>
                <w:tcPr>
                  <w:tcW w:w="2550" w:type="dxa"/>
                  <w:noWrap w:val="0"/>
                  <w:vAlign w:val="center"/>
                </w:tcPr>
                <w:p w14:paraId="739FEFFB">
                  <w:pPr>
                    <w:spacing w:line="240" w:lineRule="atLeast"/>
                    <w:jc w:val="center"/>
                    <w:rPr>
                      <w:bCs/>
                      <w:color w:val="auto"/>
                      <w:szCs w:val="21"/>
                    </w:rPr>
                  </w:pPr>
                  <w:r>
                    <w:rPr>
                      <w:bCs/>
                      <w:color w:val="auto"/>
                      <w:szCs w:val="21"/>
                    </w:rPr>
                    <w:t>事故源</w:t>
                  </w:r>
                  <w:r>
                    <w:rPr>
                      <w:rFonts w:hint="eastAsia"/>
                      <w:bCs/>
                      <w:color w:val="auto"/>
                      <w:szCs w:val="21"/>
                    </w:rPr>
                    <w:t>纬度/</w:t>
                  </w:r>
                  <w:r>
                    <w:rPr>
                      <w:bCs/>
                      <w:color w:val="auto"/>
                      <w:szCs w:val="21"/>
                    </w:rPr>
                    <w:t>（°）</w:t>
                  </w:r>
                </w:p>
              </w:tc>
              <w:tc>
                <w:tcPr>
                  <w:tcW w:w="4349" w:type="dxa"/>
                  <w:noWrap w:val="0"/>
                  <w:vAlign w:val="center"/>
                </w:tcPr>
                <w:p w14:paraId="2AEA36CA">
                  <w:pPr>
                    <w:spacing w:line="240" w:lineRule="atLeast"/>
                    <w:jc w:val="center"/>
                    <w:rPr>
                      <w:rFonts w:hint="default" w:eastAsia="宋体"/>
                      <w:bCs/>
                      <w:color w:val="auto"/>
                      <w:szCs w:val="21"/>
                      <w:lang w:val="en-US" w:eastAsia="zh-CN"/>
                    </w:rPr>
                  </w:pPr>
                  <w:r>
                    <w:rPr>
                      <w:rFonts w:hint="eastAsia"/>
                      <w:bCs/>
                      <w:color w:val="auto"/>
                      <w:szCs w:val="21"/>
                      <w:lang w:val="en-US" w:eastAsia="zh-CN"/>
                    </w:rPr>
                    <w:t>32.569510</w:t>
                  </w:r>
                </w:p>
              </w:tc>
            </w:tr>
            <w:tr w14:paraId="71A7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1D824475">
                  <w:pPr>
                    <w:spacing w:line="240" w:lineRule="atLeast"/>
                    <w:jc w:val="center"/>
                    <w:rPr>
                      <w:bCs/>
                      <w:color w:val="auto"/>
                      <w:szCs w:val="21"/>
                    </w:rPr>
                  </w:pPr>
                </w:p>
              </w:tc>
              <w:tc>
                <w:tcPr>
                  <w:tcW w:w="2550" w:type="dxa"/>
                  <w:noWrap w:val="0"/>
                  <w:vAlign w:val="center"/>
                </w:tcPr>
                <w:p w14:paraId="512E3490">
                  <w:pPr>
                    <w:spacing w:line="240" w:lineRule="atLeast"/>
                    <w:jc w:val="center"/>
                    <w:rPr>
                      <w:bCs/>
                      <w:color w:val="auto"/>
                      <w:szCs w:val="21"/>
                    </w:rPr>
                  </w:pPr>
                  <w:r>
                    <w:rPr>
                      <w:bCs/>
                      <w:color w:val="auto"/>
                      <w:szCs w:val="21"/>
                    </w:rPr>
                    <w:t>事故源类型</w:t>
                  </w:r>
                </w:p>
              </w:tc>
              <w:tc>
                <w:tcPr>
                  <w:tcW w:w="4349" w:type="dxa"/>
                  <w:noWrap w:val="0"/>
                  <w:vAlign w:val="center"/>
                </w:tcPr>
                <w:p w14:paraId="664839BB">
                  <w:pPr>
                    <w:spacing w:line="240" w:lineRule="atLeast"/>
                    <w:jc w:val="center"/>
                    <w:rPr>
                      <w:rFonts w:hint="default" w:eastAsia="宋体"/>
                      <w:bCs/>
                      <w:color w:val="auto"/>
                      <w:szCs w:val="21"/>
                      <w:lang w:val="en-US" w:eastAsia="zh-CN"/>
                    </w:rPr>
                  </w:pPr>
                  <w:r>
                    <w:rPr>
                      <w:rFonts w:hint="eastAsia"/>
                      <w:bCs/>
                      <w:color w:val="auto"/>
                      <w:szCs w:val="21"/>
                      <w:lang w:val="en-US" w:eastAsia="zh-CN"/>
                    </w:rPr>
                    <w:t>火灾爆炸次生污染物排放</w:t>
                  </w:r>
                </w:p>
              </w:tc>
            </w:tr>
            <w:tr w14:paraId="6194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restart"/>
                  <w:noWrap w:val="0"/>
                  <w:vAlign w:val="center"/>
                </w:tcPr>
                <w:p w14:paraId="3599A7CD">
                  <w:pPr>
                    <w:spacing w:line="240" w:lineRule="atLeast"/>
                    <w:jc w:val="center"/>
                    <w:rPr>
                      <w:rFonts w:hint="eastAsia"/>
                      <w:bCs/>
                      <w:color w:val="auto"/>
                      <w:szCs w:val="21"/>
                    </w:rPr>
                  </w:pPr>
                  <w:r>
                    <w:rPr>
                      <w:rFonts w:hint="eastAsia"/>
                      <w:bCs/>
                      <w:color w:val="auto"/>
                      <w:szCs w:val="21"/>
                    </w:rPr>
                    <w:t>气象参数</w:t>
                  </w:r>
                </w:p>
              </w:tc>
              <w:tc>
                <w:tcPr>
                  <w:tcW w:w="2550" w:type="dxa"/>
                  <w:noWrap w:val="0"/>
                  <w:vAlign w:val="center"/>
                </w:tcPr>
                <w:p w14:paraId="23855BFF">
                  <w:pPr>
                    <w:spacing w:line="240" w:lineRule="atLeast"/>
                    <w:jc w:val="center"/>
                    <w:rPr>
                      <w:bCs/>
                      <w:color w:val="auto"/>
                      <w:szCs w:val="21"/>
                    </w:rPr>
                  </w:pPr>
                  <w:r>
                    <w:rPr>
                      <w:bCs/>
                      <w:color w:val="auto"/>
                      <w:szCs w:val="21"/>
                    </w:rPr>
                    <w:t>气象条件类型</w:t>
                  </w:r>
                </w:p>
              </w:tc>
              <w:tc>
                <w:tcPr>
                  <w:tcW w:w="4349" w:type="dxa"/>
                  <w:noWrap w:val="0"/>
                  <w:vAlign w:val="center"/>
                </w:tcPr>
                <w:p w14:paraId="4A6A3DE7">
                  <w:pPr>
                    <w:spacing w:line="240" w:lineRule="atLeast"/>
                    <w:jc w:val="center"/>
                    <w:rPr>
                      <w:bCs/>
                      <w:color w:val="auto"/>
                      <w:szCs w:val="21"/>
                    </w:rPr>
                  </w:pPr>
                  <w:r>
                    <w:rPr>
                      <w:bCs/>
                      <w:color w:val="auto"/>
                      <w:szCs w:val="21"/>
                    </w:rPr>
                    <w:t>最不利气象</w:t>
                  </w:r>
                </w:p>
              </w:tc>
            </w:tr>
            <w:tr w14:paraId="34D5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2C7BFBF1">
                  <w:pPr>
                    <w:spacing w:line="240" w:lineRule="atLeast"/>
                    <w:jc w:val="center"/>
                    <w:rPr>
                      <w:bCs/>
                      <w:color w:val="auto"/>
                      <w:szCs w:val="21"/>
                    </w:rPr>
                  </w:pPr>
                </w:p>
              </w:tc>
              <w:tc>
                <w:tcPr>
                  <w:tcW w:w="2550" w:type="dxa"/>
                  <w:noWrap w:val="0"/>
                  <w:vAlign w:val="center"/>
                </w:tcPr>
                <w:p w14:paraId="0F96433D">
                  <w:pPr>
                    <w:spacing w:line="240" w:lineRule="atLeast"/>
                    <w:jc w:val="center"/>
                    <w:rPr>
                      <w:bCs/>
                      <w:color w:val="auto"/>
                      <w:szCs w:val="21"/>
                    </w:rPr>
                  </w:pPr>
                  <w:r>
                    <w:rPr>
                      <w:bCs/>
                      <w:color w:val="auto"/>
                      <w:szCs w:val="21"/>
                    </w:rPr>
                    <w:t>风速/（m/s）</w:t>
                  </w:r>
                </w:p>
              </w:tc>
              <w:tc>
                <w:tcPr>
                  <w:tcW w:w="4349" w:type="dxa"/>
                  <w:noWrap w:val="0"/>
                  <w:vAlign w:val="center"/>
                </w:tcPr>
                <w:p w14:paraId="32D456AD">
                  <w:pPr>
                    <w:spacing w:line="240" w:lineRule="atLeast"/>
                    <w:jc w:val="center"/>
                    <w:rPr>
                      <w:bCs/>
                      <w:color w:val="auto"/>
                      <w:szCs w:val="21"/>
                    </w:rPr>
                  </w:pPr>
                  <w:r>
                    <w:rPr>
                      <w:rFonts w:hint="eastAsia"/>
                      <w:bCs/>
                      <w:color w:val="auto"/>
                      <w:szCs w:val="21"/>
                    </w:rPr>
                    <w:t>1.5</w:t>
                  </w:r>
                </w:p>
              </w:tc>
            </w:tr>
            <w:tr w14:paraId="0B6C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43A57A04">
                  <w:pPr>
                    <w:spacing w:line="240" w:lineRule="atLeast"/>
                    <w:jc w:val="center"/>
                    <w:rPr>
                      <w:bCs/>
                      <w:color w:val="auto"/>
                      <w:szCs w:val="21"/>
                    </w:rPr>
                  </w:pPr>
                </w:p>
              </w:tc>
              <w:tc>
                <w:tcPr>
                  <w:tcW w:w="2550" w:type="dxa"/>
                  <w:noWrap w:val="0"/>
                  <w:vAlign w:val="center"/>
                </w:tcPr>
                <w:p w14:paraId="6F7E79C7">
                  <w:pPr>
                    <w:spacing w:line="240" w:lineRule="atLeast"/>
                    <w:jc w:val="center"/>
                    <w:rPr>
                      <w:bCs/>
                      <w:color w:val="auto"/>
                      <w:szCs w:val="21"/>
                    </w:rPr>
                  </w:pPr>
                  <w:r>
                    <w:rPr>
                      <w:bCs/>
                      <w:color w:val="auto"/>
                      <w:szCs w:val="21"/>
                    </w:rPr>
                    <w:t>环境温度（</w:t>
                  </w:r>
                  <w:r>
                    <w:rPr>
                      <w:rFonts w:hint="eastAsia" w:ascii="宋体" w:hAnsi="宋体" w:cs="宋体"/>
                      <w:bCs/>
                      <w:color w:val="auto"/>
                      <w:szCs w:val="21"/>
                    </w:rPr>
                    <w:t>℃</w:t>
                  </w:r>
                  <w:r>
                    <w:rPr>
                      <w:bCs/>
                      <w:color w:val="auto"/>
                      <w:szCs w:val="21"/>
                    </w:rPr>
                    <w:t>）</w:t>
                  </w:r>
                </w:p>
              </w:tc>
              <w:tc>
                <w:tcPr>
                  <w:tcW w:w="4349" w:type="dxa"/>
                  <w:noWrap w:val="0"/>
                  <w:vAlign w:val="center"/>
                </w:tcPr>
                <w:p w14:paraId="7BE644E4">
                  <w:pPr>
                    <w:spacing w:line="240" w:lineRule="atLeast"/>
                    <w:jc w:val="center"/>
                    <w:rPr>
                      <w:bCs/>
                      <w:color w:val="auto"/>
                      <w:szCs w:val="21"/>
                    </w:rPr>
                  </w:pPr>
                  <w:r>
                    <w:rPr>
                      <w:rFonts w:hint="eastAsia"/>
                      <w:bCs/>
                      <w:color w:val="auto"/>
                      <w:szCs w:val="21"/>
                    </w:rPr>
                    <w:t>25</w:t>
                  </w:r>
                </w:p>
              </w:tc>
            </w:tr>
            <w:tr w14:paraId="3678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20DB6F95">
                  <w:pPr>
                    <w:spacing w:line="240" w:lineRule="atLeast"/>
                    <w:jc w:val="center"/>
                    <w:rPr>
                      <w:bCs/>
                      <w:color w:val="auto"/>
                      <w:szCs w:val="21"/>
                    </w:rPr>
                  </w:pPr>
                </w:p>
              </w:tc>
              <w:tc>
                <w:tcPr>
                  <w:tcW w:w="2550" w:type="dxa"/>
                  <w:noWrap w:val="0"/>
                  <w:vAlign w:val="center"/>
                </w:tcPr>
                <w:p w14:paraId="777D6BC9">
                  <w:pPr>
                    <w:spacing w:line="240" w:lineRule="atLeast"/>
                    <w:jc w:val="center"/>
                    <w:rPr>
                      <w:bCs/>
                      <w:color w:val="auto"/>
                      <w:szCs w:val="21"/>
                    </w:rPr>
                  </w:pPr>
                  <w:r>
                    <w:rPr>
                      <w:bCs/>
                      <w:color w:val="auto"/>
                      <w:szCs w:val="21"/>
                    </w:rPr>
                    <w:t>相对湿度 /%</w:t>
                  </w:r>
                </w:p>
              </w:tc>
              <w:tc>
                <w:tcPr>
                  <w:tcW w:w="4349" w:type="dxa"/>
                  <w:noWrap w:val="0"/>
                  <w:vAlign w:val="center"/>
                </w:tcPr>
                <w:p w14:paraId="6FF5C953">
                  <w:pPr>
                    <w:spacing w:line="240" w:lineRule="atLeast"/>
                    <w:jc w:val="center"/>
                    <w:rPr>
                      <w:bCs/>
                      <w:color w:val="auto"/>
                      <w:szCs w:val="21"/>
                    </w:rPr>
                  </w:pPr>
                  <w:r>
                    <w:rPr>
                      <w:rFonts w:hint="eastAsia"/>
                      <w:bCs/>
                      <w:color w:val="auto"/>
                      <w:szCs w:val="21"/>
                    </w:rPr>
                    <w:t>50</w:t>
                  </w:r>
                </w:p>
              </w:tc>
            </w:tr>
            <w:tr w14:paraId="3D5E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02DAB6F4">
                  <w:pPr>
                    <w:spacing w:line="240" w:lineRule="atLeast"/>
                    <w:jc w:val="center"/>
                    <w:rPr>
                      <w:bCs/>
                      <w:color w:val="auto"/>
                      <w:szCs w:val="21"/>
                    </w:rPr>
                  </w:pPr>
                </w:p>
              </w:tc>
              <w:tc>
                <w:tcPr>
                  <w:tcW w:w="2550" w:type="dxa"/>
                  <w:noWrap w:val="0"/>
                  <w:vAlign w:val="center"/>
                </w:tcPr>
                <w:p w14:paraId="40A1781B">
                  <w:pPr>
                    <w:spacing w:line="240" w:lineRule="atLeast"/>
                    <w:jc w:val="center"/>
                    <w:rPr>
                      <w:bCs/>
                      <w:color w:val="auto"/>
                      <w:szCs w:val="21"/>
                    </w:rPr>
                  </w:pPr>
                  <w:r>
                    <w:rPr>
                      <w:bCs/>
                      <w:color w:val="auto"/>
                      <w:szCs w:val="21"/>
                    </w:rPr>
                    <w:t>稳定度</w:t>
                  </w:r>
                </w:p>
              </w:tc>
              <w:tc>
                <w:tcPr>
                  <w:tcW w:w="4349" w:type="dxa"/>
                  <w:noWrap w:val="0"/>
                  <w:vAlign w:val="center"/>
                </w:tcPr>
                <w:p w14:paraId="613DB31C">
                  <w:pPr>
                    <w:spacing w:line="240" w:lineRule="atLeast"/>
                    <w:jc w:val="center"/>
                    <w:rPr>
                      <w:rFonts w:hint="eastAsia"/>
                      <w:bCs/>
                      <w:color w:val="auto"/>
                      <w:szCs w:val="21"/>
                    </w:rPr>
                  </w:pPr>
                  <w:r>
                    <w:rPr>
                      <w:rFonts w:hint="eastAsia"/>
                      <w:bCs/>
                      <w:color w:val="auto"/>
                      <w:szCs w:val="21"/>
                    </w:rPr>
                    <w:t>F</w:t>
                  </w:r>
                </w:p>
              </w:tc>
            </w:tr>
            <w:tr w14:paraId="0EE6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restart"/>
                  <w:noWrap w:val="0"/>
                  <w:vAlign w:val="center"/>
                </w:tcPr>
                <w:p w14:paraId="2AF25D22">
                  <w:pPr>
                    <w:spacing w:line="240" w:lineRule="atLeast"/>
                    <w:jc w:val="center"/>
                    <w:rPr>
                      <w:rFonts w:hint="eastAsia"/>
                      <w:bCs/>
                      <w:color w:val="auto"/>
                      <w:szCs w:val="21"/>
                    </w:rPr>
                  </w:pPr>
                  <w:r>
                    <w:rPr>
                      <w:rFonts w:hint="eastAsia"/>
                      <w:bCs/>
                      <w:color w:val="auto"/>
                      <w:szCs w:val="21"/>
                    </w:rPr>
                    <w:t>其他参数</w:t>
                  </w:r>
                </w:p>
              </w:tc>
              <w:tc>
                <w:tcPr>
                  <w:tcW w:w="2550" w:type="dxa"/>
                  <w:noWrap w:val="0"/>
                  <w:vAlign w:val="center"/>
                </w:tcPr>
                <w:p w14:paraId="078C00A3">
                  <w:pPr>
                    <w:spacing w:line="240" w:lineRule="atLeast"/>
                    <w:jc w:val="center"/>
                    <w:rPr>
                      <w:rFonts w:hint="eastAsia"/>
                      <w:bCs/>
                      <w:color w:val="auto"/>
                      <w:szCs w:val="21"/>
                    </w:rPr>
                  </w:pPr>
                  <w:r>
                    <w:rPr>
                      <w:rFonts w:hint="eastAsia"/>
                      <w:bCs/>
                      <w:color w:val="auto"/>
                      <w:szCs w:val="21"/>
                    </w:rPr>
                    <w:t>地表粗糙度 /m</w:t>
                  </w:r>
                </w:p>
              </w:tc>
              <w:tc>
                <w:tcPr>
                  <w:tcW w:w="4349" w:type="dxa"/>
                  <w:noWrap w:val="0"/>
                  <w:vAlign w:val="center"/>
                </w:tcPr>
                <w:p w14:paraId="6CAA7AF7">
                  <w:pPr>
                    <w:spacing w:line="240" w:lineRule="atLeast"/>
                    <w:jc w:val="center"/>
                    <w:rPr>
                      <w:bCs/>
                      <w:color w:val="auto"/>
                      <w:szCs w:val="21"/>
                    </w:rPr>
                  </w:pPr>
                  <w:r>
                    <w:rPr>
                      <w:rFonts w:hint="eastAsia"/>
                      <w:bCs/>
                      <w:color w:val="auto"/>
                      <w:szCs w:val="21"/>
                    </w:rPr>
                    <w:t>1.00</w:t>
                  </w:r>
                </w:p>
              </w:tc>
            </w:tr>
            <w:tr w14:paraId="79A2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2620A0C8">
                  <w:pPr>
                    <w:spacing w:line="240" w:lineRule="atLeast"/>
                    <w:jc w:val="center"/>
                    <w:rPr>
                      <w:bCs/>
                      <w:color w:val="auto"/>
                      <w:szCs w:val="21"/>
                    </w:rPr>
                  </w:pPr>
                </w:p>
              </w:tc>
              <w:tc>
                <w:tcPr>
                  <w:tcW w:w="2550" w:type="dxa"/>
                  <w:noWrap w:val="0"/>
                  <w:vAlign w:val="center"/>
                </w:tcPr>
                <w:p w14:paraId="0E9EF0AF">
                  <w:pPr>
                    <w:spacing w:line="240" w:lineRule="atLeast"/>
                    <w:jc w:val="center"/>
                    <w:rPr>
                      <w:bCs/>
                      <w:color w:val="auto"/>
                      <w:szCs w:val="21"/>
                    </w:rPr>
                  </w:pPr>
                  <w:r>
                    <w:rPr>
                      <w:bCs/>
                      <w:color w:val="auto"/>
                      <w:szCs w:val="21"/>
                    </w:rPr>
                    <w:t>事故考虑地形</w:t>
                  </w:r>
                </w:p>
              </w:tc>
              <w:tc>
                <w:tcPr>
                  <w:tcW w:w="4349" w:type="dxa"/>
                  <w:noWrap w:val="0"/>
                  <w:vAlign w:val="center"/>
                </w:tcPr>
                <w:p w14:paraId="709623E0">
                  <w:pPr>
                    <w:spacing w:line="240" w:lineRule="atLeast"/>
                    <w:jc w:val="center"/>
                    <w:rPr>
                      <w:rFonts w:hint="eastAsia"/>
                      <w:bCs/>
                      <w:color w:val="auto"/>
                      <w:szCs w:val="21"/>
                    </w:rPr>
                  </w:pPr>
                  <w:r>
                    <w:rPr>
                      <w:rFonts w:hint="eastAsia"/>
                      <w:bCs/>
                      <w:color w:val="auto"/>
                      <w:szCs w:val="21"/>
                    </w:rPr>
                    <w:t>不考虑</w:t>
                  </w:r>
                </w:p>
              </w:tc>
            </w:tr>
            <w:tr w14:paraId="300A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dxa"/>
                  <w:vMerge w:val="continue"/>
                  <w:noWrap w:val="0"/>
                  <w:vAlign w:val="center"/>
                </w:tcPr>
                <w:p w14:paraId="0609880E">
                  <w:pPr>
                    <w:spacing w:line="240" w:lineRule="atLeast"/>
                    <w:jc w:val="center"/>
                    <w:rPr>
                      <w:bCs/>
                      <w:color w:val="auto"/>
                      <w:szCs w:val="21"/>
                    </w:rPr>
                  </w:pPr>
                </w:p>
              </w:tc>
              <w:tc>
                <w:tcPr>
                  <w:tcW w:w="2550" w:type="dxa"/>
                  <w:noWrap w:val="0"/>
                  <w:vAlign w:val="center"/>
                </w:tcPr>
                <w:p w14:paraId="41E76A26">
                  <w:pPr>
                    <w:spacing w:line="240" w:lineRule="atLeast"/>
                    <w:jc w:val="center"/>
                    <w:rPr>
                      <w:bCs/>
                      <w:color w:val="auto"/>
                      <w:szCs w:val="21"/>
                    </w:rPr>
                  </w:pPr>
                  <w:r>
                    <w:rPr>
                      <w:bCs/>
                      <w:color w:val="auto"/>
                      <w:szCs w:val="21"/>
                    </w:rPr>
                    <w:t>地形数据精度/m</w:t>
                  </w:r>
                </w:p>
              </w:tc>
              <w:tc>
                <w:tcPr>
                  <w:tcW w:w="4349" w:type="dxa"/>
                  <w:noWrap w:val="0"/>
                  <w:vAlign w:val="center"/>
                </w:tcPr>
                <w:p w14:paraId="7185897E">
                  <w:pPr>
                    <w:spacing w:line="240" w:lineRule="atLeast"/>
                    <w:jc w:val="center"/>
                    <w:rPr>
                      <w:rFonts w:hint="eastAsia"/>
                      <w:bCs/>
                      <w:color w:val="auto"/>
                      <w:szCs w:val="21"/>
                    </w:rPr>
                  </w:pPr>
                  <w:r>
                    <w:rPr>
                      <w:rFonts w:hint="eastAsia"/>
                      <w:bCs/>
                      <w:color w:val="auto"/>
                      <w:szCs w:val="21"/>
                    </w:rPr>
                    <w:t>/</w:t>
                  </w:r>
                </w:p>
              </w:tc>
            </w:tr>
          </w:tbl>
          <w:p w14:paraId="2D00803B">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4）、预测时段</w:t>
            </w:r>
          </w:p>
          <w:p w14:paraId="5308352F">
            <w:pPr>
              <w:pStyle w:val="30"/>
              <w:adjustRightInd w:val="0"/>
              <w:snapToGrid w:val="0"/>
              <w:spacing w:before="0" w:beforeAutospacing="0" w:after="0" w:afterAutospacing="0" w:line="360" w:lineRule="auto"/>
              <w:ind w:firstLine="420" w:firstLineChars="200"/>
              <w:rPr>
                <w:rFonts w:ascii="Times New Roman" w:hAnsi="Times New Roman"/>
                <w:color w:val="auto"/>
                <w:sz w:val="21"/>
                <w:szCs w:val="21"/>
              </w:rPr>
            </w:pPr>
            <w:r>
              <w:rPr>
                <w:rFonts w:ascii="Times New Roman" w:hAnsi="Times New Roman"/>
                <w:color w:val="auto"/>
                <w:sz w:val="21"/>
                <w:szCs w:val="21"/>
              </w:rPr>
              <w:t>预测时段为事故开始后的</w:t>
            </w:r>
            <w:r>
              <w:rPr>
                <w:rFonts w:hint="eastAsia" w:ascii="Times New Roman" w:hAnsi="Times New Roman"/>
                <w:color w:val="auto"/>
                <w:sz w:val="21"/>
                <w:szCs w:val="21"/>
              </w:rPr>
              <w:t>90</w:t>
            </w:r>
            <w:r>
              <w:rPr>
                <w:rFonts w:ascii="Times New Roman" w:hAnsi="Times New Roman"/>
                <w:color w:val="auto"/>
                <w:sz w:val="21"/>
                <w:szCs w:val="21"/>
              </w:rPr>
              <w:t>min。</w:t>
            </w:r>
          </w:p>
          <w:p w14:paraId="12000B96">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5</w:t>
            </w:r>
            <w:r>
              <w:rPr>
                <w:rFonts w:hint="eastAsia" w:ascii="Times New Roman" w:hAnsi="Times New Roman"/>
                <w:b/>
                <w:bCs/>
                <w:color w:val="auto"/>
                <w:sz w:val="21"/>
                <w:szCs w:val="21"/>
                <w:lang w:eastAsia="zh-CN"/>
              </w:rPr>
              <w:t>)</w:t>
            </w:r>
            <w:r>
              <w:rPr>
                <w:rFonts w:ascii="Times New Roman" w:hAnsi="Times New Roman"/>
                <w:b/>
                <w:bCs/>
                <w:color w:val="auto"/>
                <w:sz w:val="21"/>
                <w:szCs w:val="21"/>
              </w:rPr>
              <w:t>、</w:t>
            </w:r>
            <w:r>
              <w:rPr>
                <w:rFonts w:hint="eastAsia" w:ascii="Times New Roman" w:hAnsi="Times New Roman"/>
                <w:b/>
                <w:bCs/>
                <w:color w:val="auto"/>
                <w:sz w:val="21"/>
                <w:szCs w:val="21"/>
              </w:rPr>
              <w:t>预测范围</w:t>
            </w:r>
          </w:p>
          <w:p w14:paraId="1E883F0A">
            <w:pPr>
              <w:pStyle w:val="30"/>
              <w:adjustRightInd w:val="0"/>
              <w:snapToGrid w:val="0"/>
              <w:spacing w:before="0" w:beforeAutospacing="0" w:after="0" w:afterAutospacing="0" w:line="360" w:lineRule="auto"/>
              <w:ind w:firstLine="420" w:firstLineChars="200"/>
              <w:rPr>
                <w:rFonts w:ascii="Times New Roman" w:hAnsi="Times New Roman"/>
                <w:bCs/>
                <w:color w:val="auto"/>
                <w:sz w:val="21"/>
                <w:szCs w:val="21"/>
              </w:rPr>
            </w:pPr>
            <w:r>
              <w:rPr>
                <w:rFonts w:ascii="Times New Roman" w:hAnsi="Times New Roman"/>
                <w:bCs/>
                <w:color w:val="auto"/>
                <w:sz w:val="21"/>
                <w:szCs w:val="21"/>
              </w:rPr>
              <w:t>根据《建设项目环境风险评价技术导则》（HJ169-2018），预测范围应为预测物质浓度达到评价标准时的最大影响范围，由预测模型计算获取。结合大气风险评价等级及评价范围，确定本次大气环境风险评价预测范围定位项目周边5000m。</w:t>
            </w:r>
          </w:p>
          <w:p w14:paraId="7D7010B1">
            <w:pPr>
              <w:pStyle w:val="30"/>
              <w:adjustRightInd w:val="0"/>
              <w:snapToGrid w:val="0"/>
              <w:spacing w:before="0" w:beforeAutospacing="0" w:after="0" w:afterAutospacing="0" w:line="360" w:lineRule="auto"/>
              <w:ind w:firstLine="420" w:firstLineChars="200"/>
              <w:rPr>
                <w:rFonts w:ascii="Times New Roman" w:hAnsi="Times New Roman"/>
                <w:bCs/>
                <w:color w:val="auto"/>
                <w:sz w:val="21"/>
                <w:szCs w:val="21"/>
              </w:rPr>
            </w:pPr>
            <w:r>
              <w:rPr>
                <w:rFonts w:ascii="Times New Roman" w:hAnsi="Times New Roman"/>
                <w:bCs/>
                <w:color w:val="auto"/>
                <w:sz w:val="21"/>
                <w:szCs w:val="21"/>
              </w:rPr>
              <w:t>根据导则，大气环境风险评价预测计算点分为特殊计算点和一般计算点。特殊计算点：周边5km范围内所有居民点、学校和医院，共计</w:t>
            </w:r>
            <w:r>
              <w:rPr>
                <w:rFonts w:hint="eastAsia" w:ascii="Times New Roman" w:hAnsi="Times New Roman"/>
                <w:bCs/>
                <w:color w:val="auto"/>
                <w:sz w:val="21"/>
                <w:szCs w:val="21"/>
                <w:lang w:val="en-US" w:eastAsia="zh-CN"/>
              </w:rPr>
              <w:t>55</w:t>
            </w:r>
            <w:r>
              <w:rPr>
                <w:rFonts w:ascii="Times New Roman" w:hAnsi="Times New Roman"/>
                <w:bCs/>
                <w:color w:val="auto"/>
                <w:sz w:val="21"/>
                <w:szCs w:val="21"/>
              </w:rPr>
              <w:t>个关心点。一般计算点：距风险源500m范围内一般计算点间距设置为50m×50m</w:t>
            </w:r>
            <w:r>
              <w:rPr>
                <w:rFonts w:hint="eastAsia" w:ascii="Times New Roman" w:hAnsi="Times New Roman"/>
                <w:bCs/>
                <w:color w:val="auto"/>
                <w:sz w:val="21"/>
                <w:szCs w:val="21"/>
              </w:rPr>
              <w:t>；</w:t>
            </w:r>
            <w:r>
              <w:rPr>
                <w:rFonts w:ascii="Times New Roman" w:hAnsi="Times New Roman"/>
                <w:bCs/>
                <w:color w:val="auto"/>
                <w:sz w:val="21"/>
                <w:szCs w:val="21"/>
              </w:rPr>
              <w:t>500~5000m范围内间距设置为100m×100m。下风向轴向有毒有害物质最大浓度计算步长对应设置为50m和100m。计算点高度设置为</w:t>
            </w:r>
            <w:r>
              <w:rPr>
                <w:rFonts w:hint="eastAsia" w:ascii="Times New Roman" w:hAnsi="Times New Roman"/>
                <w:bCs/>
                <w:color w:val="auto"/>
                <w:sz w:val="21"/>
                <w:szCs w:val="21"/>
                <w:lang w:eastAsia="zh-CN"/>
              </w:rPr>
              <w:t>2</w:t>
            </w:r>
            <w:r>
              <w:rPr>
                <w:rFonts w:ascii="Times New Roman" w:hAnsi="Times New Roman"/>
                <w:bCs/>
                <w:color w:val="auto"/>
                <w:sz w:val="21"/>
                <w:szCs w:val="21"/>
              </w:rPr>
              <w:t>m。</w:t>
            </w:r>
          </w:p>
          <w:p w14:paraId="67A62D31">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6</w:t>
            </w:r>
            <w:r>
              <w:rPr>
                <w:rFonts w:hint="eastAsia" w:ascii="Times New Roman" w:hAnsi="Times New Roman"/>
                <w:b/>
                <w:bCs/>
                <w:color w:val="auto"/>
                <w:sz w:val="21"/>
                <w:szCs w:val="21"/>
                <w:lang w:eastAsia="zh-CN"/>
              </w:rPr>
              <w:t>)</w:t>
            </w:r>
            <w:r>
              <w:rPr>
                <w:rFonts w:ascii="Times New Roman" w:hAnsi="Times New Roman"/>
                <w:b/>
                <w:bCs/>
                <w:color w:val="auto"/>
                <w:sz w:val="21"/>
                <w:szCs w:val="21"/>
              </w:rPr>
              <w:t>、预测评价标准</w:t>
            </w:r>
          </w:p>
          <w:p w14:paraId="5C9EFEF5">
            <w:pPr>
              <w:pStyle w:val="30"/>
              <w:adjustRightInd w:val="0"/>
              <w:snapToGrid w:val="0"/>
              <w:spacing w:before="0" w:beforeAutospacing="0" w:after="0" w:afterAutospacing="0" w:line="360" w:lineRule="auto"/>
              <w:ind w:firstLine="480"/>
              <w:rPr>
                <w:rFonts w:ascii="Times New Roman" w:hAnsi="Times New Roman"/>
                <w:color w:val="auto"/>
                <w:sz w:val="21"/>
                <w:szCs w:val="21"/>
              </w:rPr>
            </w:pPr>
            <w:r>
              <w:rPr>
                <w:rFonts w:ascii="Times New Roman" w:hAnsi="Times New Roman"/>
                <w:color w:val="auto"/>
                <w:sz w:val="21"/>
                <w:szCs w:val="21"/>
              </w:rPr>
              <w:t>根据《建设项目环境风险评价技术导则》（HJ/T169－2018）附录H，</w:t>
            </w:r>
            <w:r>
              <w:rPr>
                <w:rFonts w:hint="eastAsia"/>
                <w:bCs/>
                <w:color w:val="auto"/>
                <w:sz w:val="21"/>
                <w:szCs w:val="21"/>
                <w:lang w:val="en-US" w:eastAsia="zh-CN"/>
              </w:rPr>
              <w:t>甲烷、丙烷</w:t>
            </w:r>
            <w:r>
              <w:rPr>
                <w:rFonts w:hint="eastAsia" w:ascii="Times New Roman" w:hAnsi="Times New Roman"/>
                <w:color w:val="auto"/>
                <w:sz w:val="21"/>
                <w:szCs w:val="21"/>
              </w:rPr>
              <w:t>和CO</w:t>
            </w:r>
            <w:r>
              <w:rPr>
                <w:rFonts w:ascii="Times New Roman" w:hAnsi="Times New Roman"/>
                <w:color w:val="auto"/>
                <w:sz w:val="21"/>
                <w:szCs w:val="21"/>
              </w:rPr>
              <w:t>选取结果见下表所示。</w:t>
            </w:r>
          </w:p>
          <w:p w14:paraId="3D96D32A">
            <w:pPr>
              <w:pStyle w:val="30"/>
              <w:adjustRightInd w:val="0"/>
              <w:snapToGrid w:val="0"/>
              <w:spacing w:before="0" w:beforeAutospacing="0" w:after="0" w:afterAutospacing="0" w:line="360" w:lineRule="auto"/>
              <w:ind w:firstLine="48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color w:val="auto"/>
                <w:kern w:val="24"/>
                <w:sz w:val="21"/>
                <w:szCs w:val="21"/>
                <w:lang w:eastAsia="zh-CN"/>
              </w:rPr>
              <w:t>7-25</w:t>
            </w:r>
            <w:r>
              <w:rPr>
                <w:rFonts w:hint="eastAsia" w:ascii="Times New Roman" w:hAnsi="Times New Roman"/>
                <w:b/>
                <w:color w:val="auto"/>
                <w:kern w:val="24"/>
                <w:sz w:val="21"/>
                <w:szCs w:val="21"/>
              </w:rPr>
              <w:t xml:space="preserve"> </w:t>
            </w:r>
            <w:r>
              <w:rPr>
                <w:rFonts w:ascii="Times New Roman" w:hAnsi="Times New Roman"/>
                <w:b/>
                <w:bCs/>
                <w:color w:val="auto"/>
                <w:sz w:val="21"/>
                <w:szCs w:val="21"/>
              </w:rPr>
              <w:t xml:space="preserve"> 预测涉及的危险物质特性毒性终点浓度选取一览表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320"/>
              <w:gridCol w:w="3037"/>
              <w:gridCol w:w="3037"/>
            </w:tblGrid>
            <w:tr w14:paraId="66B2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noWrap w:val="0"/>
                  <w:vAlign w:val="center"/>
                </w:tcPr>
                <w:p w14:paraId="54DE95CB">
                  <w:pPr>
                    <w:spacing w:line="360" w:lineRule="auto"/>
                    <w:jc w:val="center"/>
                    <w:rPr>
                      <w:bCs/>
                      <w:color w:val="auto"/>
                      <w:szCs w:val="21"/>
                    </w:rPr>
                  </w:pPr>
                  <w:r>
                    <w:rPr>
                      <w:bCs/>
                      <w:color w:val="auto"/>
                      <w:szCs w:val="21"/>
                    </w:rPr>
                    <w:t>序号</w:t>
                  </w:r>
                </w:p>
              </w:tc>
              <w:tc>
                <w:tcPr>
                  <w:tcW w:w="1320" w:type="dxa"/>
                  <w:vMerge w:val="restart"/>
                  <w:noWrap w:val="0"/>
                  <w:vAlign w:val="center"/>
                </w:tcPr>
                <w:p w14:paraId="52A57646">
                  <w:pPr>
                    <w:spacing w:line="360" w:lineRule="auto"/>
                    <w:jc w:val="center"/>
                    <w:rPr>
                      <w:bCs/>
                      <w:color w:val="auto"/>
                      <w:szCs w:val="21"/>
                    </w:rPr>
                  </w:pPr>
                  <w:r>
                    <w:rPr>
                      <w:bCs/>
                      <w:color w:val="auto"/>
                      <w:szCs w:val="21"/>
                    </w:rPr>
                    <w:t>物质名称</w:t>
                  </w:r>
                </w:p>
              </w:tc>
              <w:tc>
                <w:tcPr>
                  <w:tcW w:w="6074" w:type="dxa"/>
                  <w:gridSpan w:val="2"/>
                  <w:noWrap w:val="0"/>
                  <w:vAlign w:val="center"/>
                </w:tcPr>
                <w:p w14:paraId="7D804EEC">
                  <w:pPr>
                    <w:keepNext w:val="0"/>
                    <w:keepLines w:val="0"/>
                    <w:pageBreakBefore w:val="0"/>
                    <w:widowControl w:val="0"/>
                    <w:kinsoku/>
                    <w:wordWrap/>
                    <w:overflowPunct/>
                    <w:topLinePunct w:val="0"/>
                    <w:autoSpaceDE/>
                    <w:autoSpaceDN/>
                    <w:bidi w:val="0"/>
                    <w:spacing w:line="240" w:lineRule="atLeast"/>
                    <w:jc w:val="center"/>
                    <w:textAlignment w:val="auto"/>
                    <w:rPr>
                      <w:bCs/>
                      <w:color w:val="auto"/>
                      <w:szCs w:val="21"/>
                    </w:rPr>
                  </w:pPr>
                  <w:r>
                    <w:rPr>
                      <w:bCs/>
                      <w:color w:val="auto"/>
                      <w:szCs w:val="21"/>
                    </w:rPr>
                    <w:t>大气毒性重点浓度 mg/m</w:t>
                  </w:r>
                  <w:r>
                    <w:rPr>
                      <w:bCs/>
                      <w:color w:val="auto"/>
                      <w:szCs w:val="21"/>
                      <w:vertAlign w:val="superscript"/>
                    </w:rPr>
                    <w:t xml:space="preserve"> 3</w:t>
                  </w:r>
                </w:p>
              </w:tc>
            </w:tr>
            <w:tr w14:paraId="298B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noWrap w:val="0"/>
                  <w:vAlign w:val="center"/>
                </w:tcPr>
                <w:p w14:paraId="380AB565">
                  <w:pPr>
                    <w:spacing w:line="360" w:lineRule="auto"/>
                    <w:jc w:val="center"/>
                    <w:rPr>
                      <w:bCs/>
                      <w:color w:val="auto"/>
                      <w:szCs w:val="21"/>
                    </w:rPr>
                  </w:pPr>
                </w:p>
              </w:tc>
              <w:tc>
                <w:tcPr>
                  <w:tcW w:w="1320" w:type="dxa"/>
                  <w:vMerge w:val="continue"/>
                  <w:noWrap w:val="0"/>
                  <w:vAlign w:val="center"/>
                </w:tcPr>
                <w:p w14:paraId="66809D9A">
                  <w:pPr>
                    <w:spacing w:line="360" w:lineRule="auto"/>
                    <w:jc w:val="center"/>
                    <w:rPr>
                      <w:bCs/>
                      <w:color w:val="auto"/>
                      <w:szCs w:val="21"/>
                    </w:rPr>
                  </w:pPr>
                </w:p>
              </w:tc>
              <w:tc>
                <w:tcPr>
                  <w:tcW w:w="3037" w:type="dxa"/>
                  <w:noWrap w:val="0"/>
                  <w:vAlign w:val="center"/>
                </w:tcPr>
                <w:p w14:paraId="3E53C4A9">
                  <w:pPr>
                    <w:keepNext w:val="0"/>
                    <w:keepLines w:val="0"/>
                    <w:pageBreakBefore w:val="0"/>
                    <w:widowControl w:val="0"/>
                    <w:kinsoku/>
                    <w:wordWrap/>
                    <w:overflowPunct/>
                    <w:topLinePunct w:val="0"/>
                    <w:autoSpaceDE/>
                    <w:autoSpaceDN/>
                    <w:bidi w:val="0"/>
                    <w:spacing w:line="240" w:lineRule="atLeast"/>
                    <w:jc w:val="center"/>
                    <w:textAlignment w:val="auto"/>
                    <w:rPr>
                      <w:bCs/>
                      <w:color w:val="auto"/>
                      <w:szCs w:val="21"/>
                    </w:rPr>
                  </w:pPr>
                  <w:r>
                    <w:rPr>
                      <w:rFonts w:hint="eastAsia"/>
                      <w:bCs/>
                      <w:color w:val="auto"/>
                      <w:szCs w:val="21"/>
                    </w:rPr>
                    <w:t>1级</w:t>
                  </w:r>
                </w:p>
              </w:tc>
              <w:tc>
                <w:tcPr>
                  <w:tcW w:w="3037" w:type="dxa"/>
                  <w:noWrap w:val="0"/>
                  <w:vAlign w:val="center"/>
                </w:tcPr>
                <w:p w14:paraId="0321305B">
                  <w:pPr>
                    <w:keepNext w:val="0"/>
                    <w:keepLines w:val="0"/>
                    <w:pageBreakBefore w:val="0"/>
                    <w:widowControl w:val="0"/>
                    <w:kinsoku/>
                    <w:wordWrap/>
                    <w:overflowPunct/>
                    <w:topLinePunct w:val="0"/>
                    <w:autoSpaceDE/>
                    <w:autoSpaceDN/>
                    <w:bidi w:val="0"/>
                    <w:spacing w:line="240" w:lineRule="atLeast"/>
                    <w:jc w:val="center"/>
                    <w:textAlignment w:val="auto"/>
                    <w:rPr>
                      <w:rFonts w:hint="eastAsia"/>
                      <w:bCs/>
                      <w:color w:val="auto"/>
                      <w:szCs w:val="21"/>
                    </w:rPr>
                  </w:pPr>
                  <w:r>
                    <w:rPr>
                      <w:rFonts w:hint="eastAsia"/>
                      <w:bCs/>
                      <w:color w:val="auto"/>
                      <w:szCs w:val="21"/>
                    </w:rPr>
                    <w:t>2级</w:t>
                  </w:r>
                </w:p>
              </w:tc>
            </w:tr>
            <w:tr w14:paraId="5936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noWrap w:val="0"/>
                  <w:vAlign w:val="center"/>
                </w:tcPr>
                <w:p w14:paraId="0446C5F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bCs/>
                      <w:color w:val="auto"/>
                      <w:szCs w:val="21"/>
                    </w:rPr>
                  </w:pPr>
                  <w:r>
                    <w:rPr>
                      <w:rFonts w:hint="eastAsia"/>
                      <w:bCs/>
                      <w:color w:val="auto"/>
                      <w:szCs w:val="21"/>
                    </w:rPr>
                    <w:t>1</w:t>
                  </w:r>
                </w:p>
              </w:tc>
              <w:tc>
                <w:tcPr>
                  <w:tcW w:w="1320" w:type="dxa"/>
                  <w:noWrap w:val="0"/>
                  <w:vAlign w:val="center"/>
                </w:tcPr>
                <w:p w14:paraId="1FCE8F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bCs/>
                      <w:color w:val="auto"/>
                      <w:szCs w:val="21"/>
                      <w:lang w:eastAsia="zh-CN"/>
                    </w:rPr>
                  </w:pPr>
                  <w:r>
                    <w:rPr>
                      <w:rFonts w:hint="eastAsia"/>
                      <w:bCs/>
                      <w:color w:val="auto"/>
                      <w:szCs w:val="21"/>
                      <w:lang w:val="en-US" w:eastAsia="zh-CN"/>
                    </w:rPr>
                    <w:t>甲烷</w:t>
                  </w:r>
                </w:p>
              </w:tc>
              <w:tc>
                <w:tcPr>
                  <w:tcW w:w="3037" w:type="dxa"/>
                  <w:noWrap w:val="0"/>
                  <w:vAlign w:val="center"/>
                </w:tcPr>
                <w:p w14:paraId="10458D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宋体"/>
                      <w:bCs/>
                      <w:color w:val="auto"/>
                      <w:szCs w:val="21"/>
                      <w:lang w:val="en-US" w:eastAsia="zh-CN"/>
                    </w:rPr>
                  </w:pPr>
                  <w:r>
                    <w:rPr>
                      <w:rFonts w:hint="eastAsia"/>
                      <w:bCs/>
                      <w:color w:val="auto"/>
                      <w:szCs w:val="21"/>
                      <w:lang w:val="en-US" w:eastAsia="zh-CN"/>
                    </w:rPr>
                    <w:t>260000</w:t>
                  </w:r>
                </w:p>
              </w:tc>
              <w:tc>
                <w:tcPr>
                  <w:tcW w:w="3037" w:type="dxa"/>
                  <w:noWrap w:val="0"/>
                  <w:vAlign w:val="center"/>
                </w:tcPr>
                <w:p w14:paraId="2CC249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宋体"/>
                      <w:bCs/>
                      <w:color w:val="auto"/>
                      <w:szCs w:val="21"/>
                      <w:lang w:val="en-US" w:eastAsia="zh-CN"/>
                    </w:rPr>
                  </w:pPr>
                  <w:r>
                    <w:rPr>
                      <w:rFonts w:hint="eastAsia"/>
                      <w:bCs/>
                      <w:color w:val="auto"/>
                      <w:szCs w:val="21"/>
                      <w:lang w:val="en-US" w:eastAsia="zh-CN"/>
                    </w:rPr>
                    <w:t>150000</w:t>
                  </w:r>
                </w:p>
              </w:tc>
            </w:tr>
            <w:tr w14:paraId="4243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noWrap w:val="0"/>
                  <w:vAlign w:val="center"/>
                </w:tcPr>
                <w:p w14:paraId="4D7060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bCs/>
                      <w:color w:val="auto"/>
                      <w:szCs w:val="21"/>
                      <w:lang w:val="en-US" w:eastAsia="zh-CN"/>
                    </w:rPr>
                  </w:pPr>
                  <w:r>
                    <w:rPr>
                      <w:rFonts w:hint="eastAsia"/>
                      <w:bCs/>
                      <w:color w:val="auto"/>
                      <w:szCs w:val="21"/>
                      <w:lang w:val="en-US" w:eastAsia="zh-CN"/>
                    </w:rPr>
                    <w:t>2</w:t>
                  </w:r>
                </w:p>
              </w:tc>
              <w:tc>
                <w:tcPr>
                  <w:tcW w:w="1320" w:type="dxa"/>
                  <w:noWrap w:val="0"/>
                  <w:vAlign w:val="center"/>
                </w:tcPr>
                <w:p w14:paraId="1A2E59B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bCs/>
                      <w:color w:val="auto"/>
                      <w:szCs w:val="21"/>
                      <w:lang w:val="en-US" w:eastAsia="zh-CN"/>
                    </w:rPr>
                  </w:pPr>
                  <w:r>
                    <w:rPr>
                      <w:rFonts w:hint="eastAsia"/>
                      <w:bCs/>
                      <w:color w:val="auto"/>
                      <w:szCs w:val="21"/>
                      <w:lang w:val="en-US" w:eastAsia="zh-CN"/>
                    </w:rPr>
                    <w:t>丙烷</w:t>
                  </w:r>
                </w:p>
              </w:tc>
              <w:tc>
                <w:tcPr>
                  <w:tcW w:w="3037" w:type="dxa"/>
                  <w:noWrap w:val="0"/>
                  <w:vAlign w:val="center"/>
                </w:tcPr>
                <w:p w14:paraId="66601F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宋体"/>
                      <w:bCs/>
                      <w:color w:val="auto"/>
                      <w:szCs w:val="21"/>
                      <w:lang w:val="en-US" w:eastAsia="zh-CN"/>
                    </w:rPr>
                  </w:pPr>
                  <w:r>
                    <w:rPr>
                      <w:rFonts w:hint="eastAsia"/>
                      <w:bCs/>
                      <w:color w:val="auto"/>
                      <w:szCs w:val="21"/>
                      <w:lang w:val="en-US" w:eastAsia="zh-CN"/>
                    </w:rPr>
                    <w:t>59000</w:t>
                  </w:r>
                </w:p>
              </w:tc>
              <w:tc>
                <w:tcPr>
                  <w:tcW w:w="3037" w:type="dxa"/>
                  <w:noWrap w:val="0"/>
                  <w:vAlign w:val="center"/>
                </w:tcPr>
                <w:p w14:paraId="2DDB85F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宋体"/>
                      <w:bCs/>
                      <w:color w:val="auto"/>
                      <w:szCs w:val="21"/>
                      <w:lang w:val="en-US" w:eastAsia="zh-CN"/>
                    </w:rPr>
                  </w:pPr>
                  <w:r>
                    <w:rPr>
                      <w:rFonts w:hint="eastAsia"/>
                      <w:bCs/>
                      <w:color w:val="auto"/>
                      <w:szCs w:val="21"/>
                      <w:lang w:val="en-US" w:eastAsia="zh-CN"/>
                    </w:rPr>
                    <w:t>31000</w:t>
                  </w:r>
                </w:p>
              </w:tc>
            </w:tr>
            <w:tr w14:paraId="0C1F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noWrap w:val="0"/>
                  <w:vAlign w:val="center"/>
                </w:tcPr>
                <w:p w14:paraId="0EAE6E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bCs/>
                      <w:color w:val="auto"/>
                      <w:szCs w:val="21"/>
                      <w:lang w:eastAsia="zh-CN"/>
                    </w:rPr>
                  </w:pPr>
                  <w:r>
                    <w:rPr>
                      <w:rFonts w:hint="eastAsia"/>
                      <w:bCs/>
                      <w:color w:val="auto"/>
                      <w:szCs w:val="21"/>
                      <w:lang w:val="en-US" w:eastAsia="zh-CN"/>
                    </w:rPr>
                    <w:t>3</w:t>
                  </w:r>
                </w:p>
              </w:tc>
              <w:tc>
                <w:tcPr>
                  <w:tcW w:w="1320" w:type="dxa"/>
                  <w:noWrap w:val="0"/>
                  <w:vAlign w:val="center"/>
                </w:tcPr>
                <w:p w14:paraId="5D79CF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Cs/>
                      <w:color w:val="auto"/>
                      <w:szCs w:val="21"/>
                    </w:rPr>
                  </w:pPr>
                  <w:r>
                    <w:rPr>
                      <w:rFonts w:hint="eastAsia"/>
                      <w:bCs/>
                      <w:color w:val="auto"/>
                      <w:szCs w:val="21"/>
                    </w:rPr>
                    <w:t>CO</w:t>
                  </w:r>
                </w:p>
              </w:tc>
              <w:tc>
                <w:tcPr>
                  <w:tcW w:w="3037" w:type="dxa"/>
                  <w:noWrap w:val="0"/>
                  <w:vAlign w:val="center"/>
                </w:tcPr>
                <w:p w14:paraId="1E8F5E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Cs/>
                      <w:color w:val="auto"/>
                      <w:szCs w:val="21"/>
                    </w:rPr>
                  </w:pPr>
                  <w:r>
                    <w:rPr>
                      <w:rFonts w:hint="eastAsia"/>
                      <w:bCs/>
                      <w:color w:val="auto"/>
                      <w:szCs w:val="21"/>
                    </w:rPr>
                    <w:t>380</w:t>
                  </w:r>
                </w:p>
              </w:tc>
              <w:tc>
                <w:tcPr>
                  <w:tcW w:w="3037" w:type="dxa"/>
                  <w:noWrap w:val="0"/>
                  <w:vAlign w:val="center"/>
                </w:tcPr>
                <w:p w14:paraId="4B199E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Cs/>
                      <w:color w:val="auto"/>
                      <w:szCs w:val="21"/>
                    </w:rPr>
                  </w:pPr>
                  <w:r>
                    <w:rPr>
                      <w:rFonts w:hint="eastAsia"/>
                      <w:bCs/>
                      <w:color w:val="auto"/>
                      <w:szCs w:val="21"/>
                    </w:rPr>
                    <w:t>95</w:t>
                  </w:r>
                </w:p>
              </w:tc>
            </w:tr>
            <w:tr w14:paraId="1304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0" w:type="dxa"/>
                  <w:gridSpan w:val="4"/>
                  <w:noWrap w:val="0"/>
                  <w:vAlign w:val="center"/>
                </w:tcPr>
                <w:p w14:paraId="1EF875A5">
                  <w:pPr>
                    <w:spacing w:line="360" w:lineRule="auto"/>
                    <w:jc w:val="left"/>
                    <w:rPr>
                      <w:rFonts w:hint="eastAsia"/>
                      <w:bCs/>
                      <w:color w:val="auto"/>
                      <w:szCs w:val="21"/>
                    </w:rPr>
                  </w:pPr>
                </w:p>
              </w:tc>
            </w:tr>
          </w:tbl>
          <w:p w14:paraId="7FB8633E">
            <w:pPr>
              <w:pStyle w:val="30"/>
              <w:adjustRightInd w:val="0"/>
              <w:snapToGrid w:val="0"/>
              <w:spacing w:before="0" w:beforeAutospacing="0" w:after="0" w:afterAutospacing="0" w:line="360" w:lineRule="auto"/>
              <w:ind w:firstLine="422" w:firstLineChars="200"/>
              <w:rPr>
                <w:rFonts w:ascii="Times New Roman" w:hAnsi="Times New Roman"/>
                <w:b/>
                <w:bCs/>
                <w:color w:val="auto"/>
                <w:sz w:val="21"/>
                <w:szCs w:val="21"/>
              </w:rPr>
            </w:pPr>
            <w:r>
              <w:rPr>
                <w:rFonts w:ascii="Times New Roman" w:hAnsi="Times New Roman"/>
                <w:b/>
                <w:bCs/>
                <w:color w:val="auto"/>
                <w:sz w:val="21"/>
                <w:szCs w:val="21"/>
              </w:rPr>
              <w:t>7</w:t>
            </w:r>
            <w:r>
              <w:rPr>
                <w:rFonts w:hint="eastAsia" w:ascii="Times New Roman" w:hAnsi="Times New Roman"/>
                <w:b/>
                <w:bCs/>
                <w:color w:val="auto"/>
                <w:sz w:val="21"/>
                <w:szCs w:val="21"/>
                <w:lang w:eastAsia="zh-CN"/>
              </w:rPr>
              <w:t>)</w:t>
            </w:r>
            <w:r>
              <w:rPr>
                <w:rFonts w:ascii="Times New Roman" w:hAnsi="Times New Roman"/>
                <w:b/>
                <w:bCs/>
                <w:color w:val="auto"/>
                <w:sz w:val="21"/>
                <w:szCs w:val="21"/>
              </w:rPr>
              <w:t>、预测结果及评价</w:t>
            </w:r>
          </w:p>
          <w:p w14:paraId="76EEEED9">
            <w:pPr>
              <w:pStyle w:val="30"/>
              <w:adjustRightInd w:val="0"/>
              <w:snapToGrid w:val="0"/>
              <w:spacing w:before="0" w:beforeAutospacing="0" w:after="0" w:afterAutospacing="0" w:line="360" w:lineRule="auto"/>
              <w:ind w:firstLine="420" w:firstLineChars="200"/>
              <w:rPr>
                <w:rFonts w:hint="eastAsia" w:ascii="Times New Roman" w:hAnsi="Times New Roman"/>
                <w:color w:val="auto"/>
                <w:sz w:val="21"/>
                <w:szCs w:val="21"/>
                <w:lang w:eastAsia="zh-CN"/>
              </w:rPr>
            </w:pPr>
            <w:r>
              <w:rPr>
                <w:rFonts w:ascii="Times New Roman" w:hAnsi="Times New Roman"/>
                <w:color w:val="auto"/>
                <w:sz w:val="21"/>
                <w:szCs w:val="21"/>
              </w:rPr>
              <w:t>选取最不利气象条件进行后果预测，预测结果见</w:t>
            </w:r>
            <w:r>
              <w:rPr>
                <w:rFonts w:hint="eastAsia" w:ascii="Times New Roman" w:hAnsi="Times New Roman"/>
                <w:color w:val="auto"/>
                <w:sz w:val="21"/>
                <w:szCs w:val="21"/>
              </w:rPr>
              <w:t>下表：</w:t>
            </w:r>
          </w:p>
          <w:p w14:paraId="02C74EB7">
            <w:pPr>
              <w:pStyle w:val="30"/>
              <w:adjustRightInd w:val="0"/>
              <w:snapToGrid w:val="0"/>
              <w:spacing w:before="0" w:beforeAutospacing="0" w:after="0" w:afterAutospacing="0" w:line="360" w:lineRule="auto"/>
              <w:ind w:firstLine="20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表7-26  甲烷泄漏</w:t>
            </w:r>
            <w:r>
              <w:rPr>
                <w:rFonts w:ascii="Times New Roman" w:hAnsi="Times New Roman"/>
                <w:b/>
                <w:bCs/>
                <w:color w:val="auto"/>
                <w:sz w:val="21"/>
                <w:szCs w:val="21"/>
              </w:rPr>
              <w:t>风险事故情形分析表</w:t>
            </w:r>
          </w:p>
          <w:tbl>
            <w:tblPr>
              <w:tblStyle w:val="35"/>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1479"/>
              <w:gridCol w:w="1363"/>
              <w:gridCol w:w="1421"/>
              <w:gridCol w:w="1421"/>
              <w:gridCol w:w="1421"/>
              <w:gridCol w:w="1422"/>
            </w:tblGrid>
            <w:tr w14:paraId="15DD62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79" w:type="dxa"/>
                  <w:noWrap w:val="0"/>
                  <w:vAlign w:val="center"/>
                </w:tcPr>
                <w:p w14:paraId="6C1A45F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泄露设备类型</w:t>
                  </w:r>
                </w:p>
              </w:tc>
              <w:tc>
                <w:tcPr>
                  <w:tcW w:w="1363" w:type="dxa"/>
                  <w:noWrap w:val="0"/>
                  <w:vAlign w:val="center"/>
                </w:tcPr>
                <w:p w14:paraId="4A9F45F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低温液化气容器</w:t>
                  </w:r>
                </w:p>
              </w:tc>
              <w:tc>
                <w:tcPr>
                  <w:tcW w:w="1421" w:type="dxa"/>
                  <w:noWrap w:val="0"/>
                  <w:vAlign w:val="center"/>
                </w:tcPr>
                <w:p w14:paraId="6D4AB01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操作温度(℃)</w:t>
                  </w:r>
                </w:p>
              </w:tc>
              <w:tc>
                <w:tcPr>
                  <w:tcW w:w="1421" w:type="dxa"/>
                  <w:noWrap w:val="0"/>
                  <w:vAlign w:val="center"/>
                </w:tcPr>
                <w:p w14:paraId="602E56E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-162.00</w:t>
                  </w:r>
                </w:p>
              </w:tc>
              <w:tc>
                <w:tcPr>
                  <w:tcW w:w="1421" w:type="dxa"/>
                  <w:noWrap w:val="0"/>
                  <w:vAlign w:val="center"/>
                </w:tcPr>
                <w:p w14:paraId="66AE5F5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操作压力(MPa)</w:t>
                  </w:r>
                </w:p>
              </w:tc>
              <w:tc>
                <w:tcPr>
                  <w:tcW w:w="1422" w:type="dxa"/>
                  <w:noWrap w:val="0"/>
                  <w:vAlign w:val="center"/>
                </w:tcPr>
                <w:p w14:paraId="5757BD7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0.840000</w:t>
                  </w:r>
                </w:p>
              </w:tc>
            </w:tr>
            <w:tr w14:paraId="74BF01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79" w:type="dxa"/>
                  <w:noWrap w:val="0"/>
                  <w:vAlign w:val="center"/>
                </w:tcPr>
                <w:p w14:paraId="3D98EF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泄露危险物质</w:t>
                  </w:r>
                </w:p>
              </w:tc>
              <w:tc>
                <w:tcPr>
                  <w:tcW w:w="1363" w:type="dxa"/>
                  <w:noWrap w:val="0"/>
                  <w:vAlign w:val="center"/>
                </w:tcPr>
                <w:p w14:paraId="6ECC0D0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甲烷</w:t>
                  </w:r>
                </w:p>
              </w:tc>
              <w:tc>
                <w:tcPr>
                  <w:tcW w:w="1421" w:type="dxa"/>
                  <w:noWrap w:val="0"/>
                  <w:vAlign w:val="center"/>
                </w:tcPr>
                <w:p w14:paraId="3E19ED2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最大存在量(kg)</w:t>
                  </w:r>
                </w:p>
              </w:tc>
              <w:tc>
                <w:tcPr>
                  <w:tcW w:w="1421" w:type="dxa"/>
                  <w:noWrap w:val="0"/>
                  <w:vAlign w:val="center"/>
                </w:tcPr>
                <w:p w14:paraId="6FEE5C5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9560.3355</w:t>
                  </w:r>
                </w:p>
              </w:tc>
              <w:tc>
                <w:tcPr>
                  <w:tcW w:w="1421" w:type="dxa"/>
                  <w:noWrap w:val="0"/>
                  <w:vAlign w:val="center"/>
                </w:tcPr>
                <w:p w14:paraId="1F6A5F1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裂口直径(mm)</w:t>
                  </w:r>
                </w:p>
              </w:tc>
              <w:tc>
                <w:tcPr>
                  <w:tcW w:w="1422" w:type="dxa"/>
                  <w:noWrap w:val="0"/>
                  <w:vAlign w:val="center"/>
                </w:tcPr>
                <w:p w14:paraId="139D560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r>
            <w:tr w14:paraId="4ECC28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79" w:type="dxa"/>
                  <w:noWrap w:val="0"/>
                  <w:vAlign w:val="center"/>
                </w:tcPr>
                <w:p w14:paraId="59E8112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泄露速率(kg/s)</w:t>
                  </w:r>
                </w:p>
              </w:tc>
              <w:tc>
                <w:tcPr>
                  <w:tcW w:w="1363" w:type="dxa"/>
                  <w:noWrap w:val="0"/>
                  <w:vAlign w:val="center"/>
                </w:tcPr>
                <w:p w14:paraId="71CE622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1.3020</w:t>
                  </w:r>
                </w:p>
              </w:tc>
              <w:tc>
                <w:tcPr>
                  <w:tcW w:w="1421" w:type="dxa"/>
                  <w:noWrap w:val="0"/>
                  <w:vAlign w:val="center"/>
                </w:tcPr>
                <w:p w14:paraId="725C81A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泄露时间(min)</w:t>
                  </w:r>
                </w:p>
              </w:tc>
              <w:tc>
                <w:tcPr>
                  <w:tcW w:w="1421" w:type="dxa"/>
                  <w:noWrap w:val="0"/>
                  <w:vAlign w:val="center"/>
                </w:tcPr>
                <w:p w14:paraId="2F12350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10.00</w:t>
                  </w:r>
                </w:p>
              </w:tc>
              <w:tc>
                <w:tcPr>
                  <w:tcW w:w="1421" w:type="dxa"/>
                  <w:noWrap w:val="0"/>
                  <w:vAlign w:val="center"/>
                </w:tcPr>
                <w:p w14:paraId="2104DAD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泄露量(kg)</w:t>
                  </w:r>
                </w:p>
              </w:tc>
              <w:tc>
                <w:tcPr>
                  <w:tcW w:w="1422" w:type="dxa"/>
                  <w:noWrap w:val="0"/>
                  <w:vAlign w:val="center"/>
                </w:tcPr>
                <w:p w14:paraId="2F781FD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781.2000</w:t>
                  </w:r>
                </w:p>
              </w:tc>
            </w:tr>
            <w:tr w14:paraId="344EA2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40" w:hRule="atLeast"/>
              </w:trPr>
              <w:tc>
                <w:tcPr>
                  <w:tcW w:w="1479" w:type="dxa"/>
                  <w:noWrap w:val="0"/>
                  <w:vAlign w:val="center"/>
                </w:tcPr>
                <w:p w14:paraId="0CF20A9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泄露高度(m)</w:t>
                  </w:r>
                </w:p>
              </w:tc>
              <w:tc>
                <w:tcPr>
                  <w:tcW w:w="1363" w:type="dxa"/>
                  <w:noWrap w:val="0"/>
                  <w:vAlign w:val="center"/>
                </w:tcPr>
                <w:p w14:paraId="49F86FB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1.5000</w:t>
                  </w:r>
                </w:p>
              </w:tc>
              <w:tc>
                <w:tcPr>
                  <w:tcW w:w="1421" w:type="dxa"/>
                  <w:noWrap w:val="0"/>
                  <w:vAlign w:val="center"/>
                </w:tcPr>
                <w:p w14:paraId="1F8171B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泄露概率(次/年)</w:t>
                  </w:r>
                </w:p>
              </w:tc>
              <w:tc>
                <w:tcPr>
                  <w:tcW w:w="1421" w:type="dxa"/>
                  <w:noWrap w:val="0"/>
                  <w:vAlign w:val="center"/>
                </w:tcPr>
                <w:p w14:paraId="0D9764D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38E8AEE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蒸发量(kg)</w:t>
                  </w:r>
                </w:p>
              </w:tc>
              <w:tc>
                <w:tcPr>
                  <w:tcW w:w="1422" w:type="dxa"/>
                  <w:noWrap w:val="0"/>
                  <w:vAlign w:val="center"/>
                </w:tcPr>
                <w:p w14:paraId="10B3233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r>
            <w:tr w14:paraId="130DE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5" w:hRule="atLeast"/>
              </w:trPr>
              <w:tc>
                <w:tcPr>
                  <w:tcW w:w="4263" w:type="dxa"/>
                  <w:gridSpan w:val="3"/>
                  <w:noWrap w:val="0"/>
                  <w:vAlign w:val="center"/>
                </w:tcPr>
                <w:p w14:paraId="53A6ECE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大气环境影响-气象条件名称-模型类型</w:t>
                  </w:r>
                </w:p>
              </w:tc>
              <w:tc>
                <w:tcPr>
                  <w:tcW w:w="4264" w:type="dxa"/>
                  <w:gridSpan w:val="3"/>
                  <w:noWrap w:val="0"/>
                  <w:vAlign w:val="center"/>
                </w:tcPr>
                <w:p w14:paraId="18C75D8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最不利气象条件-aftox模型</w:t>
                  </w:r>
                </w:p>
              </w:tc>
            </w:tr>
            <w:tr w14:paraId="61B6CB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79" w:type="dxa"/>
                  <w:noWrap w:val="0"/>
                  <w:vAlign w:val="center"/>
                </w:tcPr>
                <w:p w14:paraId="52997B6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指标</w:t>
                  </w:r>
                </w:p>
              </w:tc>
              <w:tc>
                <w:tcPr>
                  <w:tcW w:w="2784" w:type="dxa"/>
                  <w:gridSpan w:val="2"/>
                  <w:noWrap w:val="0"/>
                  <w:vAlign w:val="center"/>
                </w:tcPr>
                <w:p w14:paraId="4B90B0F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浓度值(mg/m</w:t>
                  </w:r>
                  <w:r>
                    <w:rPr>
                      <w:rFonts w:ascii="Times New Roman" w:hAnsi="Times New Roman"/>
                      <w:b w:val="0"/>
                      <w:bCs w:val="0"/>
                      <w:color w:val="auto"/>
                      <w:sz w:val="21"/>
                      <w:szCs w:val="21"/>
                      <w:vertAlign w:val="superscript"/>
                    </w:rPr>
                    <w:t>3</w:t>
                  </w:r>
                  <w:r>
                    <w:rPr>
                      <w:rFonts w:ascii="Times New Roman" w:hAnsi="Times New Roman"/>
                      <w:b w:val="0"/>
                      <w:bCs w:val="0"/>
                      <w:color w:val="auto"/>
                      <w:sz w:val="21"/>
                      <w:szCs w:val="21"/>
                    </w:rPr>
                    <w:t>)</w:t>
                  </w:r>
                </w:p>
              </w:tc>
              <w:tc>
                <w:tcPr>
                  <w:tcW w:w="1421" w:type="dxa"/>
                  <w:noWrap w:val="0"/>
                  <w:vAlign w:val="center"/>
                </w:tcPr>
                <w:p w14:paraId="0DD20A1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最远影响距离(m)</w:t>
                  </w:r>
                </w:p>
              </w:tc>
              <w:tc>
                <w:tcPr>
                  <w:tcW w:w="2843" w:type="dxa"/>
                  <w:gridSpan w:val="2"/>
                  <w:noWrap w:val="0"/>
                  <w:vAlign w:val="center"/>
                </w:tcPr>
                <w:p w14:paraId="76065A7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到达时间(min)</w:t>
                  </w:r>
                </w:p>
              </w:tc>
            </w:tr>
            <w:tr w14:paraId="76A158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60" w:hRule="atLeast"/>
              </w:trPr>
              <w:tc>
                <w:tcPr>
                  <w:tcW w:w="1479" w:type="dxa"/>
                  <w:noWrap w:val="0"/>
                  <w:vAlign w:val="center"/>
                </w:tcPr>
                <w:p w14:paraId="33293F0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w:t>
                  </w:r>
                </w:p>
              </w:tc>
              <w:tc>
                <w:tcPr>
                  <w:tcW w:w="2784" w:type="dxa"/>
                  <w:gridSpan w:val="2"/>
                  <w:noWrap w:val="0"/>
                  <w:vAlign w:val="center"/>
                </w:tcPr>
                <w:p w14:paraId="321EC80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260000.000000</w:t>
                  </w:r>
                </w:p>
              </w:tc>
              <w:tc>
                <w:tcPr>
                  <w:tcW w:w="1421" w:type="dxa"/>
                  <w:noWrap w:val="0"/>
                  <w:vAlign w:val="center"/>
                </w:tcPr>
                <w:p w14:paraId="40A1BE6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2843" w:type="dxa"/>
                  <w:gridSpan w:val="2"/>
                  <w:noWrap w:val="0"/>
                  <w:vAlign w:val="center"/>
                </w:tcPr>
                <w:p w14:paraId="145D8F7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r>
            <w:tr w14:paraId="37E308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90" w:hRule="atLeast"/>
              </w:trPr>
              <w:tc>
                <w:tcPr>
                  <w:tcW w:w="1479" w:type="dxa"/>
                  <w:noWrap w:val="0"/>
                  <w:vAlign w:val="center"/>
                </w:tcPr>
                <w:p w14:paraId="3BDFF29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w:t>
                  </w:r>
                </w:p>
              </w:tc>
              <w:tc>
                <w:tcPr>
                  <w:tcW w:w="2784" w:type="dxa"/>
                  <w:gridSpan w:val="2"/>
                  <w:noWrap w:val="0"/>
                  <w:vAlign w:val="center"/>
                </w:tcPr>
                <w:p w14:paraId="0E8DE54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150000.000000</w:t>
                  </w:r>
                </w:p>
              </w:tc>
              <w:tc>
                <w:tcPr>
                  <w:tcW w:w="1421" w:type="dxa"/>
                  <w:noWrap w:val="0"/>
                  <w:vAlign w:val="center"/>
                </w:tcPr>
                <w:p w14:paraId="2CFE187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2843" w:type="dxa"/>
                  <w:gridSpan w:val="2"/>
                  <w:noWrap w:val="0"/>
                  <w:vAlign w:val="center"/>
                </w:tcPr>
                <w:p w14:paraId="2132204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r>
            <w:tr w14:paraId="1703BE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79" w:type="dxa"/>
                  <w:noWrap w:val="0"/>
                  <w:vAlign w:val="center"/>
                </w:tcPr>
                <w:p w14:paraId="0A7CFD8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敏感目标名称</w:t>
                  </w:r>
                </w:p>
              </w:tc>
              <w:tc>
                <w:tcPr>
                  <w:tcW w:w="1363" w:type="dxa"/>
                  <w:noWrap w:val="0"/>
                  <w:vAlign w:val="center"/>
                </w:tcPr>
                <w:p w14:paraId="0979365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大气毒性终点浓度-1-超标时间(min)</w:t>
                  </w:r>
                </w:p>
              </w:tc>
              <w:tc>
                <w:tcPr>
                  <w:tcW w:w="1421" w:type="dxa"/>
                  <w:noWrap w:val="0"/>
                  <w:vAlign w:val="center"/>
                </w:tcPr>
                <w:p w14:paraId="3375929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大气毒性终点浓度-1-超标持续时间(min)</w:t>
                  </w:r>
                </w:p>
              </w:tc>
              <w:tc>
                <w:tcPr>
                  <w:tcW w:w="1421" w:type="dxa"/>
                  <w:noWrap w:val="0"/>
                  <w:vAlign w:val="center"/>
                </w:tcPr>
                <w:p w14:paraId="3793B77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大气毒性终点浓度-2-超标时间(min)</w:t>
                  </w:r>
                </w:p>
              </w:tc>
              <w:tc>
                <w:tcPr>
                  <w:tcW w:w="1421" w:type="dxa"/>
                  <w:noWrap w:val="0"/>
                  <w:vAlign w:val="center"/>
                </w:tcPr>
                <w:p w14:paraId="44A5F60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大气毒性终点浓度-2-超标持续时间(min)</w:t>
                  </w:r>
                </w:p>
              </w:tc>
              <w:tc>
                <w:tcPr>
                  <w:tcW w:w="1422" w:type="dxa"/>
                  <w:noWrap w:val="0"/>
                  <w:vAlign w:val="center"/>
                </w:tcPr>
                <w:p w14:paraId="1ED5C6E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敏感目标-最大浓度(mg/m</w:t>
                  </w:r>
                  <w:r>
                    <w:rPr>
                      <w:rFonts w:ascii="Times New Roman" w:hAnsi="Times New Roman"/>
                      <w:b w:val="0"/>
                      <w:bCs w:val="0"/>
                      <w:color w:val="auto"/>
                      <w:sz w:val="21"/>
                      <w:szCs w:val="21"/>
                      <w:vertAlign w:val="superscript"/>
                    </w:rPr>
                    <w:t>3</w:t>
                  </w:r>
                  <w:r>
                    <w:rPr>
                      <w:rFonts w:ascii="Times New Roman" w:hAnsi="Times New Roman"/>
                      <w:b w:val="0"/>
                      <w:bCs w:val="0"/>
                      <w:color w:val="auto"/>
                      <w:sz w:val="21"/>
                      <w:szCs w:val="21"/>
                    </w:rPr>
                    <w:t>)</w:t>
                  </w:r>
                </w:p>
              </w:tc>
            </w:tr>
            <w:tr w14:paraId="0C08D6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85" w:hRule="atLeast"/>
              </w:trPr>
              <w:tc>
                <w:tcPr>
                  <w:tcW w:w="1479" w:type="dxa"/>
                  <w:noWrap w:val="0"/>
                  <w:vAlign w:val="center"/>
                </w:tcPr>
                <w:p w14:paraId="45D11BB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敏感点</w:t>
                  </w:r>
                </w:p>
              </w:tc>
              <w:tc>
                <w:tcPr>
                  <w:tcW w:w="1363" w:type="dxa"/>
                  <w:noWrap w:val="0"/>
                  <w:vAlign w:val="center"/>
                </w:tcPr>
                <w:p w14:paraId="02A84DA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22CD91D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63DEA9C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22B6D9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2" w:type="dxa"/>
                  <w:noWrap w:val="0"/>
                  <w:vAlign w:val="center"/>
                </w:tcPr>
                <w:p w14:paraId="7DE8A7D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94.053920</w:t>
                  </w:r>
                </w:p>
              </w:tc>
            </w:tr>
            <w:tr w14:paraId="3B8FEA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45" w:hRule="atLeast"/>
              </w:trPr>
              <w:tc>
                <w:tcPr>
                  <w:tcW w:w="1479" w:type="dxa"/>
                  <w:noWrap w:val="0"/>
                  <w:vAlign w:val="center"/>
                </w:tcPr>
                <w:p w14:paraId="1E66B5E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敏感点</w:t>
                  </w:r>
                </w:p>
              </w:tc>
              <w:tc>
                <w:tcPr>
                  <w:tcW w:w="1363" w:type="dxa"/>
                  <w:noWrap w:val="0"/>
                  <w:vAlign w:val="center"/>
                </w:tcPr>
                <w:p w14:paraId="0E0D0A9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197B33D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529FFE6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5C49010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2" w:type="dxa"/>
                  <w:noWrap w:val="0"/>
                  <w:vAlign w:val="center"/>
                </w:tcPr>
                <w:p w14:paraId="7EC0693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28.793050</w:t>
                  </w:r>
                </w:p>
              </w:tc>
            </w:tr>
          </w:tbl>
          <w:p w14:paraId="3131E1FE">
            <w:pPr>
              <w:pStyle w:val="30"/>
              <w:adjustRightInd w:val="0"/>
              <w:snapToGrid w:val="0"/>
              <w:spacing w:before="0" w:beforeAutospacing="0" w:after="0" w:afterAutospacing="0" w:line="360" w:lineRule="auto"/>
              <w:ind w:firstLine="200"/>
              <w:jc w:val="center"/>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drawing>
                <wp:inline distT="0" distB="0" distL="114300" distR="114300">
                  <wp:extent cx="5615940" cy="3248025"/>
                  <wp:effectExtent l="0" t="0" r="7620" b="13335"/>
                  <wp:docPr id="142"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 descr="1"/>
                          <pic:cNvPicPr>
                            <a:picLocks noChangeAspect="1"/>
                          </pic:cNvPicPr>
                        </pic:nvPicPr>
                        <pic:blipFill>
                          <a:blip r:embed="rId24"/>
                          <a:stretch>
                            <a:fillRect/>
                          </a:stretch>
                        </pic:blipFill>
                        <pic:spPr>
                          <a:xfrm>
                            <a:off x="0" y="0"/>
                            <a:ext cx="5615940" cy="3248025"/>
                          </a:xfrm>
                          <a:prstGeom prst="rect">
                            <a:avLst/>
                          </a:prstGeom>
                          <a:noFill/>
                          <a:ln>
                            <a:noFill/>
                          </a:ln>
                        </pic:spPr>
                      </pic:pic>
                    </a:graphicData>
                  </a:graphic>
                </wp:inline>
              </w:drawing>
            </w:r>
          </w:p>
          <w:p w14:paraId="7691DE9C">
            <w:pPr>
              <w:pStyle w:val="30"/>
              <w:adjustRightInd w:val="0"/>
              <w:snapToGrid w:val="0"/>
              <w:spacing w:before="0" w:beforeAutospacing="0" w:after="0" w:afterAutospacing="0" w:line="360" w:lineRule="auto"/>
              <w:ind w:firstLine="20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图7-1  甲烷泄漏下风向轴线浓度图</w:t>
            </w:r>
          </w:p>
          <w:p w14:paraId="129B8CA3">
            <w:pPr>
              <w:pStyle w:val="30"/>
              <w:adjustRightInd w:val="0"/>
              <w:snapToGrid w:val="0"/>
              <w:spacing w:before="0" w:beforeAutospacing="0" w:after="0" w:afterAutospacing="0" w:line="360" w:lineRule="auto"/>
              <w:ind w:firstLine="20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表7-27  一氧化碳</w:t>
            </w:r>
            <w:r>
              <w:rPr>
                <w:rFonts w:ascii="Times New Roman" w:hAnsi="Times New Roman"/>
                <w:b/>
                <w:bCs/>
                <w:color w:val="auto"/>
                <w:sz w:val="21"/>
                <w:szCs w:val="21"/>
              </w:rPr>
              <w:t>风险事故情形分析表</w:t>
            </w:r>
          </w:p>
          <w:tbl>
            <w:tblPr>
              <w:tblStyle w:val="35"/>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1421"/>
              <w:gridCol w:w="1421"/>
              <w:gridCol w:w="1421"/>
              <w:gridCol w:w="1421"/>
              <w:gridCol w:w="1421"/>
              <w:gridCol w:w="1422"/>
            </w:tblGrid>
            <w:tr w14:paraId="42E50A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21" w:type="dxa"/>
                  <w:noWrap w:val="0"/>
                  <w:vAlign w:val="center"/>
                </w:tcPr>
                <w:p w14:paraId="5D07B6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泄露设备类型</w:t>
                  </w:r>
                </w:p>
              </w:tc>
              <w:tc>
                <w:tcPr>
                  <w:tcW w:w="1421" w:type="dxa"/>
                  <w:noWrap w:val="0"/>
                  <w:vAlign w:val="center"/>
                </w:tcPr>
                <w:p w14:paraId="4A66340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压力气体容器</w:t>
                  </w:r>
                </w:p>
              </w:tc>
              <w:tc>
                <w:tcPr>
                  <w:tcW w:w="1421" w:type="dxa"/>
                  <w:noWrap w:val="0"/>
                  <w:vAlign w:val="center"/>
                </w:tcPr>
                <w:p w14:paraId="7EA06B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操作温度(℃)</w:t>
                  </w:r>
                </w:p>
              </w:tc>
              <w:tc>
                <w:tcPr>
                  <w:tcW w:w="1421" w:type="dxa"/>
                  <w:noWrap w:val="0"/>
                  <w:vAlign w:val="center"/>
                </w:tcPr>
                <w:p w14:paraId="5E6BEFD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100.00</w:t>
                  </w:r>
                </w:p>
              </w:tc>
              <w:tc>
                <w:tcPr>
                  <w:tcW w:w="1421" w:type="dxa"/>
                  <w:noWrap w:val="0"/>
                  <w:vAlign w:val="center"/>
                </w:tcPr>
                <w:p w14:paraId="2C9AEE3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操作压力(MPa)</w:t>
                  </w:r>
                </w:p>
              </w:tc>
              <w:tc>
                <w:tcPr>
                  <w:tcW w:w="1422" w:type="dxa"/>
                  <w:noWrap w:val="0"/>
                  <w:vAlign w:val="center"/>
                </w:tcPr>
                <w:p w14:paraId="3397726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0.101326</w:t>
                  </w:r>
                </w:p>
              </w:tc>
            </w:tr>
            <w:tr w14:paraId="079EE4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5" w:hRule="atLeast"/>
              </w:trPr>
              <w:tc>
                <w:tcPr>
                  <w:tcW w:w="1421" w:type="dxa"/>
                  <w:noWrap w:val="0"/>
                  <w:vAlign w:val="center"/>
                </w:tcPr>
                <w:p w14:paraId="3CC0047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泄露危险物质</w:t>
                  </w:r>
                </w:p>
              </w:tc>
              <w:tc>
                <w:tcPr>
                  <w:tcW w:w="1421" w:type="dxa"/>
                  <w:noWrap w:val="0"/>
                  <w:vAlign w:val="center"/>
                </w:tcPr>
                <w:p w14:paraId="1D0D9A5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一氧化碳</w:t>
                  </w:r>
                </w:p>
              </w:tc>
              <w:tc>
                <w:tcPr>
                  <w:tcW w:w="1421" w:type="dxa"/>
                  <w:noWrap w:val="0"/>
                  <w:vAlign w:val="center"/>
                </w:tcPr>
                <w:p w14:paraId="4044D90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最大存在量(kg)</w:t>
                  </w:r>
                </w:p>
              </w:tc>
              <w:tc>
                <w:tcPr>
                  <w:tcW w:w="1421" w:type="dxa"/>
                  <w:noWrap w:val="0"/>
                  <w:vAlign w:val="center"/>
                </w:tcPr>
                <w:p w14:paraId="75B5FCC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91.4830</w:t>
                  </w:r>
                </w:p>
              </w:tc>
              <w:tc>
                <w:tcPr>
                  <w:tcW w:w="1421" w:type="dxa"/>
                  <w:noWrap w:val="0"/>
                  <w:vAlign w:val="center"/>
                </w:tcPr>
                <w:p w14:paraId="59DAEE2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裂口直径(mm)</w:t>
                  </w:r>
                </w:p>
              </w:tc>
              <w:tc>
                <w:tcPr>
                  <w:tcW w:w="1422" w:type="dxa"/>
                  <w:noWrap w:val="0"/>
                  <w:vAlign w:val="center"/>
                </w:tcPr>
                <w:p w14:paraId="663C397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r w14:paraId="5547AE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10" w:hRule="atLeast"/>
              </w:trPr>
              <w:tc>
                <w:tcPr>
                  <w:tcW w:w="1421" w:type="dxa"/>
                  <w:noWrap w:val="0"/>
                  <w:vAlign w:val="center"/>
                </w:tcPr>
                <w:p w14:paraId="526D47B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泄露速率(kg/s)</w:t>
                  </w:r>
                </w:p>
              </w:tc>
              <w:tc>
                <w:tcPr>
                  <w:tcW w:w="1421" w:type="dxa"/>
                  <w:noWrap w:val="0"/>
                  <w:vAlign w:val="center"/>
                </w:tcPr>
                <w:p w14:paraId="13B2666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0.0772</w:t>
                  </w:r>
                </w:p>
              </w:tc>
              <w:tc>
                <w:tcPr>
                  <w:tcW w:w="1421" w:type="dxa"/>
                  <w:noWrap w:val="0"/>
                  <w:vAlign w:val="center"/>
                </w:tcPr>
                <w:p w14:paraId="6523F36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泄露时间(min)</w:t>
                  </w:r>
                </w:p>
              </w:tc>
              <w:tc>
                <w:tcPr>
                  <w:tcW w:w="1421" w:type="dxa"/>
                  <w:noWrap w:val="0"/>
                  <w:vAlign w:val="center"/>
                </w:tcPr>
                <w:p w14:paraId="3B7D7CF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30.00</w:t>
                  </w:r>
                </w:p>
              </w:tc>
              <w:tc>
                <w:tcPr>
                  <w:tcW w:w="1421" w:type="dxa"/>
                  <w:noWrap w:val="0"/>
                  <w:vAlign w:val="center"/>
                </w:tcPr>
                <w:p w14:paraId="4EE8D19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泄露量(kg)</w:t>
                  </w:r>
                </w:p>
              </w:tc>
              <w:tc>
                <w:tcPr>
                  <w:tcW w:w="1422" w:type="dxa"/>
                  <w:noWrap w:val="0"/>
                  <w:vAlign w:val="center"/>
                </w:tcPr>
                <w:p w14:paraId="41B11A3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138.9600</w:t>
                  </w:r>
                </w:p>
              </w:tc>
            </w:tr>
            <w:tr w14:paraId="177AF6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30" w:hRule="atLeast"/>
              </w:trPr>
              <w:tc>
                <w:tcPr>
                  <w:tcW w:w="1421" w:type="dxa"/>
                  <w:noWrap w:val="0"/>
                  <w:vAlign w:val="center"/>
                </w:tcPr>
                <w:p w14:paraId="58B4ADA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泄露高度(m)</w:t>
                  </w:r>
                </w:p>
              </w:tc>
              <w:tc>
                <w:tcPr>
                  <w:tcW w:w="1421" w:type="dxa"/>
                  <w:noWrap w:val="0"/>
                  <w:vAlign w:val="center"/>
                </w:tcPr>
                <w:p w14:paraId="20F889C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16F8E7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泄露概率(次/年)</w:t>
                  </w:r>
                </w:p>
              </w:tc>
              <w:tc>
                <w:tcPr>
                  <w:tcW w:w="1421" w:type="dxa"/>
                  <w:noWrap w:val="0"/>
                  <w:vAlign w:val="center"/>
                </w:tcPr>
                <w:p w14:paraId="6C643DA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19D26FB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蒸发量(kg)</w:t>
                  </w:r>
                </w:p>
              </w:tc>
              <w:tc>
                <w:tcPr>
                  <w:tcW w:w="1422" w:type="dxa"/>
                  <w:noWrap w:val="0"/>
                  <w:vAlign w:val="center"/>
                </w:tcPr>
                <w:p w14:paraId="4380789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r w14:paraId="457851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65" w:hRule="atLeast"/>
              </w:trPr>
              <w:tc>
                <w:tcPr>
                  <w:tcW w:w="4263" w:type="dxa"/>
                  <w:gridSpan w:val="3"/>
                  <w:noWrap w:val="0"/>
                  <w:vAlign w:val="center"/>
                </w:tcPr>
                <w:p w14:paraId="3465705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大气环境影响-气象条件名称-模型类型</w:t>
                  </w:r>
                </w:p>
              </w:tc>
              <w:tc>
                <w:tcPr>
                  <w:tcW w:w="4264" w:type="dxa"/>
                  <w:gridSpan w:val="3"/>
                  <w:noWrap w:val="0"/>
                  <w:vAlign w:val="center"/>
                </w:tcPr>
                <w:p w14:paraId="0C81767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最不利气象条件-aftox模型</w:t>
                  </w:r>
                </w:p>
              </w:tc>
            </w:tr>
            <w:tr w14:paraId="263D83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30" w:hRule="atLeast"/>
              </w:trPr>
              <w:tc>
                <w:tcPr>
                  <w:tcW w:w="1421" w:type="dxa"/>
                  <w:noWrap w:val="0"/>
                  <w:vAlign w:val="center"/>
                </w:tcPr>
                <w:p w14:paraId="293989D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指标</w:t>
                  </w:r>
                </w:p>
              </w:tc>
              <w:tc>
                <w:tcPr>
                  <w:tcW w:w="2842" w:type="dxa"/>
                  <w:gridSpan w:val="2"/>
                  <w:noWrap w:val="0"/>
                  <w:vAlign w:val="center"/>
                </w:tcPr>
                <w:p w14:paraId="0BC68D7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浓度值(mg/m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21" w:type="dxa"/>
                  <w:noWrap w:val="0"/>
                  <w:vAlign w:val="center"/>
                </w:tcPr>
                <w:p w14:paraId="5D01B90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最远影响距离(m)</w:t>
                  </w:r>
                </w:p>
              </w:tc>
              <w:tc>
                <w:tcPr>
                  <w:tcW w:w="2843" w:type="dxa"/>
                  <w:gridSpan w:val="2"/>
                  <w:noWrap w:val="0"/>
                  <w:vAlign w:val="center"/>
                </w:tcPr>
                <w:p w14:paraId="119CA61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到达时间(min)</w:t>
                  </w:r>
                </w:p>
              </w:tc>
            </w:tr>
            <w:tr w14:paraId="349D81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35" w:hRule="atLeast"/>
              </w:trPr>
              <w:tc>
                <w:tcPr>
                  <w:tcW w:w="1421" w:type="dxa"/>
                  <w:noWrap w:val="0"/>
                  <w:vAlign w:val="center"/>
                </w:tcPr>
                <w:p w14:paraId="376597F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大气毒性终点浓度-1</w:t>
                  </w:r>
                </w:p>
              </w:tc>
              <w:tc>
                <w:tcPr>
                  <w:tcW w:w="2842" w:type="dxa"/>
                  <w:gridSpan w:val="2"/>
                  <w:noWrap w:val="0"/>
                  <w:vAlign w:val="center"/>
                </w:tcPr>
                <w:p w14:paraId="17738CA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380.000000</w:t>
                  </w:r>
                </w:p>
              </w:tc>
              <w:tc>
                <w:tcPr>
                  <w:tcW w:w="1421" w:type="dxa"/>
                  <w:noWrap w:val="0"/>
                  <w:vAlign w:val="center"/>
                </w:tcPr>
                <w:p w14:paraId="2D3963C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2843" w:type="dxa"/>
                  <w:gridSpan w:val="2"/>
                  <w:noWrap w:val="0"/>
                  <w:vAlign w:val="center"/>
                </w:tcPr>
                <w:p w14:paraId="579DD67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r w14:paraId="7FE94E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30" w:hRule="atLeast"/>
              </w:trPr>
              <w:tc>
                <w:tcPr>
                  <w:tcW w:w="1421" w:type="dxa"/>
                  <w:noWrap w:val="0"/>
                  <w:vAlign w:val="center"/>
                </w:tcPr>
                <w:p w14:paraId="3983CE9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大气毒性终点浓度-2</w:t>
                  </w:r>
                </w:p>
              </w:tc>
              <w:tc>
                <w:tcPr>
                  <w:tcW w:w="2842" w:type="dxa"/>
                  <w:gridSpan w:val="2"/>
                  <w:noWrap w:val="0"/>
                  <w:vAlign w:val="center"/>
                </w:tcPr>
                <w:p w14:paraId="0660AE6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95.000000</w:t>
                  </w:r>
                </w:p>
              </w:tc>
              <w:tc>
                <w:tcPr>
                  <w:tcW w:w="1421" w:type="dxa"/>
                  <w:noWrap w:val="0"/>
                  <w:vAlign w:val="center"/>
                </w:tcPr>
                <w:p w14:paraId="2083EB1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2843" w:type="dxa"/>
                  <w:gridSpan w:val="2"/>
                  <w:noWrap w:val="0"/>
                  <w:vAlign w:val="center"/>
                </w:tcPr>
                <w:p w14:paraId="19BCC78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r w14:paraId="7DA87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21" w:type="dxa"/>
                  <w:noWrap w:val="0"/>
                  <w:vAlign w:val="center"/>
                </w:tcPr>
                <w:p w14:paraId="20B13F6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敏感目标名称</w:t>
                  </w:r>
                </w:p>
              </w:tc>
              <w:tc>
                <w:tcPr>
                  <w:tcW w:w="1421" w:type="dxa"/>
                  <w:noWrap w:val="0"/>
                  <w:vAlign w:val="center"/>
                </w:tcPr>
                <w:p w14:paraId="598CF3A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大气毒性终点浓度-1-超标时间(min)</w:t>
                  </w:r>
                </w:p>
              </w:tc>
              <w:tc>
                <w:tcPr>
                  <w:tcW w:w="1421" w:type="dxa"/>
                  <w:noWrap w:val="0"/>
                  <w:vAlign w:val="center"/>
                </w:tcPr>
                <w:p w14:paraId="56EC0C7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大气毒性终点浓度-1-超标持续时间(min)</w:t>
                  </w:r>
                </w:p>
              </w:tc>
              <w:tc>
                <w:tcPr>
                  <w:tcW w:w="1421" w:type="dxa"/>
                  <w:noWrap w:val="0"/>
                  <w:vAlign w:val="center"/>
                </w:tcPr>
                <w:p w14:paraId="25D3FFD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大气毒性终点浓度-2-超标时间(min)</w:t>
                  </w:r>
                </w:p>
              </w:tc>
              <w:tc>
                <w:tcPr>
                  <w:tcW w:w="1421" w:type="dxa"/>
                  <w:noWrap w:val="0"/>
                  <w:vAlign w:val="center"/>
                </w:tcPr>
                <w:p w14:paraId="0B2CB3B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大气毒性终点浓度-2-超标持续时间(min)</w:t>
                  </w:r>
                </w:p>
              </w:tc>
              <w:tc>
                <w:tcPr>
                  <w:tcW w:w="1422" w:type="dxa"/>
                  <w:noWrap w:val="0"/>
                  <w:vAlign w:val="center"/>
                </w:tcPr>
                <w:p w14:paraId="75DFF41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敏感目标-最大浓度(mg/m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r>
            <w:tr w14:paraId="65DE7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5" w:hRule="atLeast"/>
              </w:trPr>
              <w:tc>
                <w:tcPr>
                  <w:tcW w:w="1421" w:type="dxa"/>
                  <w:noWrap w:val="0"/>
                  <w:vAlign w:val="center"/>
                </w:tcPr>
                <w:p w14:paraId="314FB74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敏感点</w:t>
                  </w:r>
                </w:p>
              </w:tc>
              <w:tc>
                <w:tcPr>
                  <w:tcW w:w="1421" w:type="dxa"/>
                  <w:noWrap w:val="0"/>
                  <w:vAlign w:val="center"/>
                </w:tcPr>
                <w:p w14:paraId="2C8EAA6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2D3E3C6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6B12ECA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7930D59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2" w:type="dxa"/>
                  <w:noWrap w:val="0"/>
                  <w:vAlign w:val="center"/>
                </w:tcPr>
                <w:p w14:paraId="6768908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0.000000</w:t>
                  </w:r>
                </w:p>
              </w:tc>
            </w:tr>
            <w:tr w14:paraId="419D33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70" w:hRule="atLeast"/>
              </w:trPr>
              <w:tc>
                <w:tcPr>
                  <w:tcW w:w="1421" w:type="dxa"/>
                  <w:noWrap w:val="0"/>
                  <w:vAlign w:val="center"/>
                </w:tcPr>
                <w:p w14:paraId="4E9A9BD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敏感点</w:t>
                  </w:r>
                </w:p>
              </w:tc>
              <w:tc>
                <w:tcPr>
                  <w:tcW w:w="1421" w:type="dxa"/>
                  <w:noWrap w:val="0"/>
                  <w:vAlign w:val="center"/>
                </w:tcPr>
                <w:p w14:paraId="3892AFF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5AAB011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646E14E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1" w:type="dxa"/>
                  <w:noWrap w:val="0"/>
                  <w:vAlign w:val="center"/>
                </w:tcPr>
                <w:p w14:paraId="573FB1C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422" w:type="dxa"/>
                  <w:noWrap w:val="0"/>
                  <w:vAlign w:val="center"/>
                </w:tcPr>
                <w:p w14:paraId="4F67313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0.000000</w:t>
                  </w:r>
                </w:p>
              </w:tc>
            </w:tr>
          </w:tbl>
          <w:p w14:paraId="5823C946">
            <w:pPr>
              <w:pStyle w:val="30"/>
              <w:adjustRightInd w:val="0"/>
              <w:snapToGrid w:val="0"/>
              <w:spacing w:before="0" w:beforeAutospacing="0" w:after="0" w:afterAutospacing="0" w:line="360" w:lineRule="auto"/>
              <w:ind w:firstLine="200"/>
              <w:jc w:val="center"/>
              <w:rPr>
                <w:rFonts w:hint="eastAsia" w:ascii="Times New Roman" w:hAnsi="Times New Roman"/>
                <w:b/>
                <w:bCs/>
                <w:color w:val="auto"/>
                <w:sz w:val="21"/>
                <w:szCs w:val="21"/>
                <w:lang w:val="en-US" w:eastAsia="zh-CN"/>
              </w:rPr>
            </w:pPr>
          </w:p>
          <w:p w14:paraId="6EA08896">
            <w:pPr>
              <w:pStyle w:val="30"/>
              <w:adjustRightInd w:val="0"/>
              <w:snapToGrid w:val="0"/>
              <w:spacing w:before="0" w:beforeAutospacing="0" w:after="0" w:afterAutospacing="0" w:line="360" w:lineRule="auto"/>
              <w:ind w:firstLine="200"/>
              <w:jc w:val="center"/>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drawing>
                <wp:inline distT="0" distB="0" distL="114300" distR="114300">
                  <wp:extent cx="5613400" cy="3219450"/>
                  <wp:effectExtent l="0" t="0" r="10160" b="11430"/>
                  <wp:docPr id="14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 descr="2"/>
                          <pic:cNvPicPr>
                            <a:picLocks noChangeAspect="1"/>
                          </pic:cNvPicPr>
                        </pic:nvPicPr>
                        <pic:blipFill>
                          <a:blip r:embed="rId25"/>
                          <a:stretch>
                            <a:fillRect/>
                          </a:stretch>
                        </pic:blipFill>
                        <pic:spPr>
                          <a:xfrm>
                            <a:off x="0" y="0"/>
                            <a:ext cx="5613400" cy="3219450"/>
                          </a:xfrm>
                          <a:prstGeom prst="rect">
                            <a:avLst/>
                          </a:prstGeom>
                          <a:noFill/>
                          <a:ln>
                            <a:noFill/>
                          </a:ln>
                        </pic:spPr>
                      </pic:pic>
                    </a:graphicData>
                  </a:graphic>
                </wp:inline>
              </w:drawing>
            </w:r>
          </w:p>
          <w:p w14:paraId="08E26133">
            <w:pPr>
              <w:pStyle w:val="30"/>
              <w:adjustRightInd w:val="0"/>
              <w:snapToGrid w:val="0"/>
              <w:spacing w:before="0" w:beforeAutospacing="0" w:after="0" w:afterAutospacing="0" w:line="360" w:lineRule="auto"/>
              <w:ind w:firstLine="20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图7-2  一氧化碳泄漏下风向轴线浓度图</w:t>
            </w:r>
          </w:p>
          <w:p w14:paraId="277F68B3">
            <w:pPr>
              <w:pStyle w:val="30"/>
              <w:adjustRightInd w:val="0"/>
              <w:snapToGrid w:val="0"/>
              <w:spacing w:before="0" w:beforeAutospacing="0" w:after="0" w:afterAutospacing="0" w:line="360" w:lineRule="auto"/>
              <w:ind w:firstLine="20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 xml:space="preserve">表7-28  </w:t>
            </w:r>
            <w:r>
              <w:rPr>
                <w:rFonts w:ascii="Times New Roman" w:hAnsi="Times New Roman"/>
                <w:b/>
                <w:bCs/>
                <w:color w:val="auto"/>
                <w:sz w:val="21"/>
                <w:szCs w:val="21"/>
              </w:rPr>
              <w:t>丙烷</w:t>
            </w:r>
            <w:r>
              <w:rPr>
                <w:rFonts w:hint="eastAsia" w:ascii="Times New Roman" w:hAnsi="Times New Roman"/>
                <w:b/>
                <w:bCs/>
                <w:color w:val="auto"/>
                <w:sz w:val="21"/>
                <w:szCs w:val="21"/>
                <w:lang w:val="en-US" w:eastAsia="zh-CN"/>
              </w:rPr>
              <w:t>泄漏</w:t>
            </w:r>
            <w:r>
              <w:rPr>
                <w:rFonts w:ascii="Times New Roman" w:hAnsi="Times New Roman"/>
                <w:b/>
                <w:bCs/>
                <w:color w:val="auto"/>
                <w:sz w:val="21"/>
                <w:szCs w:val="21"/>
              </w:rPr>
              <w:t>风险事故情形分析表</w:t>
            </w:r>
          </w:p>
          <w:tbl>
            <w:tblPr>
              <w:tblStyle w:val="35"/>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1421"/>
              <w:gridCol w:w="1421"/>
              <w:gridCol w:w="1421"/>
              <w:gridCol w:w="1421"/>
              <w:gridCol w:w="1421"/>
              <w:gridCol w:w="1422"/>
            </w:tblGrid>
            <w:tr w14:paraId="4F74EA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30" w:hRule="atLeast"/>
              </w:trPr>
              <w:tc>
                <w:tcPr>
                  <w:tcW w:w="1421" w:type="dxa"/>
                  <w:noWrap w:val="0"/>
                  <w:vAlign w:val="center"/>
                </w:tcPr>
                <w:p w14:paraId="4E63526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泄露设备类型</w:t>
                  </w:r>
                </w:p>
              </w:tc>
              <w:tc>
                <w:tcPr>
                  <w:tcW w:w="1421" w:type="dxa"/>
                  <w:noWrap w:val="0"/>
                  <w:vAlign w:val="center"/>
                </w:tcPr>
                <w:p w14:paraId="218743A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压力液化气容器</w:t>
                  </w:r>
                </w:p>
              </w:tc>
              <w:tc>
                <w:tcPr>
                  <w:tcW w:w="1421" w:type="dxa"/>
                  <w:noWrap w:val="0"/>
                  <w:vAlign w:val="center"/>
                </w:tcPr>
                <w:p w14:paraId="1ECA0C8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操作温度(℃)</w:t>
                  </w:r>
                </w:p>
              </w:tc>
              <w:tc>
                <w:tcPr>
                  <w:tcW w:w="1421" w:type="dxa"/>
                  <w:noWrap w:val="0"/>
                  <w:vAlign w:val="center"/>
                </w:tcPr>
                <w:p w14:paraId="3C7F39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25.00</w:t>
                  </w:r>
                </w:p>
              </w:tc>
              <w:tc>
                <w:tcPr>
                  <w:tcW w:w="1421" w:type="dxa"/>
                  <w:noWrap w:val="0"/>
                  <w:vAlign w:val="center"/>
                </w:tcPr>
                <w:p w14:paraId="6794AD7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操作压力(MPa)</w:t>
                  </w:r>
                </w:p>
              </w:tc>
              <w:tc>
                <w:tcPr>
                  <w:tcW w:w="1422" w:type="dxa"/>
                  <w:noWrap w:val="0"/>
                  <w:vAlign w:val="center"/>
                </w:tcPr>
                <w:p w14:paraId="52D9FA8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0.157000</w:t>
                  </w:r>
                </w:p>
              </w:tc>
            </w:tr>
            <w:tr w14:paraId="210FAC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25" w:hRule="atLeast"/>
              </w:trPr>
              <w:tc>
                <w:tcPr>
                  <w:tcW w:w="1421" w:type="dxa"/>
                  <w:noWrap w:val="0"/>
                  <w:vAlign w:val="center"/>
                </w:tcPr>
                <w:p w14:paraId="7F64DD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泄露危险物质</w:t>
                  </w:r>
                </w:p>
              </w:tc>
              <w:tc>
                <w:tcPr>
                  <w:tcW w:w="1421" w:type="dxa"/>
                  <w:noWrap w:val="0"/>
                  <w:vAlign w:val="center"/>
                </w:tcPr>
                <w:p w14:paraId="22303F2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丙烷</w:t>
                  </w:r>
                </w:p>
              </w:tc>
              <w:tc>
                <w:tcPr>
                  <w:tcW w:w="1421" w:type="dxa"/>
                  <w:noWrap w:val="0"/>
                  <w:vAlign w:val="center"/>
                </w:tcPr>
                <w:p w14:paraId="659B8EF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最大存在量(kg)</w:t>
                  </w:r>
                </w:p>
              </w:tc>
              <w:tc>
                <w:tcPr>
                  <w:tcW w:w="1421" w:type="dxa"/>
                  <w:noWrap w:val="0"/>
                  <w:vAlign w:val="center"/>
                </w:tcPr>
                <w:p w14:paraId="741AE32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395.0886</w:t>
                  </w:r>
                </w:p>
              </w:tc>
              <w:tc>
                <w:tcPr>
                  <w:tcW w:w="1421" w:type="dxa"/>
                  <w:noWrap w:val="0"/>
                  <w:vAlign w:val="center"/>
                </w:tcPr>
                <w:p w14:paraId="2B15E3A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裂口直径(mm)</w:t>
                  </w:r>
                </w:p>
              </w:tc>
              <w:tc>
                <w:tcPr>
                  <w:tcW w:w="1422" w:type="dxa"/>
                  <w:noWrap w:val="0"/>
                  <w:vAlign w:val="center"/>
                </w:tcPr>
                <w:p w14:paraId="25605C8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eastAsia" w:ascii="Times New Roman" w:hAnsi="Times New Roman" w:eastAsia="宋体"/>
                      <w:b w:val="0"/>
                      <w:bCs w:val="0"/>
                      <w:color w:val="auto"/>
                      <w:sz w:val="21"/>
                      <w:szCs w:val="21"/>
                      <w:lang w:eastAsia="zh-CN"/>
                    </w:rPr>
                  </w:pPr>
                  <w:r>
                    <w:rPr>
                      <w:rFonts w:hint="eastAsia" w:ascii="Times New Roman" w:hAnsi="Times New Roman"/>
                      <w:b w:val="0"/>
                      <w:bCs w:val="0"/>
                      <w:color w:val="auto"/>
                      <w:sz w:val="21"/>
                      <w:szCs w:val="21"/>
                      <w:lang w:val="en-US" w:eastAsia="zh-CN"/>
                    </w:rPr>
                    <w:t>1</w:t>
                  </w:r>
                </w:p>
              </w:tc>
            </w:tr>
            <w:tr w14:paraId="170B32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5" w:hRule="atLeast"/>
              </w:trPr>
              <w:tc>
                <w:tcPr>
                  <w:tcW w:w="1421" w:type="dxa"/>
                  <w:noWrap w:val="0"/>
                  <w:vAlign w:val="center"/>
                </w:tcPr>
                <w:p w14:paraId="55FAD80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泄露速率(kg/s)</w:t>
                  </w:r>
                </w:p>
              </w:tc>
              <w:tc>
                <w:tcPr>
                  <w:tcW w:w="1421" w:type="dxa"/>
                  <w:noWrap w:val="0"/>
                  <w:vAlign w:val="center"/>
                </w:tcPr>
                <w:p w14:paraId="74757CE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0.083</w:t>
                  </w:r>
                </w:p>
              </w:tc>
              <w:tc>
                <w:tcPr>
                  <w:tcW w:w="1421" w:type="dxa"/>
                  <w:noWrap w:val="0"/>
                  <w:vAlign w:val="center"/>
                </w:tcPr>
                <w:p w14:paraId="1D5608B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泄露时间(min)</w:t>
                  </w:r>
                </w:p>
              </w:tc>
              <w:tc>
                <w:tcPr>
                  <w:tcW w:w="1421" w:type="dxa"/>
                  <w:noWrap w:val="0"/>
                  <w:vAlign w:val="center"/>
                </w:tcPr>
                <w:p w14:paraId="30DA304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28E7AB5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泄露量(kg)</w:t>
                  </w:r>
                </w:p>
              </w:tc>
              <w:tc>
                <w:tcPr>
                  <w:tcW w:w="1422" w:type="dxa"/>
                  <w:noWrap w:val="0"/>
                  <w:vAlign w:val="center"/>
                </w:tcPr>
                <w:p w14:paraId="7A48D08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50.0000</w:t>
                  </w:r>
                </w:p>
              </w:tc>
            </w:tr>
            <w:tr w14:paraId="31DA41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21" w:type="dxa"/>
                  <w:noWrap w:val="0"/>
                  <w:vAlign w:val="center"/>
                </w:tcPr>
                <w:p w14:paraId="3497A71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泄露高度(m)</w:t>
                  </w:r>
                </w:p>
              </w:tc>
              <w:tc>
                <w:tcPr>
                  <w:tcW w:w="1421" w:type="dxa"/>
                  <w:noWrap w:val="0"/>
                  <w:vAlign w:val="center"/>
                </w:tcPr>
                <w:p w14:paraId="7312F0B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1.0000</w:t>
                  </w:r>
                </w:p>
              </w:tc>
              <w:tc>
                <w:tcPr>
                  <w:tcW w:w="1421" w:type="dxa"/>
                  <w:noWrap w:val="0"/>
                  <w:vAlign w:val="center"/>
                </w:tcPr>
                <w:p w14:paraId="42C13A5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泄露概率(次/年)</w:t>
                  </w:r>
                </w:p>
              </w:tc>
              <w:tc>
                <w:tcPr>
                  <w:tcW w:w="1421" w:type="dxa"/>
                  <w:noWrap w:val="0"/>
                  <w:vAlign w:val="center"/>
                </w:tcPr>
                <w:p w14:paraId="31C04D7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6CF930E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蒸发量(kg)</w:t>
                  </w:r>
                </w:p>
              </w:tc>
              <w:tc>
                <w:tcPr>
                  <w:tcW w:w="1422" w:type="dxa"/>
                  <w:noWrap w:val="0"/>
                  <w:vAlign w:val="center"/>
                </w:tcPr>
                <w:p w14:paraId="39A437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r>
            <w:tr w14:paraId="7473D8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10" w:hRule="atLeast"/>
              </w:trPr>
              <w:tc>
                <w:tcPr>
                  <w:tcW w:w="4263" w:type="dxa"/>
                  <w:gridSpan w:val="3"/>
                  <w:noWrap w:val="0"/>
                  <w:vAlign w:val="center"/>
                </w:tcPr>
                <w:p w14:paraId="7FE4AEA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大气环境影响-气象条件名称-模型类型</w:t>
                  </w:r>
                </w:p>
              </w:tc>
              <w:tc>
                <w:tcPr>
                  <w:tcW w:w="4264" w:type="dxa"/>
                  <w:gridSpan w:val="3"/>
                  <w:noWrap w:val="0"/>
                  <w:vAlign w:val="center"/>
                </w:tcPr>
                <w:p w14:paraId="3E28AF1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最不利气象条件-slab模型</w:t>
                  </w:r>
                </w:p>
              </w:tc>
            </w:tr>
            <w:tr w14:paraId="183CE3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21" w:type="dxa"/>
                  <w:noWrap w:val="0"/>
                  <w:vAlign w:val="center"/>
                </w:tcPr>
                <w:p w14:paraId="583258E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指标</w:t>
                  </w:r>
                </w:p>
              </w:tc>
              <w:tc>
                <w:tcPr>
                  <w:tcW w:w="2842" w:type="dxa"/>
                  <w:gridSpan w:val="2"/>
                  <w:noWrap w:val="0"/>
                  <w:vAlign w:val="center"/>
                </w:tcPr>
                <w:p w14:paraId="582C37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浓度值(mg/m</w:t>
                  </w:r>
                  <w:r>
                    <w:rPr>
                      <w:rFonts w:ascii="Times New Roman" w:hAnsi="Times New Roman"/>
                      <w:b w:val="0"/>
                      <w:bCs w:val="0"/>
                      <w:color w:val="auto"/>
                      <w:sz w:val="21"/>
                      <w:szCs w:val="21"/>
                      <w:vertAlign w:val="superscript"/>
                    </w:rPr>
                    <w:t>3</w:t>
                  </w:r>
                  <w:r>
                    <w:rPr>
                      <w:rFonts w:ascii="Times New Roman" w:hAnsi="Times New Roman"/>
                      <w:b w:val="0"/>
                      <w:bCs w:val="0"/>
                      <w:color w:val="auto"/>
                      <w:sz w:val="21"/>
                      <w:szCs w:val="21"/>
                    </w:rPr>
                    <w:t>)</w:t>
                  </w:r>
                </w:p>
              </w:tc>
              <w:tc>
                <w:tcPr>
                  <w:tcW w:w="1421" w:type="dxa"/>
                  <w:noWrap w:val="0"/>
                  <w:vAlign w:val="center"/>
                </w:tcPr>
                <w:p w14:paraId="0B1D87C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最远影响距离(m)</w:t>
                  </w:r>
                </w:p>
              </w:tc>
              <w:tc>
                <w:tcPr>
                  <w:tcW w:w="2843" w:type="dxa"/>
                  <w:gridSpan w:val="2"/>
                  <w:noWrap w:val="0"/>
                  <w:vAlign w:val="center"/>
                </w:tcPr>
                <w:p w14:paraId="0A8C25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到达时间(min)</w:t>
                  </w:r>
                </w:p>
              </w:tc>
            </w:tr>
            <w:tr w14:paraId="60650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70" w:hRule="atLeast"/>
              </w:trPr>
              <w:tc>
                <w:tcPr>
                  <w:tcW w:w="1421" w:type="dxa"/>
                  <w:noWrap w:val="0"/>
                  <w:vAlign w:val="center"/>
                </w:tcPr>
                <w:p w14:paraId="537312B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w:t>
                  </w:r>
                </w:p>
              </w:tc>
              <w:tc>
                <w:tcPr>
                  <w:tcW w:w="2842" w:type="dxa"/>
                  <w:gridSpan w:val="2"/>
                  <w:noWrap w:val="0"/>
                  <w:vAlign w:val="center"/>
                </w:tcPr>
                <w:p w14:paraId="6674785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59000.000000</w:t>
                  </w:r>
                </w:p>
              </w:tc>
              <w:tc>
                <w:tcPr>
                  <w:tcW w:w="1421" w:type="dxa"/>
                  <w:noWrap w:val="0"/>
                  <w:vAlign w:val="center"/>
                </w:tcPr>
                <w:p w14:paraId="7EF36B8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9.67</w:t>
                  </w:r>
                </w:p>
              </w:tc>
              <w:tc>
                <w:tcPr>
                  <w:tcW w:w="2843" w:type="dxa"/>
                  <w:gridSpan w:val="2"/>
                  <w:noWrap w:val="0"/>
                  <w:vAlign w:val="center"/>
                </w:tcPr>
                <w:p w14:paraId="0141E93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0.74</w:t>
                  </w:r>
                </w:p>
              </w:tc>
            </w:tr>
            <w:tr w14:paraId="1877FB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15" w:hRule="atLeast"/>
              </w:trPr>
              <w:tc>
                <w:tcPr>
                  <w:tcW w:w="1421" w:type="dxa"/>
                  <w:noWrap w:val="0"/>
                  <w:vAlign w:val="center"/>
                </w:tcPr>
                <w:p w14:paraId="76046F8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w:t>
                  </w:r>
                </w:p>
              </w:tc>
              <w:tc>
                <w:tcPr>
                  <w:tcW w:w="2842" w:type="dxa"/>
                  <w:gridSpan w:val="2"/>
                  <w:noWrap w:val="0"/>
                  <w:vAlign w:val="center"/>
                </w:tcPr>
                <w:p w14:paraId="05A0833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31000.000000</w:t>
                  </w:r>
                </w:p>
              </w:tc>
              <w:tc>
                <w:tcPr>
                  <w:tcW w:w="1421" w:type="dxa"/>
                  <w:noWrap w:val="0"/>
                  <w:vAlign w:val="center"/>
                </w:tcPr>
                <w:p w14:paraId="5E07EB1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9.83</w:t>
                  </w:r>
                </w:p>
              </w:tc>
              <w:tc>
                <w:tcPr>
                  <w:tcW w:w="2843" w:type="dxa"/>
                  <w:gridSpan w:val="2"/>
                  <w:noWrap w:val="0"/>
                  <w:vAlign w:val="center"/>
                </w:tcPr>
                <w:p w14:paraId="6031A35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0.75</w:t>
                  </w:r>
                </w:p>
              </w:tc>
            </w:tr>
            <w:tr w14:paraId="08FD82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800" w:hRule="atLeast"/>
              </w:trPr>
              <w:tc>
                <w:tcPr>
                  <w:tcW w:w="1421" w:type="dxa"/>
                  <w:noWrap w:val="0"/>
                  <w:vAlign w:val="center"/>
                </w:tcPr>
                <w:p w14:paraId="46D0E0D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敏感目标名称</w:t>
                  </w:r>
                </w:p>
              </w:tc>
              <w:tc>
                <w:tcPr>
                  <w:tcW w:w="1421" w:type="dxa"/>
                  <w:noWrap w:val="0"/>
                  <w:vAlign w:val="center"/>
                </w:tcPr>
                <w:p w14:paraId="46A6775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大气毒性终点浓度-1-超标时间(min)</w:t>
                  </w:r>
                </w:p>
              </w:tc>
              <w:tc>
                <w:tcPr>
                  <w:tcW w:w="1421" w:type="dxa"/>
                  <w:noWrap w:val="0"/>
                  <w:vAlign w:val="center"/>
                </w:tcPr>
                <w:p w14:paraId="567B834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大气毒性终点浓度-1-超标持续时间(min)</w:t>
                  </w:r>
                </w:p>
              </w:tc>
              <w:tc>
                <w:tcPr>
                  <w:tcW w:w="1421" w:type="dxa"/>
                  <w:noWrap w:val="0"/>
                  <w:vAlign w:val="center"/>
                </w:tcPr>
                <w:p w14:paraId="5065383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大气毒性终点浓度-2-超标时间(min)</w:t>
                  </w:r>
                </w:p>
              </w:tc>
              <w:tc>
                <w:tcPr>
                  <w:tcW w:w="1421" w:type="dxa"/>
                  <w:noWrap w:val="0"/>
                  <w:vAlign w:val="center"/>
                </w:tcPr>
                <w:p w14:paraId="606BAB7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大气毒性终点浓度-2-超标持续时间(min)</w:t>
                  </w:r>
                </w:p>
              </w:tc>
              <w:tc>
                <w:tcPr>
                  <w:tcW w:w="1422" w:type="dxa"/>
                  <w:noWrap w:val="0"/>
                  <w:vAlign w:val="center"/>
                </w:tcPr>
                <w:p w14:paraId="4E7DAED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198"/>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敏感目标-最大浓度(mg/m</w:t>
                  </w:r>
                  <w:r>
                    <w:rPr>
                      <w:rFonts w:ascii="Times New Roman" w:hAnsi="Times New Roman"/>
                      <w:b w:val="0"/>
                      <w:bCs w:val="0"/>
                      <w:color w:val="auto"/>
                      <w:sz w:val="21"/>
                      <w:szCs w:val="21"/>
                      <w:vertAlign w:val="superscript"/>
                    </w:rPr>
                    <w:t>3</w:t>
                  </w:r>
                  <w:r>
                    <w:rPr>
                      <w:rFonts w:ascii="Times New Roman" w:hAnsi="Times New Roman"/>
                      <w:b w:val="0"/>
                      <w:bCs w:val="0"/>
                      <w:color w:val="auto"/>
                      <w:sz w:val="21"/>
                      <w:szCs w:val="21"/>
                    </w:rPr>
                    <w:t>)</w:t>
                  </w:r>
                </w:p>
              </w:tc>
            </w:tr>
            <w:tr w14:paraId="7268BF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90" w:hRule="atLeast"/>
              </w:trPr>
              <w:tc>
                <w:tcPr>
                  <w:tcW w:w="1421" w:type="dxa"/>
                  <w:noWrap w:val="0"/>
                  <w:vAlign w:val="center"/>
                </w:tcPr>
                <w:p w14:paraId="3305FBA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敏感点</w:t>
                  </w:r>
                </w:p>
              </w:tc>
              <w:tc>
                <w:tcPr>
                  <w:tcW w:w="1421" w:type="dxa"/>
                  <w:noWrap w:val="0"/>
                  <w:vAlign w:val="center"/>
                </w:tcPr>
                <w:p w14:paraId="4DA2F3B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0A0F57C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7533936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47360B3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2" w:type="dxa"/>
                  <w:noWrap w:val="0"/>
                  <w:vAlign w:val="center"/>
                </w:tcPr>
                <w:p w14:paraId="40772C7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188.966500</w:t>
                  </w:r>
                </w:p>
              </w:tc>
            </w:tr>
            <w:tr w14:paraId="5062A4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trPr>
              <w:tc>
                <w:tcPr>
                  <w:tcW w:w="1421" w:type="dxa"/>
                  <w:noWrap w:val="0"/>
                  <w:vAlign w:val="center"/>
                </w:tcPr>
                <w:p w14:paraId="4488124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敏感点</w:t>
                  </w:r>
                </w:p>
              </w:tc>
              <w:tc>
                <w:tcPr>
                  <w:tcW w:w="1421" w:type="dxa"/>
                  <w:noWrap w:val="0"/>
                  <w:vAlign w:val="center"/>
                </w:tcPr>
                <w:p w14:paraId="4823E60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79E97B2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3EC0826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1" w:type="dxa"/>
                  <w:noWrap w:val="0"/>
                  <w:vAlign w:val="center"/>
                </w:tcPr>
                <w:p w14:paraId="23C91B8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w:t>
                  </w:r>
                </w:p>
              </w:tc>
              <w:tc>
                <w:tcPr>
                  <w:tcW w:w="1422" w:type="dxa"/>
                  <w:noWrap w:val="0"/>
                  <w:vAlign w:val="center"/>
                </w:tcPr>
                <w:p w14:paraId="2DF0F07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121.153900</w:t>
                  </w:r>
                </w:p>
              </w:tc>
            </w:tr>
          </w:tbl>
          <w:p w14:paraId="7193592A">
            <w:pPr>
              <w:pStyle w:val="30"/>
              <w:adjustRightInd w:val="0"/>
              <w:snapToGrid w:val="0"/>
              <w:spacing w:before="0" w:beforeAutospacing="0" w:after="0" w:afterAutospacing="0" w:line="360" w:lineRule="auto"/>
              <w:ind w:firstLine="200"/>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drawing>
                <wp:inline distT="0" distB="0" distL="114300" distR="114300">
                  <wp:extent cx="5610860" cy="3306445"/>
                  <wp:effectExtent l="0" t="0" r="12700" b="635"/>
                  <wp:docPr id="144"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 descr="3"/>
                          <pic:cNvPicPr>
                            <a:picLocks noChangeAspect="1"/>
                          </pic:cNvPicPr>
                        </pic:nvPicPr>
                        <pic:blipFill>
                          <a:blip r:embed="rId26"/>
                          <a:stretch>
                            <a:fillRect/>
                          </a:stretch>
                        </pic:blipFill>
                        <pic:spPr>
                          <a:xfrm>
                            <a:off x="0" y="0"/>
                            <a:ext cx="5610860" cy="3306445"/>
                          </a:xfrm>
                          <a:prstGeom prst="rect">
                            <a:avLst/>
                          </a:prstGeom>
                          <a:noFill/>
                          <a:ln>
                            <a:noFill/>
                          </a:ln>
                        </pic:spPr>
                      </pic:pic>
                    </a:graphicData>
                  </a:graphic>
                </wp:inline>
              </w:drawing>
            </w:r>
          </w:p>
          <w:p w14:paraId="6A8A5521">
            <w:pPr>
              <w:pStyle w:val="30"/>
              <w:adjustRightInd w:val="0"/>
              <w:snapToGrid w:val="0"/>
              <w:spacing w:before="0" w:beforeAutospacing="0" w:after="0" w:afterAutospacing="0" w:line="360" w:lineRule="auto"/>
              <w:ind w:firstLine="20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图7-2  丙烷泄漏下风向轴线浓度图</w:t>
            </w:r>
          </w:p>
          <w:p w14:paraId="2272FA14">
            <w:pPr>
              <w:pStyle w:val="30"/>
              <w:adjustRightInd w:val="0"/>
              <w:snapToGrid w:val="0"/>
              <w:spacing w:before="0" w:beforeAutospacing="0" w:after="0" w:afterAutospacing="0" w:line="360" w:lineRule="auto"/>
              <w:ind w:firstLine="20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7-29</w:t>
            </w:r>
            <w:r>
              <w:rPr>
                <w:rFonts w:ascii="Times New Roman" w:hAnsi="Times New Roman"/>
                <w:b/>
                <w:bCs/>
                <w:color w:val="auto"/>
                <w:sz w:val="21"/>
                <w:szCs w:val="21"/>
              </w:rPr>
              <w:t>
 风险源最大影响统计表</w:t>
            </w:r>
          </w:p>
          <w:tbl>
            <w:tblPr>
              <w:tblStyle w:val="35"/>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3114"/>
              <w:gridCol w:w="1785"/>
              <w:gridCol w:w="2205"/>
              <w:gridCol w:w="1423"/>
            </w:tblGrid>
            <w:tr w14:paraId="0E0721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10" w:hRule="atLeast"/>
              </w:trPr>
              <w:tc>
                <w:tcPr>
                  <w:tcW w:w="3114" w:type="dxa"/>
                  <w:noWrap w:val="0"/>
                  <w:vAlign w:val="center"/>
                </w:tcPr>
                <w:p w14:paraId="2656236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风险源名称</w:t>
                  </w:r>
                </w:p>
              </w:tc>
              <w:tc>
                <w:tcPr>
                  <w:tcW w:w="1785" w:type="dxa"/>
                  <w:noWrap w:val="0"/>
                  <w:vAlign w:val="center"/>
                </w:tcPr>
                <w:p w14:paraId="798F5CD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下风向距离(m)</w:t>
                  </w:r>
                </w:p>
              </w:tc>
              <w:tc>
                <w:tcPr>
                  <w:tcW w:w="2205" w:type="dxa"/>
                  <w:noWrap w:val="0"/>
                  <w:vAlign w:val="center"/>
                </w:tcPr>
                <w:p w14:paraId="638FD8D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最大浓度值(mg/m</w:t>
                  </w:r>
                  <w:r>
                    <w:rPr>
                      <w:rFonts w:ascii="Times New Roman" w:hAnsi="Times New Roman"/>
                      <w:b w:val="0"/>
                      <w:bCs w:val="0"/>
                      <w:color w:val="auto"/>
                      <w:sz w:val="21"/>
                      <w:szCs w:val="21"/>
                      <w:vertAlign w:val="superscript"/>
                    </w:rPr>
                    <w:t>3</w:t>
                  </w:r>
                  <w:r>
                    <w:rPr>
                      <w:rFonts w:ascii="Times New Roman" w:hAnsi="Times New Roman"/>
                      <w:b w:val="0"/>
                      <w:bCs w:val="0"/>
                      <w:color w:val="auto"/>
                      <w:sz w:val="21"/>
                      <w:szCs w:val="21"/>
                    </w:rPr>
                    <w:t>)</w:t>
                  </w:r>
                </w:p>
              </w:tc>
              <w:tc>
                <w:tcPr>
                  <w:tcW w:w="1423" w:type="dxa"/>
                  <w:noWrap w:val="0"/>
                  <w:vAlign w:val="center"/>
                </w:tcPr>
                <w:p w14:paraId="43F06F1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出现时刻(s)</w:t>
                  </w:r>
                </w:p>
              </w:tc>
            </w:tr>
            <w:tr w14:paraId="3F0E07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45" w:hRule="atLeast"/>
              </w:trPr>
              <w:tc>
                <w:tcPr>
                  <w:tcW w:w="3114" w:type="dxa"/>
                  <w:noWrap w:val="0"/>
                  <w:vAlign w:val="center"/>
                </w:tcPr>
                <w:p w14:paraId="41A6EA8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hint="eastAsia" w:ascii="Times New Roman" w:hAnsi="Times New Roman"/>
                      <w:b w:val="0"/>
                      <w:bCs w:val="0"/>
                      <w:color w:val="auto"/>
                      <w:sz w:val="21"/>
                      <w:szCs w:val="21"/>
                      <w:lang w:val="en-US" w:eastAsia="zh-CN"/>
                    </w:rPr>
                    <w:t>一氧化碳</w:t>
                  </w:r>
                  <w:r>
                    <w:rPr>
                      <w:rFonts w:ascii="Times New Roman" w:hAnsi="Times New Roman"/>
                      <w:b w:val="0"/>
                      <w:bCs w:val="0"/>
                      <w:color w:val="auto"/>
                      <w:sz w:val="21"/>
                      <w:szCs w:val="21"/>
                    </w:rPr>
                    <w:t>-中性气体扩散模型(Aftox)</w:t>
                  </w:r>
                </w:p>
              </w:tc>
              <w:tc>
                <w:tcPr>
                  <w:tcW w:w="1785" w:type="dxa"/>
                  <w:noWrap w:val="0"/>
                  <w:vAlign w:val="center"/>
                </w:tcPr>
                <w:p w14:paraId="3B18BF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1300.0000</w:t>
                  </w:r>
                </w:p>
              </w:tc>
              <w:tc>
                <w:tcPr>
                  <w:tcW w:w="2205" w:type="dxa"/>
                  <w:noWrap w:val="0"/>
                  <w:vAlign w:val="center"/>
                </w:tcPr>
                <w:p w14:paraId="62AA8CD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0.261346</w:t>
                  </w:r>
                </w:p>
              </w:tc>
              <w:tc>
                <w:tcPr>
                  <w:tcW w:w="1423" w:type="dxa"/>
                  <w:noWrap w:val="0"/>
                  <w:vAlign w:val="center"/>
                </w:tcPr>
                <w:p w14:paraId="6929D8E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1560.00</w:t>
                  </w:r>
                </w:p>
              </w:tc>
            </w:tr>
            <w:tr w14:paraId="1E2B3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85" w:hRule="atLeast"/>
              </w:trPr>
              <w:tc>
                <w:tcPr>
                  <w:tcW w:w="3114" w:type="dxa"/>
                  <w:noWrap w:val="0"/>
                  <w:vAlign w:val="center"/>
                </w:tcPr>
                <w:p w14:paraId="6AFEF7F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压力液化气容器</w:t>
                  </w:r>
                  <w:r>
                    <w:rPr>
                      <w:rFonts w:hint="eastAsia" w:ascii="Times New Roman" w:hAnsi="Times New Roman"/>
                      <w:b w:val="0"/>
                      <w:bCs w:val="0"/>
                      <w:color w:val="auto"/>
                      <w:sz w:val="21"/>
                      <w:szCs w:val="21"/>
                      <w:lang w:val="en-US" w:eastAsia="zh-CN"/>
                    </w:rPr>
                    <w:t>丙烷</w:t>
                  </w:r>
                  <w:r>
                    <w:rPr>
                      <w:rFonts w:ascii="Times New Roman" w:hAnsi="Times New Roman"/>
                      <w:b w:val="0"/>
                      <w:bCs w:val="0"/>
                      <w:color w:val="auto"/>
                      <w:sz w:val="21"/>
                      <w:szCs w:val="21"/>
                    </w:rPr>
                    <w:t>-重气体扩散模型(Slab)</w:t>
                  </w:r>
                </w:p>
              </w:tc>
              <w:tc>
                <w:tcPr>
                  <w:tcW w:w="1785" w:type="dxa"/>
                  <w:noWrap w:val="0"/>
                  <w:vAlign w:val="center"/>
                </w:tcPr>
                <w:p w14:paraId="440228F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0.0000</w:t>
                  </w:r>
                </w:p>
              </w:tc>
              <w:tc>
                <w:tcPr>
                  <w:tcW w:w="2205" w:type="dxa"/>
                  <w:noWrap w:val="0"/>
                  <w:vAlign w:val="center"/>
                </w:tcPr>
                <w:p w14:paraId="6B58117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888105.391395</w:t>
                  </w:r>
                </w:p>
              </w:tc>
              <w:tc>
                <w:tcPr>
                  <w:tcW w:w="1423" w:type="dxa"/>
                  <w:noWrap w:val="0"/>
                  <w:vAlign w:val="center"/>
                </w:tcPr>
                <w:p w14:paraId="6DD763F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0.00</w:t>
                  </w:r>
                </w:p>
              </w:tc>
            </w:tr>
            <w:tr w14:paraId="721544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10" w:hRule="atLeast"/>
              </w:trPr>
              <w:tc>
                <w:tcPr>
                  <w:tcW w:w="3114" w:type="dxa"/>
                  <w:noWrap w:val="0"/>
                  <w:vAlign w:val="center"/>
                </w:tcPr>
                <w:p w14:paraId="390ABB4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低温液化气容器</w:t>
                  </w:r>
                  <w:r>
                    <w:rPr>
                      <w:rFonts w:hint="eastAsia" w:ascii="Times New Roman" w:hAnsi="Times New Roman"/>
                      <w:b w:val="0"/>
                      <w:bCs w:val="0"/>
                      <w:color w:val="auto"/>
                      <w:sz w:val="21"/>
                      <w:szCs w:val="21"/>
                      <w:lang w:val="en-US" w:eastAsia="zh-CN"/>
                    </w:rPr>
                    <w:t>甲烷</w:t>
                  </w:r>
                  <w:r>
                    <w:rPr>
                      <w:rFonts w:ascii="Times New Roman" w:hAnsi="Times New Roman"/>
                      <w:b w:val="0"/>
                      <w:bCs w:val="0"/>
                      <w:color w:val="auto"/>
                      <w:sz w:val="21"/>
                      <w:szCs w:val="21"/>
                    </w:rPr>
                    <w:t>泄漏-中性气体扩散模型(Aftox)</w:t>
                  </w:r>
                </w:p>
              </w:tc>
              <w:tc>
                <w:tcPr>
                  <w:tcW w:w="1785" w:type="dxa"/>
                  <w:noWrap w:val="0"/>
                  <w:vAlign w:val="center"/>
                </w:tcPr>
                <w:p w14:paraId="18D9A5A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4.0000</w:t>
                  </w:r>
                </w:p>
              </w:tc>
              <w:tc>
                <w:tcPr>
                  <w:tcW w:w="2205" w:type="dxa"/>
                  <w:noWrap w:val="0"/>
                  <w:vAlign w:val="center"/>
                </w:tcPr>
                <w:p w14:paraId="54D9E59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56915.670000</w:t>
                  </w:r>
                </w:p>
              </w:tc>
              <w:tc>
                <w:tcPr>
                  <w:tcW w:w="1423" w:type="dxa"/>
                  <w:noWrap w:val="0"/>
                  <w:vAlign w:val="center"/>
                </w:tcPr>
                <w:p w14:paraId="4A654CD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ind w:firstLine="0"/>
                    <w:jc w:val="center"/>
                    <w:textAlignment w:val="auto"/>
                    <w:rPr>
                      <w:rFonts w:ascii="Times New Roman" w:hAnsi="Times New Roman"/>
                      <w:b w:val="0"/>
                      <w:bCs w:val="0"/>
                      <w:color w:val="auto"/>
                      <w:sz w:val="21"/>
                      <w:szCs w:val="21"/>
                    </w:rPr>
                  </w:pPr>
                  <w:r>
                    <w:rPr>
                      <w:rFonts w:ascii="Times New Roman" w:hAnsi="Times New Roman"/>
                      <w:b w:val="0"/>
                      <w:bCs w:val="0"/>
                      <w:color w:val="auto"/>
                      <w:sz w:val="21"/>
                      <w:szCs w:val="21"/>
                    </w:rPr>
                    <w:t>6.00</w:t>
                  </w:r>
                </w:p>
              </w:tc>
            </w:tr>
          </w:tbl>
          <w:p w14:paraId="1EE20A2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jc w:val="left"/>
              <w:textAlignment w:val="auto"/>
              <w:rPr>
                <w:rFonts w:ascii="Times New Roman" w:hAnsi="Times New Roman"/>
                <w:b w:val="0"/>
                <w:bCs w:val="0"/>
                <w:color w:val="auto"/>
                <w:sz w:val="21"/>
                <w:szCs w:val="21"/>
              </w:rPr>
            </w:pPr>
            <w:r>
              <w:rPr>
                <w:rFonts w:hint="eastAsia" w:ascii="Times New Roman" w:hAnsi="Times New Roman"/>
                <w:b w:val="0"/>
                <w:bCs w:val="0"/>
                <w:color w:val="auto"/>
                <w:sz w:val="21"/>
                <w:szCs w:val="21"/>
                <w:lang w:val="en-US" w:eastAsia="zh-CN"/>
              </w:rPr>
              <w:t>根据预测结果，本项目计算结果最大毒性浓度小于大气毒性终点浓度PAC-2，无需绘制预测浓度达到毒终点浓度的最大影响范围图。</w:t>
            </w:r>
            <w:r>
              <w:rPr>
                <w:rFonts w:hint="eastAsia" w:ascii="Times New Roman" w:hAnsi="Times New Roman"/>
                <w:b w:val="0"/>
                <w:bCs w:val="0"/>
                <w:color w:val="auto"/>
                <w:sz w:val="21"/>
                <w:szCs w:val="21"/>
              </w:rPr>
              <w:t>本次评价要求建设单位根据事故发生时气象条件做好应急疏散救援工作，确保事故状态下1h内能够将事故下风向受影响敏感点居民全部疏散撤离至上风向安全地带。</w:t>
            </w:r>
          </w:p>
          <w:p w14:paraId="207FAF3A">
            <w:pPr>
              <w:pStyle w:val="3"/>
              <w:numPr>
                <w:ilvl w:val="0"/>
                <w:numId w:val="0"/>
              </w:numPr>
              <w:spacing w:line="360" w:lineRule="auto"/>
              <w:ind w:leftChars="200"/>
              <w:jc w:val="left"/>
              <w:rPr>
                <w:rFonts w:hint="eastAsia"/>
                <w:color w:val="auto"/>
                <w:sz w:val="21"/>
                <w:szCs w:val="21"/>
              </w:rPr>
            </w:pPr>
            <w:r>
              <w:rPr>
                <w:rFonts w:hint="eastAsia"/>
                <w:color w:val="auto"/>
                <w:sz w:val="21"/>
                <w:szCs w:val="21"/>
              </w:rPr>
              <w:t>9、环境风险管理</w:t>
            </w:r>
            <w:bookmarkEnd w:id="32"/>
            <w:bookmarkEnd w:id="33"/>
            <w:bookmarkEnd w:id="34"/>
          </w:p>
          <w:p w14:paraId="6B881682">
            <w:pPr>
              <w:spacing w:line="360" w:lineRule="auto"/>
              <w:ind w:firstLine="422" w:firstLineChars="200"/>
              <w:jc w:val="left"/>
              <w:rPr>
                <w:rFonts w:hint="eastAsia"/>
                <w:b/>
                <w:color w:val="auto"/>
                <w:szCs w:val="21"/>
              </w:rPr>
            </w:pPr>
            <w:bookmarkStart w:id="35" w:name="_Toc3960"/>
            <w:r>
              <w:rPr>
                <w:rFonts w:hint="eastAsia"/>
                <w:b/>
                <w:color w:val="auto"/>
                <w:szCs w:val="21"/>
              </w:rPr>
              <w:t>1）、环境风险目标</w:t>
            </w:r>
            <w:bookmarkEnd w:id="35"/>
          </w:p>
          <w:p w14:paraId="02E3012A">
            <w:pPr>
              <w:pStyle w:val="140"/>
              <w:ind w:firstLine="420"/>
              <w:rPr>
                <w:rFonts w:hint="eastAsia"/>
                <w:bCs/>
                <w:color w:val="auto"/>
                <w:kern w:val="24"/>
                <w:sz w:val="21"/>
                <w:szCs w:val="21"/>
              </w:rPr>
            </w:pPr>
            <w:r>
              <w:rPr>
                <w:rFonts w:hint="eastAsia"/>
                <w:bCs/>
                <w:color w:val="auto"/>
                <w:kern w:val="24"/>
                <w:sz w:val="21"/>
                <w:szCs w:val="21"/>
              </w:rPr>
              <w:t>环境风险管理目标是采用最低合理可行原则管控环境风险。采取的环境风险防范措施应与社会经济技术发展水平相适应，运用科学的技术手段和管理方法，对环境风险进行有效的预防、监控、相应。</w:t>
            </w:r>
          </w:p>
          <w:p w14:paraId="57F63CF0">
            <w:pPr>
              <w:spacing w:line="360" w:lineRule="auto"/>
              <w:ind w:firstLine="422" w:firstLineChars="200"/>
              <w:jc w:val="left"/>
              <w:rPr>
                <w:rFonts w:hint="eastAsia"/>
                <w:b/>
                <w:color w:val="auto"/>
                <w:szCs w:val="21"/>
              </w:rPr>
            </w:pPr>
            <w:bookmarkStart w:id="36" w:name="_Toc21351"/>
            <w:r>
              <w:rPr>
                <w:rFonts w:hint="eastAsia"/>
                <w:b/>
                <w:color w:val="auto"/>
                <w:szCs w:val="21"/>
              </w:rPr>
              <w:t>2）、环境风险防范措施</w:t>
            </w:r>
            <w:bookmarkEnd w:id="36"/>
          </w:p>
          <w:p w14:paraId="43B989A2">
            <w:pPr>
              <w:pStyle w:val="140"/>
              <w:ind w:firstLine="422"/>
              <w:jc w:val="both"/>
              <w:rPr>
                <w:rFonts w:hint="eastAsia"/>
                <w:b/>
                <w:color w:val="auto"/>
                <w:kern w:val="24"/>
                <w:sz w:val="21"/>
                <w:szCs w:val="21"/>
              </w:rPr>
            </w:pPr>
            <w:r>
              <w:rPr>
                <w:rFonts w:hint="eastAsia"/>
                <w:b/>
                <w:color w:val="auto"/>
                <w:kern w:val="24"/>
                <w:sz w:val="21"/>
                <w:szCs w:val="21"/>
              </w:rPr>
              <w:t>（1）总图布置和建筑安全防范措施</w:t>
            </w:r>
          </w:p>
          <w:p w14:paraId="1D155746">
            <w:pPr>
              <w:pStyle w:val="140"/>
              <w:ind w:firstLine="422"/>
              <w:jc w:val="both"/>
              <w:rPr>
                <w:rFonts w:hint="eastAsia"/>
                <w:bCs/>
                <w:color w:val="auto"/>
                <w:kern w:val="24"/>
                <w:sz w:val="21"/>
                <w:szCs w:val="21"/>
              </w:rPr>
            </w:pPr>
            <w:r>
              <w:rPr>
                <w:rFonts w:hint="eastAsia"/>
                <w:bCs/>
                <w:color w:val="auto"/>
                <w:kern w:val="24"/>
                <w:sz w:val="21"/>
                <w:szCs w:val="21"/>
                <w:lang w:eastAsia="zh-CN"/>
              </w:rPr>
              <w:t>①</w:t>
            </w:r>
            <w:r>
              <w:rPr>
                <w:rFonts w:hint="eastAsia"/>
                <w:bCs/>
                <w:color w:val="auto"/>
                <w:kern w:val="24"/>
                <w:sz w:val="21"/>
                <w:szCs w:val="21"/>
              </w:rPr>
              <w:t>安徽廖氏玻璃科技有限公司位于安徽省淮南市谢家集区高新智造园区经五路1号，生产区、储罐和仓库等距离厂界及厂界外的交通干道均有一定的距离，围墙外与园区大道间为绿化带均可以起到一定的安全防护和防火作用。</w:t>
            </w:r>
          </w:p>
          <w:p w14:paraId="6409B345">
            <w:pPr>
              <w:pStyle w:val="140"/>
              <w:ind w:firstLine="422"/>
              <w:jc w:val="both"/>
              <w:rPr>
                <w:rFonts w:hint="eastAsia"/>
                <w:bCs/>
                <w:color w:val="auto"/>
                <w:kern w:val="24"/>
                <w:sz w:val="21"/>
                <w:szCs w:val="21"/>
              </w:rPr>
            </w:pPr>
            <w:r>
              <w:rPr>
                <w:rFonts w:hint="eastAsia"/>
                <w:bCs/>
                <w:color w:val="auto"/>
                <w:kern w:val="24"/>
                <w:sz w:val="21"/>
                <w:szCs w:val="21"/>
                <w:lang w:eastAsia="zh-CN"/>
              </w:rPr>
              <w:t>②</w:t>
            </w:r>
            <w:r>
              <w:rPr>
                <w:rFonts w:hint="eastAsia"/>
                <w:bCs/>
                <w:color w:val="auto"/>
                <w:kern w:val="24"/>
                <w:sz w:val="21"/>
                <w:szCs w:val="21"/>
              </w:rPr>
              <w:t>根据2023年12月20日淮南永泰安全生产技术服务有限公司编制的《安徽廖氏玻璃科技有限公司安全现状评价报告》，安徽廖氏玻璃科技有限公司平面布置设计按《建筑设计防火规范》执行，厂内建筑设施之间间距以及与周边企业的安全间距都能达到《建筑设计防火规范》规定，符合安全要求。安徽廖氏玻璃科技有限公司厂房与周边建筑物、道路等符合按功能合理分区要求建构筑物的安全防火间距、耐火等级、防火分区面积、泄压、通风、安全疏散等达到国家规范、标准的要求。</w:t>
            </w:r>
          </w:p>
          <w:p w14:paraId="6DA3FDE8">
            <w:pPr>
              <w:pStyle w:val="140"/>
              <w:ind w:firstLine="422"/>
              <w:jc w:val="both"/>
              <w:rPr>
                <w:rFonts w:hint="eastAsia"/>
                <w:bCs/>
                <w:color w:val="auto"/>
                <w:kern w:val="24"/>
                <w:sz w:val="21"/>
                <w:szCs w:val="21"/>
              </w:rPr>
            </w:pPr>
            <w:r>
              <w:rPr>
                <w:rFonts w:hint="eastAsia"/>
                <w:bCs/>
                <w:color w:val="auto"/>
                <w:kern w:val="24"/>
                <w:sz w:val="21"/>
                <w:szCs w:val="21"/>
                <w:lang w:eastAsia="zh-CN"/>
              </w:rPr>
              <w:t>③</w:t>
            </w:r>
            <w:r>
              <w:rPr>
                <w:rFonts w:hint="eastAsia"/>
                <w:bCs/>
                <w:color w:val="auto"/>
                <w:kern w:val="24"/>
                <w:sz w:val="21"/>
                <w:szCs w:val="21"/>
              </w:rPr>
              <w:t>安徽廖氏玻璃科技有限公司厂区总平面布置符合防范事故的要求，已设置必要的应急救援设施及救援通道。</w:t>
            </w:r>
          </w:p>
          <w:p w14:paraId="059F194F">
            <w:pPr>
              <w:pStyle w:val="140"/>
              <w:ind w:firstLine="422"/>
              <w:jc w:val="both"/>
              <w:rPr>
                <w:b/>
                <w:color w:val="auto"/>
                <w:kern w:val="24"/>
                <w:sz w:val="21"/>
                <w:szCs w:val="21"/>
              </w:rPr>
            </w:pPr>
            <w:r>
              <w:rPr>
                <w:b/>
                <w:color w:val="auto"/>
                <w:kern w:val="24"/>
                <w:sz w:val="21"/>
                <w:szCs w:val="21"/>
              </w:rPr>
              <w:t>（</w:t>
            </w:r>
            <w:r>
              <w:rPr>
                <w:rFonts w:hint="eastAsia"/>
                <w:b/>
                <w:color w:val="auto"/>
                <w:kern w:val="24"/>
                <w:sz w:val="21"/>
                <w:szCs w:val="21"/>
              </w:rPr>
              <w:t>2</w:t>
            </w:r>
            <w:r>
              <w:rPr>
                <w:b/>
                <w:color w:val="auto"/>
                <w:kern w:val="24"/>
                <w:sz w:val="21"/>
                <w:szCs w:val="21"/>
              </w:rPr>
              <w:t>）防雷及防静电措施</w:t>
            </w:r>
          </w:p>
          <w:p w14:paraId="0C873F24">
            <w:pPr>
              <w:pStyle w:val="140"/>
              <w:ind w:firstLine="420"/>
              <w:jc w:val="both"/>
              <w:rPr>
                <w:bCs/>
                <w:color w:val="auto"/>
                <w:kern w:val="24"/>
                <w:sz w:val="21"/>
                <w:szCs w:val="21"/>
              </w:rPr>
            </w:pPr>
            <w:r>
              <w:rPr>
                <w:rFonts w:hint="eastAsia"/>
                <w:bCs/>
                <w:color w:val="auto"/>
                <w:kern w:val="24"/>
                <w:sz w:val="21"/>
                <w:szCs w:val="21"/>
              </w:rPr>
              <w:t>对照《建筑设计防火规范》（GB50016-2014）2018版、《城镇燃气设计规范》（GB50028-2006）、《建筑灭火器配置设计规范》（GB50l40-2005）、《石油化工可燃气体和有毒气体检测报警设计规范》（GB/T50493-2019），安徽廖氏玻璃科技有限公司</w:t>
            </w:r>
            <w:r>
              <w:rPr>
                <w:bCs/>
                <w:color w:val="auto"/>
                <w:kern w:val="24"/>
                <w:sz w:val="21"/>
                <w:szCs w:val="21"/>
              </w:rPr>
              <w:t>建筑物的防雷接地均按照《建筑物防雷设计规范》中的有关规定设置。具有爆炸危险的工艺生产装置及建、构筑物，均进行了防直击雷及防雷电感应，并做接地体装置，其接地电阻不大于4欧姆。其它建筑物已装设避雷网以防直接雷击。露天布置的储罐、容器等，当顶板厚度等于或大于4mm时可不设避雷针保护，但必须设防雷接地。低压配电及信息系统均应根据规范规定安装浪涌保护器(SPD)。浪涌保护器必须使用经过法定检测机构检测合格的产品。建筑物电子信息系统雷电防护等级D级。</w:t>
            </w:r>
          </w:p>
          <w:p w14:paraId="1C06C9F1">
            <w:pPr>
              <w:pStyle w:val="140"/>
              <w:ind w:firstLine="420"/>
              <w:jc w:val="both"/>
              <w:rPr>
                <w:bCs/>
                <w:color w:val="auto"/>
                <w:kern w:val="24"/>
                <w:sz w:val="21"/>
                <w:szCs w:val="21"/>
              </w:rPr>
            </w:pPr>
            <w:r>
              <w:rPr>
                <w:bCs/>
                <w:color w:val="auto"/>
                <w:kern w:val="24"/>
                <w:sz w:val="21"/>
                <w:szCs w:val="21"/>
              </w:rPr>
              <w:t>所有工艺生产装置及其管线，按工艺介质特点及生产要求，做防静电接地。生产车间内所有的钢制设备与防雷防静电接地网可靠连接；生产区保护接地、防静电接地、防雷接地及变压器中性点的工作接地共用一个接地系统，其共用接地网的接地电阻值不应大于4欧姆，若不能满足要求应增加接地极根数。界区采用50×50×5(L=2.5m）镀锌角钢，接地连线采用40×5镀锌扁钢。所有的连接采用焊接，并补涂沥青漆。所有接地系统需经有关部门检验合格后，方可使用。</w:t>
            </w:r>
          </w:p>
          <w:p w14:paraId="4C32A995">
            <w:pPr>
              <w:pStyle w:val="140"/>
              <w:ind w:firstLine="422"/>
              <w:jc w:val="both"/>
              <w:rPr>
                <w:b/>
                <w:color w:val="auto"/>
                <w:kern w:val="24"/>
                <w:sz w:val="21"/>
                <w:szCs w:val="21"/>
              </w:rPr>
            </w:pPr>
            <w:r>
              <w:rPr>
                <w:b/>
                <w:color w:val="auto"/>
                <w:kern w:val="24"/>
                <w:sz w:val="21"/>
                <w:szCs w:val="21"/>
              </w:rPr>
              <w:t>（</w:t>
            </w:r>
            <w:r>
              <w:rPr>
                <w:rFonts w:hint="eastAsia"/>
                <w:b/>
                <w:color w:val="auto"/>
                <w:kern w:val="24"/>
                <w:sz w:val="21"/>
                <w:szCs w:val="21"/>
              </w:rPr>
              <w:t>3</w:t>
            </w:r>
            <w:r>
              <w:rPr>
                <w:b/>
                <w:color w:val="auto"/>
                <w:kern w:val="24"/>
                <w:sz w:val="21"/>
                <w:szCs w:val="21"/>
              </w:rPr>
              <w:t>）电气安全防范措施</w:t>
            </w:r>
          </w:p>
          <w:p w14:paraId="5B141660">
            <w:pPr>
              <w:pStyle w:val="140"/>
              <w:ind w:firstLine="420"/>
              <w:jc w:val="both"/>
              <w:rPr>
                <w:bCs/>
                <w:color w:val="auto"/>
                <w:kern w:val="24"/>
                <w:sz w:val="21"/>
                <w:szCs w:val="21"/>
              </w:rPr>
            </w:pPr>
            <w:r>
              <w:rPr>
                <w:rFonts w:hint="eastAsia" w:cs="宋体"/>
                <w:bCs/>
                <w:color w:val="auto"/>
                <w:kern w:val="24"/>
                <w:sz w:val="21"/>
                <w:szCs w:val="21"/>
              </w:rPr>
              <w:t>①</w:t>
            </w:r>
            <w:r>
              <w:rPr>
                <w:bCs/>
                <w:color w:val="auto"/>
                <w:kern w:val="24"/>
                <w:sz w:val="21"/>
                <w:szCs w:val="21"/>
              </w:rPr>
              <w:t>按规范划分防爆区，在区内用防爆型电气设备和仪表，对建筑物、设备管线加设防雷、防静电接地装置。</w:t>
            </w:r>
          </w:p>
          <w:p w14:paraId="71AC047B">
            <w:pPr>
              <w:pStyle w:val="140"/>
              <w:ind w:firstLine="420"/>
              <w:jc w:val="both"/>
              <w:rPr>
                <w:bCs/>
                <w:color w:val="auto"/>
                <w:kern w:val="24"/>
                <w:sz w:val="21"/>
                <w:szCs w:val="21"/>
              </w:rPr>
            </w:pPr>
            <w:r>
              <w:rPr>
                <w:rFonts w:hint="eastAsia" w:cs="宋体"/>
                <w:bCs/>
                <w:color w:val="auto"/>
                <w:kern w:val="24"/>
                <w:sz w:val="21"/>
                <w:szCs w:val="21"/>
              </w:rPr>
              <w:t>②</w:t>
            </w:r>
            <w:r>
              <w:rPr>
                <w:bCs/>
                <w:color w:val="auto"/>
                <w:kern w:val="24"/>
                <w:sz w:val="21"/>
                <w:szCs w:val="21"/>
              </w:rPr>
              <w:t>制订完善的电气设备使用、保管、维修、检验、更新等管理制度并严格执行。</w:t>
            </w:r>
          </w:p>
          <w:p w14:paraId="7DF28830">
            <w:pPr>
              <w:pStyle w:val="140"/>
              <w:ind w:firstLine="420"/>
              <w:jc w:val="both"/>
              <w:rPr>
                <w:bCs/>
                <w:color w:val="auto"/>
                <w:kern w:val="24"/>
                <w:sz w:val="21"/>
                <w:szCs w:val="21"/>
              </w:rPr>
            </w:pPr>
            <w:r>
              <w:rPr>
                <w:rFonts w:hint="eastAsia" w:cs="宋体"/>
                <w:bCs/>
                <w:color w:val="auto"/>
                <w:kern w:val="24"/>
                <w:sz w:val="21"/>
                <w:szCs w:val="21"/>
              </w:rPr>
              <w:t>③</w:t>
            </w:r>
            <w:r>
              <w:rPr>
                <w:bCs/>
                <w:color w:val="auto"/>
                <w:kern w:val="24"/>
                <w:sz w:val="21"/>
                <w:szCs w:val="21"/>
              </w:rPr>
              <w:t>在适当的场所或地点装设应急照明灯，应急时间不少于30min。主要用电设备应设有警示标牌。</w:t>
            </w:r>
          </w:p>
          <w:p w14:paraId="099D40F7">
            <w:pPr>
              <w:pStyle w:val="140"/>
              <w:ind w:firstLine="420"/>
              <w:jc w:val="both"/>
              <w:rPr>
                <w:bCs/>
                <w:color w:val="auto"/>
                <w:kern w:val="24"/>
                <w:sz w:val="21"/>
                <w:szCs w:val="21"/>
              </w:rPr>
            </w:pPr>
            <w:r>
              <w:rPr>
                <w:rFonts w:hint="eastAsia" w:cs="宋体"/>
                <w:bCs/>
                <w:color w:val="auto"/>
                <w:kern w:val="24"/>
                <w:sz w:val="21"/>
                <w:szCs w:val="21"/>
              </w:rPr>
              <w:t>④</w:t>
            </w:r>
            <w:r>
              <w:rPr>
                <w:bCs/>
                <w:color w:val="auto"/>
                <w:kern w:val="24"/>
                <w:sz w:val="21"/>
                <w:szCs w:val="21"/>
              </w:rPr>
              <w:t>具有燃爆危险的工艺装置、贮罐、管线等应配备惰性介质系统，以备在发生危险时使用，可燃气体的排放系统尾部用氮封。</w:t>
            </w:r>
          </w:p>
          <w:p w14:paraId="6DB27F8E">
            <w:pPr>
              <w:pStyle w:val="140"/>
              <w:ind w:firstLine="420"/>
              <w:jc w:val="both"/>
              <w:rPr>
                <w:bCs/>
                <w:color w:val="auto"/>
                <w:kern w:val="24"/>
                <w:sz w:val="21"/>
                <w:szCs w:val="21"/>
              </w:rPr>
            </w:pPr>
            <w:r>
              <w:rPr>
                <w:rFonts w:hint="eastAsia" w:cs="宋体"/>
                <w:bCs/>
                <w:color w:val="auto"/>
                <w:kern w:val="24"/>
                <w:sz w:val="21"/>
                <w:szCs w:val="21"/>
              </w:rPr>
              <w:t>⑤</w:t>
            </w:r>
            <w:r>
              <w:rPr>
                <w:bCs/>
                <w:color w:val="auto"/>
                <w:kern w:val="24"/>
                <w:sz w:val="21"/>
                <w:szCs w:val="21"/>
              </w:rPr>
              <w:t>采用先进的全密闭自动加料和控制技术，减少人为因素干扰。</w:t>
            </w:r>
          </w:p>
          <w:p w14:paraId="6EE2682B">
            <w:pPr>
              <w:pStyle w:val="140"/>
              <w:ind w:firstLine="420"/>
              <w:jc w:val="both"/>
              <w:rPr>
                <w:bCs/>
                <w:color w:val="auto"/>
                <w:kern w:val="24"/>
                <w:sz w:val="21"/>
                <w:szCs w:val="21"/>
              </w:rPr>
            </w:pPr>
            <w:r>
              <w:rPr>
                <w:rFonts w:hint="eastAsia"/>
                <w:bCs/>
                <w:color w:val="auto"/>
                <w:kern w:val="24"/>
                <w:sz w:val="21"/>
                <w:szCs w:val="21"/>
              </w:rPr>
              <w:t>⑥</w:t>
            </w:r>
            <w:r>
              <w:rPr>
                <w:bCs/>
                <w:color w:val="auto"/>
                <w:kern w:val="24"/>
                <w:sz w:val="21"/>
                <w:szCs w:val="21"/>
              </w:rPr>
              <w:t>企业必须配置双回路电源及备用电源，以保证正常生产和事故应急用电。</w:t>
            </w:r>
          </w:p>
          <w:p w14:paraId="68350A39">
            <w:pPr>
              <w:pStyle w:val="140"/>
              <w:ind w:firstLine="422"/>
              <w:jc w:val="both"/>
              <w:rPr>
                <w:rFonts w:hint="eastAsia"/>
                <w:b/>
                <w:color w:val="auto"/>
                <w:kern w:val="24"/>
                <w:sz w:val="21"/>
                <w:szCs w:val="21"/>
              </w:rPr>
            </w:pPr>
            <w:r>
              <w:rPr>
                <w:rFonts w:hint="eastAsia"/>
                <w:b/>
                <w:color w:val="auto"/>
                <w:kern w:val="24"/>
                <w:sz w:val="21"/>
                <w:szCs w:val="21"/>
              </w:rPr>
              <w:t>（4）危险品使用防范措施</w:t>
            </w:r>
          </w:p>
          <w:p w14:paraId="05AFB52D">
            <w:pPr>
              <w:pStyle w:val="140"/>
              <w:ind w:firstLine="420"/>
              <w:jc w:val="both"/>
              <w:rPr>
                <w:rFonts w:hint="eastAsia"/>
                <w:bCs/>
                <w:color w:val="auto"/>
                <w:kern w:val="24"/>
                <w:sz w:val="21"/>
                <w:szCs w:val="21"/>
              </w:rPr>
            </w:pPr>
            <w:r>
              <w:rPr>
                <w:rFonts w:hint="eastAsia"/>
                <w:bCs/>
                <w:color w:val="auto"/>
                <w:kern w:val="24"/>
                <w:sz w:val="21"/>
                <w:szCs w:val="21"/>
                <w:lang w:val="en-US" w:eastAsia="zh-CN"/>
              </w:rPr>
              <w:t>厂区现有防范措施如下：</w:t>
            </w:r>
          </w:p>
          <w:p w14:paraId="1EE41308">
            <w:pPr>
              <w:pStyle w:val="140"/>
              <w:ind w:firstLine="420"/>
              <w:jc w:val="both"/>
              <w:rPr>
                <w:rFonts w:hint="eastAsia"/>
                <w:bCs/>
                <w:color w:val="auto"/>
                <w:kern w:val="24"/>
                <w:sz w:val="21"/>
                <w:szCs w:val="21"/>
              </w:rPr>
            </w:pPr>
            <w:r>
              <w:rPr>
                <w:rFonts w:hint="eastAsia"/>
                <w:bCs/>
                <w:color w:val="auto"/>
                <w:kern w:val="24"/>
                <w:sz w:val="21"/>
                <w:szCs w:val="21"/>
              </w:rPr>
              <w:t>①厂区设置符合消防规定的灭火设施和消防环行通道。</w:t>
            </w:r>
          </w:p>
          <w:p w14:paraId="6053F5A5">
            <w:pPr>
              <w:pStyle w:val="140"/>
              <w:ind w:firstLine="420"/>
              <w:jc w:val="both"/>
              <w:rPr>
                <w:rFonts w:hint="eastAsia"/>
                <w:bCs/>
                <w:color w:val="auto"/>
                <w:kern w:val="24"/>
                <w:sz w:val="21"/>
                <w:szCs w:val="21"/>
              </w:rPr>
            </w:pPr>
            <w:r>
              <w:rPr>
                <w:rFonts w:hint="eastAsia"/>
                <w:bCs/>
                <w:color w:val="auto"/>
                <w:kern w:val="24"/>
                <w:sz w:val="21"/>
                <w:szCs w:val="21"/>
              </w:rPr>
              <w:t>②氨水贮罐和贮槽周围设计围堰。围堰采用钢筋混凝土结构。</w:t>
            </w:r>
          </w:p>
          <w:p w14:paraId="40504E8D">
            <w:pPr>
              <w:pStyle w:val="140"/>
              <w:ind w:firstLine="420"/>
              <w:jc w:val="both"/>
              <w:rPr>
                <w:rFonts w:hint="eastAsia"/>
                <w:bCs/>
                <w:color w:val="auto"/>
                <w:kern w:val="24"/>
                <w:sz w:val="21"/>
                <w:szCs w:val="21"/>
                <w:lang w:eastAsia="zh-CN"/>
              </w:rPr>
            </w:pPr>
            <w:r>
              <w:rPr>
                <w:rFonts w:hint="eastAsia"/>
                <w:bCs/>
                <w:color w:val="auto"/>
                <w:kern w:val="24"/>
                <w:sz w:val="21"/>
                <w:szCs w:val="21"/>
              </w:rPr>
              <w:t>③</w:t>
            </w:r>
            <w:r>
              <w:rPr>
                <w:rFonts w:hint="eastAsia"/>
                <w:bCs/>
                <w:color w:val="auto"/>
                <w:kern w:val="24"/>
                <w:sz w:val="21"/>
                <w:szCs w:val="21"/>
                <w:lang w:val="en-US" w:eastAsia="zh-CN"/>
              </w:rPr>
              <w:t>储罐</w:t>
            </w:r>
            <w:r>
              <w:rPr>
                <w:rFonts w:hint="eastAsia"/>
                <w:bCs/>
                <w:color w:val="auto"/>
                <w:kern w:val="24"/>
                <w:sz w:val="21"/>
                <w:szCs w:val="21"/>
              </w:rPr>
              <w:t>安装液位上限报警装置、可燃气体报警仪有毒有害报警仪，操作人员需按规程操作</w:t>
            </w:r>
            <w:r>
              <w:rPr>
                <w:rFonts w:hint="eastAsia"/>
                <w:bCs/>
                <w:color w:val="auto"/>
                <w:kern w:val="24"/>
                <w:sz w:val="21"/>
                <w:szCs w:val="21"/>
                <w:lang w:eastAsia="zh-CN"/>
              </w:rPr>
              <w:t>；</w:t>
            </w:r>
          </w:p>
          <w:p w14:paraId="1B214681">
            <w:pPr>
              <w:pStyle w:val="140"/>
              <w:ind w:firstLine="420"/>
              <w:jc w:val="both"/>
              <w:rPr>
                <w:rFonts w:hint="eastAsia"/>
                <w:bCs/>
                <w:color w:val="auto"/>
                <w:kern w:val="24"/>
                <w:sz w:val="21"/>
                <w:szCs w:val="21"/>
              </w:rPr>
            </w:pPr>
            <w:r>
              <w:rPr>
                <w:rFonts w:hint="eastAsia"/>
                <w:bCs/>
                <w:color w:val="auto"/>
                <w:kern w:val="24"/>
                <w:sz w:val="21"/>
                <w:szCs w:val="21"/>
              </w:rPr>
              <w:t>④安装防静电和防感应雷的接地装置，罐区内电气装置符合防火防爆要求。</w:t>
            </w:r>
          </w:p>
          <w:p w14:paraId="03A3AEF2">
            <w:pPr>
              <w:pStyle w:val="140"/>
              <w:ind w:firstLine="420"/>
              <w:jc w:val="both"/>
              <w:rPr>
                <w:rFonts w:hint="eastAsia"/>
                <w:bCs/>
                <w:color w:val="auto"/>
                <w:kern w:val="24"/>
                <w:sz w:val="21"/>
                <w:szCs w:val="21"/>
              </w:rPr>
            </w:pPr>
            <w:r>
              <w:rPr>
                <w:rFonts w:hint="eastAsia"/>
                <w:bCs/>
                <w:color w:val="auto"/>
                <w:kern w:val="24"/>
                <w:sz w:val="21"/>
                <w:szCs w:val="21"/>
              </w:rPr>
              <w:t>⑤定期对罐区储罐、管线</w:t>
            </w:r>
            <w:r>
              <w:rPr>
                <w:rFonts w:hint="eastAsia"/>
                <w:bCs/>
                <w:color w:val="auto"/>
                <w:kern w:val="24"/>
                <w:sz w:val="21"/>
                <w:szCs w:val="21"/>
                <w:lang w:eastAsia="zh-CN"/>
              </w:rPr>
              <w:t>、</w:t>
            </w:r>
            <w:r>
              <w:rPr>
                <w:rFonts w:hint="eastAsia"/>
                <w:bCs/>
                <w:color w:val="auto"/>
                <w:kern w:val="24"/>
                <w:sz w:val="21"/>
                <w:szCs w:val="21"/>
                <w:lang w:val="en-US" w:eastAsia="zh-CN"/>
              </w:rPr>
              <w:t>阀门等</w:t>
            </w:r>
            <w:r>
              <w:rPr>
                <w:rFonts w:hint="eastAsia"/>
                <w:bCs/>
                <w:color w:val="auto"/>
                <w:kern w:val="24"/>
                <w:sz w:val="21"/>
                <w:szCs w:val="21"/>
              </w:rPr>
              <w:t>进行</w:t>
            </w:r>
            <w:r>
              <w:rPr>
                <w:rFonts w:hint="eastAsia"/>
                <w:bCs/>
                <w:color w:val="auto"/>
                <w:kern w:val="24"/>
                <w:sz w:val="21"/>
                <w:szCs w:val="21"/>
                <w:lang w:val="en-US" w:eastAsia="zh-CN"/>
              </w:rPr>
              <w:t>检查、维修</w:t>
            </w:r>
            <w:r>
              <w:rPr>
                <w:rFonts w:hint="eastAsia"/>
                <w:bCs/>
                <w:color w:val="auto"/>
                <w:kern w:val="24"/>
                <w:sz w:val="21"/>
                <w:szCs w:val="21"/>
              </w:rPr>
              <w:t>，对破裂的管线及时进行修补，并执行严格的用火管理制度。</w:t>
            </w:r>
          </w:p>
          <w:p w14:paraId="03CC570A">
            <w:pPr>
              <w:pStyle w:val="140"/>
              <w:ind w:firstLine="420"/>
              <w:jc w:val="both"/>
              <w:rPr>
                <w:rFonts w:hint="eastAsia"/>
                <w:bCs/>
                <w:color w:val="auto"/>
                <w:kern w:val="24"/>
                <w:sz w:val="21"/>
                <w:szCs w:val="21"/>
              </w:rPr>
            </w:pPr>
            <w:r>
              <w:rPr>
                <w:rFonts w:hint="eastAsia"/>
                <w:bCs/>
                <w:color w:val="auto"/>
                <w:kern w:val="24"/>
                <w:sz w:val="21"/>
                <w:szCs w:val="21"/>
              </w:rPr>
              <w:t>⑥储罐贮存量不得超过贮罐容量的80%，储罐设置压强自动报警装置。</w:t>
            </w:r>
          </w:p>
          <w:p w14:paraId="4EC520A0">
            <w:pPr>
              <w:pStyle w:val="140"/>
              <w:ind w:firstLine="420"/>
              <w:jc w:val="both"/>
              <w:rPr>
                <w:rFonts w:hint="eastAsia"/>
                <w:bCs/>
                <w:color w:val="auto"/>
                <w:kern w:val="24"/>
                <w:sz w:val="21"/>
                <w:szCs w:val="21"/>
              </w:rPr>
            </w:pPr>
            <w:r>
              <w:rPr>
                <w:rFonts w:hint="eastAsia"/>
                <w:bCs/>
                <w:color w:val="auto"/>
                <w:kern w:val="24"/>
                <w:sz w:val="21"/>
                <w:szCs w:val="21"/>
              </w:rPr>
              <w:t>⑦储罐区设置自动探测装置，若易燃易爆物质的浓度超过允许浓度，则开启报警装</w:t>
            </w:r>
          </w:p>
          <w:p w14:paraId="71B953A0">
            <w:pPr>
              <w:pStyle w:val="140"/>
              <w:ind w:firstLine="420"/>
              <w:jc w:val="both"/>
              <w:rPr>
                <w:rFonts w:hint="eastAsia"/>
                <w:bCs/>
                <w:color w:val="auto"/>
                <w:kern w:val="24"/>
                <w:sz w:val="21"/>
                <w:szCs w:val="21"/>
              </w:rPr>
            </w:pPr>
            <w:r>
              <w:rPr>
                <w:rFonts w:hint="eastAsia"/>
                <w:bCs/>
                <w:color w:val="auto"/>
                <w:kern w:val="24"/>
                <w:sz w:val="21"/>
                <w:szCs w:val="21"/>
              </w:rPr>
              <w:t>⑧制定完善的罐区巡检制度和重大事故应急措施和救援预案。</w:t>
            </w:r>
          </w:p>
          <w:p w14:paraId="591F6870">
            <w:pPr>
              <w:pStyle w:val="140"/>
              <w:ind w:firstLine="420"/>
              <w:jc w:val="both"/>
              <w:rPr>
                <w:rFonts w:hint="eastAsia"/>
                <w:bCs/>
                <w:color w:val="auto"/>
                <w:kern w:val="24"/>
                <w:sz w:val="21"/>
                <w:szCs w:val="21"/>
              </w:rPr>
            </w:pPr>
            <w:r>
              <w:rPr>
                <w:rFonts w:hint="eastAsia"/>
                <w:bCs/>
                <w:color w:val="auto"/>
                <w:kern w:val="24"/>
                <w:sz w:val="21"/>
                <w:szCs w:val="21"/>
              </w:rPr>
              <w:t>⑨罐区物料输送、卸料过程的</w:t>
            </w:r>
            <w:r>
              <w:rPr>
                <w:rFonts w:hint="eastAsia"/>
                <w:bCs/>
                <w:color w:val="auto"/>
                <w:kern w:val="24"/>
                <w:sz w:val="21"/>
                <w:szCs w:val="21"/>
                <w:lang w:val="en-US" w:eastAsia="zh-CN"/>
              </w:rPr>
              <w:t>专人</w:t>
            </w:r>
            <w:r>
              <w:rPr>
                <w:rFonts w:hint="eastAsia"/>
                <w:bCs/>
                <w:color w:val="auto"/>
                <w:kern w:val="24"/>
                <w:sz w:val="21"/>
                <w:szCs w:val="21"/>
              </w:rPr>
              <w:t>监管，在物料装卸料过程中，由专人负责监控，防止发生风险事故。</w:t>
            </w:r>
          </w:p>
          <w:p w14:paraId="58DBB03A">
            <w:pPr>
              <w:pStyle w:val="140"/>
              <w:ind w:firstLine="420"/>
              <w:jc w:val="both"/>
              <w:rPr>
                <w:rFonts w:hint="eastAsia"/>
                <w:bCs/>
                <w:color w:val="auto"/>
                <w:kern w:val="24"/>
                <w:sz w:val="21"/>
                <w:szCs w:val="21"/>
              </w:rPr>
            </w:pPr>
            <w:r>
              <w:rPr>
                <w:rFonts w:hint="eastAsia"/>
                <w:bCs/>
                <w:color w:val="auto"/>
                <w:kern w:val="24"/>
                <w:sz w:val="21"/>
                <w:szCs w:val="21"/>
              </w:rPr>
              <w:t>⑩储罐区附近设置惰性吸附材料、黄砂、应急泵、防毒面具等应急物资和设备并定期更换过期的风险应急物资。</w:t>
            </w:r>
          </w:p>
          <w:p w14:paraId="2B2380F7">
            <w:pPr>
              <w:pStyle w:val="140"/>
              <w:ind w:firstLine="422"/>
              <w:jc w:val="both"/>
              <w:rPr>
                <w:rFonts w:hint="eastAsia"/>
                <w:b/>
                <w:color w:val="auto"/>
                <w:kern w:val="24"/>
                <w:sz w:val="21"/>
                <w:szCs w:val="21"/>
              </w:rPr>
            </w:pPr>
            <w:r>
              <w:rPr>
                <w:rFonts w:hint="eastAsia"/>
                <w:b/>
                <w:color w:val="auto"/>
                <w:kern w:val="24"/>
                <w:sz w:val="21"/>
                <w:szCs w:val="21"/>
              </w:rPr>
              <w:t>（5）危险品储存及泄漏防范措施</w:t>
            </w:r>
          </w:p>
          <w:p w14:paraId="1D5A5150">
            <w:pPr>
              <w:pStyle w:val="140"/>
              <w:ind w:firstLine="420"/>
              <w:jc w:val="both"/>
              <w:rPr>
                <w:rFonts w:hint="eastAsia"/>
                <w:bCs/>
                <w:color w:val="auto"/>
                <w:kern w:val="24"/>
                <w:sz w:val="21"/>
                <w:szCs w:val="21"/>
              </w:rPr>
            </w:pPr>
            <w:r>
              <w:rPr>
                <w:rFonts w:hint="eastAsia"/>
                <w:bCs/>
                <w:color w:val="auto"/>
                <w:kern w:val="24"/>
                <w:sz w:val="21"/>
                <w:szCs w:val="21"/>
                <w:lang w:val="en-US" w:eastAsia="zh-CN"/>
              </w:rPr>
              <w:t>经安全部门检查，厂区</w:t>
            </w:r>
            <w:r>
              <w:rPr>
                <w:rFonts w:hint="eastAsia"/>
                <w:bCs/>
                <w:color w:val="auto"/>
                <w:kern w:val="24"/>
                <w:sz w:val="21"/>
                <w:szCs w:val="21"/>
              </w:rPr>
              <w:t>液化天然气储罐仪表设置两个液位计，并设置液位上、下限报警和连锁装置。设置压力表，在有值班人员的场所设置高压报警显示器，取压点位于储罐最高液位以上。</w:t>
            </w:r>
          </w:p>
          <w:p w14:paraId="5AE58B71">
            <w:pPr>
              <w:pStyle w:val="140"/>
              <w:ind w:firstLine="420"/>
              <w:jc w:val="both"/>
              <w:rPr>
                <w:rFonts w:hint="eastAsia"/>
                <w:bCs/>
                <w:color w:val="auto"/>
                <w:kern w:val="24"/>
                <w:sz w:val="21"/>
                <w:szCs w:val="21"/>
              </w:rPr>
            </w:pPr>
            <w:r>
              <w:rPr>
                <w:rFonts w:hint="eastAsia"/>
                <w:bCs/>
                <w:color w:val="auto"/>
                <w:kern w:val="24"/>
                <w:sz w:val="21"/>
                <w:szCs w:val="21"/>
              </w:rPr>
              <w:t>储罐区设置有燃气浓度检测报警器，报警显示器设置在办公用房。液化天然气储罐采用真空绝热的储罐，真空层设置真空表接口。液化天然气储罐设置有安全阀，储罐设置有放散管，储罐进出液管设置有紧急切断阀。液化天然气储罐设置了紧急切断阀，减压撬设置了放散管，进口管道设置了过滤器。</w:t>
            </w:r>
          </w:p>
          <w:p w14:paraId="068FDFA0">
            <w:pPr>
              <w:pStyle w:val="140"/>
              <w:ind w:firstLine="420"/>
              <w:jc w:val="both"/>
              <w:rPr>
                <w:rFonts w:hint="eastAsia"/>
                <w:bCs/>
                <w:color w:val="auto"/>
                <w:kern w:val="24"/>
                <w:sz w:val="21"/>
                <w:szCs w:val="21"/>
              </w:rPr>
            </w:pPr>
            <w:r>
              <w:rPr>
                <w:rFonts w:hint="eastAsia"/>
                <w:bCs/>
                <w:color w:val="auto"/>
                <w:kern w:val="24"/>
                <w:sz w:val="21"/>
                <w:szCs w:val="21"/>
                <w:lang w:val="en-US" w:eastAsia="zh-CN"/>
              </w:rPr>
              <w:t>厂区</w:t>
            </w:r>
            <w:r>
              <w:rPr>
                <w:rFonts w:hint="eastAsia"/>
                <w:bCs/>
                <w:color w:val="auto"/>
                <w:kern w:val="24"/>
                <w:sz w:val="21"/>
                <w:szCs w:val="21"/>
              </w:rPr>
              <w:t>供气管道采用奥氏体不锈钢无缝钢管，</w:t>
            </w:r>
            <w:r>
              <w:rPr>
                <w:rFonts w:hint="eastAsia"/>
                <w:bCs/>
                <w:color w:val="auto"/>
                <w:kern w:val="24"/>
                <w:sz w:val="21"/>
                <w:szCs w:val="21"/>
                <w:lang w:val="en-US" w:eastAsia="zh-CN"/>
              </w:rPr>
              <w:t>管道</w:t>
            </w:r>
            <w:r>
              <w:rPr>
                <w:rFonts w:hint="eastAsia"/>
                <w:bCs/>
                <w:color w:val="auto"/>
                <w:kern w:val="24"/>
                <w:sz w:val="21"/>
                <w:szCs w:val="21"/>
              </w:rPr>
              <w:t>设置了紧急切断阀，并与储罐液位控制连锁，液化天然气出口管道上设置安全阀；进厂天然气总管处设置有可燃气体检测报警仪。</w:t>
            </w:r>
          </w:p>
          <w:p w14:paraId="604520AF">
            <w:pPr>
              <w:pStyle w:val="140"/>
              <w:ind w:firstLine="420"/>
              <w:jc w:val="both"/>
              <w:rPr>
                <w:rFonts w:hint="default" w:eastAsia="宋体"/>
                <w:bCs/>
                <w:color w:val="auto"/>
                <w:kern w:val="24"/>
                <w:sz w:val="21"/>
                <w:szCs w:val="21"/>
                <w:lang w:val="en-US" w:eastAsia="zh-CN"/>
              </w:rPr>
            </w:pPr>
            <w:r>
              <w:rPr>
                <w:rFonts w:hint="eastAsia"/>
                <w:bCs/>
                <w:color w:val="auto"/>
                <w:kern w:val="24"/>
                <w:sz w:val="21"/>
                <w:szCs w:val="21"/>
              </w:rPr>
              <w:t>经安全部门检查，制氧间、氧气贮罐间、液氧储罐间等有火灾危险、爆炸危险的房间，灭火器的配置类型、规格、数量及其位置符合现行国家标准《建筑灭火器配置设计规范》GB50140的有关规定。液氧储罐未采用明火或电加热散热器采暖。</w:t>
            </w:r>
            <w:r>
              <w:rPr>
                <w:rFonts w:hint="eastAsia"/>
                <w:bCs/>
                <w:color w:val="auto"/>
                <w:kern w:val="24"/>
                <w:sz w:val="21"/>
                <w:szCs w:val="21"/>
                <w:lang w:val="en-US" w:eastAsia="zh-CN"/>
              </w:rPr>
              <w:t>瓶罐液化石油气均采用合规气瓶，存放区域远离明火和电加热散热器。</w:t>
            </w:r>
          </w:p>
          <w:p w14:paraId="336F7959">
            <w:pPr>
              <w:pStyle w:val="140"/>
              <w:ind w:firstLine="420"/>
              <w:jc w:val="both"/>
              <w:rPr>
                <w:rFonts w:hint="eastAsia" w:eastAsia="微软雅黑" w:cs="微软雅黑"/>
                <w:bCs/>
                <w:color w:val="auto"/>
                <w:kern w:val="24"/>
                <w:sz w:val="21"/>
                <w:szCs w:val="21"/>
              </w:rPr>
            </w:pPr>
            <w:r>
              <w:rPr>
                <w:rFonts w:hint="eastAsia"/>
                <w:bCs/>
                <w:color w:val="auto"/>
                <w:kern w:val="24"/>
                <w:sz w:val="21"/>
                <w:szCs w:val="21"/>
                <w:lang w:val="en-US" w:eastAsia="zh-CN"/>
              </w:rPr>
              <w:t>因此厂区现有危险品存储满足风险防范要求。</w:t>
            </w:r>
          </w:p>
          <w:p w14:paraId="2A248C57">
            <w:pPr>
              <w:pStyle w:val="140"/>
              <w:ind w:firstLine="422"/>
              <w:jc w:val="both"/>
              <w:rPr>
                <w:rFonts w:hint="eastAsia"/>
                <w:b/>
                <w:color w:val="auto"/>
                <w:kern w:val="24"/>
                <w:sz w:val="21"/>
                <w:szCs w:val="21"/>
              </w:rPr>
            </w:pPr>
            <w:r>
              <w:rPr>
                <w:rFonts w:hint="eastAsia"/>
                <w:b/>
                <w:color w:val="auto"/>
                <w:kern w:val="24"/>
                <w:sz w:val="21"/>
                <w:szCs w:val="21"/>
              </w:rPr>
              <w:t>（6）预防火灾的防范措施</w:t>
            </w:r>
          </w:p>
          <w:p w14:paraId="55D6BAA2">
            <w:pPr>
              <w:pStyle w:val="140"/>
              <w:ind w:firstLine="420"/>
              <w:jc w:val="both"/>
              <w:rPr>
                <w:rFonts w:hint="eastAsia"/>
                <w:bCs/>
                <w:color w:val="auto"/>
                <w:kern w:val="24"/>
                <w:sz w:val="21"/>
                <w:szCs w:val="21"/>
              </w:rPr>
            </w:pPr>
            <w:r>
              <w:rPr>
                <w:rFonts w:hint="eastAsia"/>
                <w:bCs/>
                <w:color w:val="auto"/>
                <w:kern w:val="24"/>
                <w:sz w:val="21"/>
                <w:szCs w:val="21"/>
              </w:rPr>
              <w:t>火灾危险性较大的装置是工艺主装置、贮罐区等，根据设计方案，拟建的各装置在设计期间间距离严格按照安全防范距离规范的要求进行布置，确保防火间距，从总图布置上确保装置区和危险品(罐区)之间安全防范距离，确保了生产装置运行安全。环评建议，对具有潜在火灾、爆炸灾害性的物质，要求强化工程设计，建造和运行要科学规划、合理布置、严格按照防火安全设计规范设计，贮罐区在现有设计的基础上尽可能远离热源和明火；保证建造质量，严格安全生产制度，严格管理，提高操作人员的素质和水平，以减少风险事故的发生。项目可能发生火灾、爆炸风险事故防范措施见表。</w:t>
            </w:r>
          </w:p>
          <w:p w14:paraId="287CCFB5">
            <w:pPr>
              <w:pStyle w:val="30"/>
              <w:adjustRightInd w:val="0"/>
              <w:snapToGrid w:val="0"/>
              <w:spacing w:before="0" w:beforeAutospacing="0" w:after="0" w:afterAutospacing="0" w:line="360" w:lineRule="auto"/>
              <w:jc w:val="center"/>
              <w:rPr>
                <w:rFonts w:hint="eastAsia" w:ascii="Times New Roman" w:hAnsi="Times New Roman"/>
                <w:b/>
                <w:color w:val="auto"/>
                <w:kern w:val="24"/>
                <w:sz w:val="21"/>
                <w:szCs w:val="21"/>
              </w:rPr>
            </w:pPr>
            <w:r>
              <w:rPr>
                <w:rFonts w:ascii="Times New Roman" w:hAnsi="Times New Roman"/>
                <w:b/>
                <w:bCs/>
                <w:color w:val="auto"/>
                <w:sz w:val="21"/>
                <w:szCs w:val="21"/>
              </w:rPr>
              <w:t>表</w:t>
            </w:r>
            <w:r>
              <w:rPr>
                <w:rFonts w:hint="eastAsia" w:ascii="Times New Roman" w:hAnsi="Times New Roman"/>
                <w:b/>
                <w:color w:val="auto"/>
                <w:kern w:val="24"/>
                <w:sz w:val="21"/>
                <w:szCs w:val="21"/>
                <w:lang w:eastAsia="zh-CN"/>
              </w:rPr>
              <w:t>7-</w:t>
            </w:r>
            <w:r>
              <w:rPr>
                <w:rFonts w:hint="eastAsia" w:ascii="Times New Roman" w:hAnsi="Times New Roman"/>
                <w:b/>
                <w:color w:val="auto"/>
                <w:kern w:val="24"/>
                <w:sz w:val="21"/>
                <w:szCs w:val="21"/>
                <w:lang w:val="en-US" w:eastAsia="zh-CN"/>
              </w:rPr>
              <w:t>30</w:t>
            </w:r>
            <w:r>
              <w:rPr>
                <w:rFonts w:hint="eastAsia" w:ascii="Times New Roman" w:hAnsi="Times New Roman"/>
                <w:b/>
                <w:color w:val="auto"/>
                <w:kern w:val="24"/>
                <w:sz w:val="21"/>
                <w:szCs w:val="21"/>
                <w:lang w:eastAsia="zh-CN"/>
              </w:rPr>
              <w:t xml:space="preserve">   </w:t>
            </w:r>
            <w:r>
              <w:rPr>
                <w:rFonts w:hint="eastAsia" w:ascii="Times New Roman" w:hAnsi="Times New Roman"/>
                <w:b/>
                <w:color w:val="auto"/>
                <w:kern w:val="24"/>
                <w:sz w:val="21"/>
                <w:szCs w:val="21"/>
              </w:rPr>
              <w:t>火灾爆炸事故防范措施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3068"/>
              <w:gridCol w:w="4487"/>
            </w:tblGrid>
            <w:tr w14:paraId="245B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6" w:type="dxa"/>
                  <w:noWrap w:val="0"/>
                  <w:vAlign w:val="center"/>
                </w:tcPr>
                <w:p w14:paraId="244132E1">
                  <w:pPr>
                    <w:spacing w:line="240" w:lineRule="atLeast"/>
                    <w:jc w:val="center"/>
                    <w:rPr>
                      <w:rFonts w:hint="eastAsia"/>
                      <w:color w:val="auto"/>
                      <w:szCs w:val="21"/>
                    </w:rPr>
                  </w:pPr>
                  <w:r>
                    <w:rPr>
                      <w:rFonts w:hint="eastAsia"/>
                      <w:color w:val="auto"/>
                      <w:szCs w:val="21"/>
                    </w:rPr>
                    <w:t>装置单元</w:t>
                  </w:r>
                </w:p>
              </w:tc>
              <w:tc>
                <w:tcPr>
                  <w:tcW w:w="3068" w:type="dxa"/>
                  <w:noWrap w:val="0"/>
                  <w:vAlign w:val="center"/>
                </w:tcPr>
                <w:p w14:paraId="3F456109">
                  <w:pPr>
                    <w:spacing w:line="240" w:lineRule="atLeast"/>
                    <w:jc w:val="center"/>
                    <w:rPr>
                      <w:rFonts w:hint="eastAsia"/>
                      <w:color w:val="auto"/>
                      <w:szCs w:val="21"/>
                    </w:rPr>
                  </w:pPr>
                  <w:r>
                    <w:rPr>
                      <w:rFonts w:hint="eastAsia"/>
                      <w:color w:val="auto"/>
                      <w:szCs w:val="21"/>
                    </w:rPr>
                    <w:t>预防措施</w:t>
                  </w:r>
                </w:p>
              </w:tc>
              <w:tc>
                <w:tcPr>
                  <w:tcW w:w="4487" w:type="dxa"/>
                  <w:noWrap w:val="0"/>
                  <w:vAlign w:val="center"/>
                </w:tcPr>
                <w:p w14:paraId="0BCCED1E">
                  <w:pPr>
                    <w:spacing w:line="240" w:lineRule="atLeast"/>
                    <w:jc w:val="center"/>
                    <w:rPr>
                      <w:rFonts w:hint="eastAsia"/>
                      <w:color w:val="auto"/>
                      <w:szCs w:val="21"/>
                    </w:rPr>
                  </w:pPr>
                  <w:r>
                    <w:rPr>
                      <w:rFonts w:hint="eastAsia"/>
                      <w:color w:val="auto"/>
                      <w:szCs w:val="21"/>
                    </w:rPr>
                    <w:t>应急防范措施</w:t>
                  </w:r>
                </w:p>
              </w:tc>
            </w:tr>
            <w:tr w14:paraId="1884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6" w:type="dxa"/>
                  <w:noWrap w:val="0"/>
                  <w:vAlign w:val="center"/>
                </w:tcPr>
                <w:p w14:paraId="73A82687">
                  <w:pPr>
                    <w:spacing w:line="240" w:lineRule="atLeast"/>
                    <w:jc w:val="center"/>
                    <w:rPr>
                      <w:rFonts w:hint="eastAsia"/>
                      <w:color w:val="auto"/>
                      <w:szCs w:val="21"/>
                    </w:rPr>
                  </w:pPr>
                  <w:r>
                    <w:rPr>
                      <w:rFonts w:hint="eastAsia"/>
                      <w:color w:val="auto"/>
                      <w:szCs w:val="21"/>
                    </w:rPr>
                    <w:t>生产区</w:t>
                  </w:r>
                </w:p>
              </w:tc>
              <w:tc>
                <w:tcPr>
                  <w:tcW w:w="3068" w:type="dxa"/>
                  <w:noWrap w:val="0"/>
                  <w:vAlign w:val="center"/>
                </w:tcPr>
                <w:p w14:paraId="4C62716A">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color w:val="auto"/>
                      <w:szCs w:val="21"/>
                    </w:rPr>
                  </w:pPr>
                  <w:r>
                    <w:rPr>
                      <w:rFonts w:hint="eastAsia"/>
                      <w:color w:val="auto"/>
                      <w:szCs w:val="21"/>
                    </w:rPr>
                    <w:t>平稳操作、精心控制温度、压力；</w:t>
                  </w:r>
                </w:p>
                <w:p w14:paraId="376E10E9">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color w:val="auto"/>
                      <w:szCs w:val="21"/>
                    </w:rPr>
                  </w:pPr>
                  <w:r>
                    <w:rPr>
                      <w:rFonts w:hint="eastAsia"/>
                      <w:color w:val="auto"/>
                      <w:szCs w:val="21"/>
                    </w:rPr>
                    <w:t>定期进行设备检查、维护；</w:t>
                  </w:r>
                </w:p>
                <w:p w14:paraId="3CA22E36">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color w:val="auto"/>
                      <w:szCs w:val="21"/>
                    </w:rPr>
                  </w:pPr>
                  <w:r>
                    <w:rPr>
                      <w:rFonts w:hint="eastAsia"/>
                      <w:color w:val="auto"/>
                      <w:szCs w:val="21"/>
                    </w:rPr>
                    <w:t>定期对监控仪表校验</w:t>
                  </w:r>
                </w:p>
              </w:tc>
              <w:tc>
                <w:tcPr>
                  <w:tcW w:w="4487" w:type="dxa"/>
                  <w:noWrap w:val="0"/>
                  <w:vAlign w:val="center"/>
                </w:tcPr>
                <w:p w14:paraId="788AA05F">
                  <w:pPr>
                    <w:spacing w:line="240" w:lineRule="atLeast"/>
                    <w:jc w:val="left"/>
                    <w:rPr>
                      <w:rFonts w:hint="eastAsia"/>
                      <w:color w:val="auto"/>
                      <w:szCs w:val="21"/>
                    </w:rPr>
                  </w:pPr>
                  <w:r>
                    <w:rPr>
                      <w:rFonts w:hint="eastAsia"/>
                      <w:color w:val="auto"/>
                      <w:szCs w:val="21"/>
                    </w:rPr>
                    <w:t>发现火灾，立即报警；</w:t>
                  </w:r>
                </w:p>
                <w:p w14:paraId="7C7AD6DA">
                  <w:pPr>
                    <w:spacing w:line="240" w:lineRule="atLeast"/>
                    <w:jc w:val="left"/>
                    <w:rPr>
                      <w:rFonts w:hint="eastAsia"/>
                      <w:color w:val="auto"/>
                      <w:szCs w:val="21"/>
                    </w:rPr>
                  </w:pPr>
                  <w:r>
                    <w:rPr>
                      <w:rFonts w:hint="eastAsia"/>
                      <w:color w:val="auto"/>
                      <w:szCs w:val="21"/>
                    </w:rPr>
                    <w:t>在控制火灾的同时做紧急停工处理；</w:t>
                  </w:r>
                </w:p>
                <w:p w14:paraId="68511EB3">
                  <w:pPr>
                    <w:spacing w:line="240" w:lineRule="atLeast"/>
                    <w:jc w:val="left"/>
                    <w:rPr>
                      <w:rFonts w:hint="eastAsia"/>
                      <w:color w:val="auto"/>
                      <w:szCs w:val="21"/>
                    </w:rPr>
                  </w:pPr>
                  <w:r>
                    <w:rPr>
                      <w:rFonts w:hint="eastAsia"/>
                      <w:color w:val="auto"/>
                      <w:szCs w:val="21"/>
                    </w:rPr>
                    <w:t>启动紧急防火设施，设置水幕，防止火灾蔓延。</w:t>
                  </w:r>
                </w:p>
              </w:tc>
            </w:tr>
            <w:tr w14:paraId="694B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6" w:type="dxa"/>
                  <w:noWrap w:val="0"/>
                  <w:vAlign w:val="center"/>
                </w:tcPr>
                <w:p w14:paraId="78FAF80E">
                  <w:pPr>
                    <w:spacing w:line="240" w:lineRule="atLeast"/>
                    <w:jc w:val="center"/>
                    <w:rPr>
                      <w:rFonts w:hint="eastAsia"/>
                      <w:color w:val="auto"/>
                      <w:szCs w:val="21"/>
                    </w:rPr>
                  </w:pPr>
                  <w:r>
                    <w:rPr>
                      <w:rFonts w:hint="eastAsia"/>
                      <w:color w:val="auto"/>
                      <w:szCs w:val="21"/>
                    </w:rPr>
                    <w:t>贮存区</w:t>
                  </w:r>
                </w:p>
              </w:tc>
              <w:tc>
                <w:tcPr>
                  <w:tcW w:w="3068" w:type="dxa"/>
                  <w:noWrap w:val="0"/>
                  <w:vAlign w:val="center"/>
                </w:tcPr>
                <w:p w14:paraId="7975234A">
                  <w:pPr>
                    <w:spacing w:line="240" w:lineRule="atLeast"/>
                    <w:jc w:val="left"/>
                    <w:rPr>
                      <w:rFonts w:hint="eastAsia"/>
                      <w:color w:val="auto"/>
                      <w:szCs w:val="21"/>
                    </w:rPr>
                  </w:pPr>
                  <w:r>
                    <w:rPr>
                      <w:rFonts w:hint="eastAsia"/>
                      <w:color w:val="auto"/>
                      <w:szCs w:val="21"/>
                    </w:rPr>
                    <w:t>平稳操作，防止冲顶事故发生；</w:t>
                  </w:r>
                </w:p>
                <w:p w14:paraId="7CB728EF">
                  <w:pPr>
                    <w:spacing w:line="240" w:lineRule="atLeast"/>
                    <w:jc w:val="left"/>
                    <w:rPr>
                      <w:rFonts w:hint="eastAsia"/>
                      <w:color w:val="auto"/>
                      <w:szCs w:val="21"/>
                    </w:rPr>
                  </w:pPr>
                  <w:r>
                    <w:rPr>
                      <w:rFonts w:hint="eastAsia"/>
                      <w:color w:val="auto"/>
                      <w:szCs w:val="21"/>
                    </w:rPr>
                    <w:t>经常检查易造成腐蚀的部位，防止泄漏；配备消防器材。</w:t>
                  </w:r>
                </w:p>
              </w:tc>
              <w:tc>
                <w:tcPr>
                  <w:tcW w:w="4487" w:type="dxa"/>
                  <w:noWrap w:val="0"/>
                  <w:vAlign w:val="center"/>
                </w:tcPr>
                <w:p w14:paraId="613699F2">
                  <w:pPr>
                    <w:spacing w:line="240" w:lineRule="atLeast"/>
                    <w:jc w:val="left"/>
                    <w:rPr>
                      <w:rFonts w:hint="eastAsia"/>
                      <w:color w:val="auto"/>
                      <w:szCs w:val="21"/>
                    </w:rPr>
                  </w:pPr>
                  <w:r>
                    <w:rPr>
                      <w:rFonts w:hint="eastAsia"/>
                      <w:color w:val="auto"/>
                      <w:szCs w:val="21"/>
                    </w:rPr>
                    <w:t>发现火灾，立即报警；</w:t>
                  </w:r>
                </w:p>
                <w:p w14:paraId="6C1B6F93">
                  <w:pPr>
                    <w:spacing w:line="240" w:lineRule="atLeast"/>
                    <w:jc w:val="left"/>
                    <w:rPr>
                      <w:rFonts w:hint="eastAsia"/>
                      <w:color w:val="auto"/>
                      <w:szCs w:val="21"/>
                    </w:rPr>
                  </w:pPr>
                  <w:r>
                    <w:rPr>
                      <w:rFonts w:hint="eastAsia"/>
                      <w:color w:val="auto"/>
                      <w:szCs w:val="21"/>
                    </w:rPr>
                    <w:t>发生火灾时，在控制扑救的同时做紧急停工处理，装置降温降压；存储设备严重破坏，大面积火灾时，及时组织救火，做紧急降温降压液面处理，防止液体外溢</w:t>
                  </w:r>
                </w:p>
              </w:tc>
            </w:tr>
          </w:tbl>
          <w:p w14:paraId="24BA6AE7">
            <w:pPr>
              <w:adjustRightInd w:val="0"/>
              <w:snapToGrid w:val="0"/>
              <w:spacing w:line="360" w:lineRule="auto"/>
              <w:ind w:firstLine="472" w:firstLineChars="225"/>
              <w:rPr>
                <w:snapToGrid w:val="0"/>
                <w:color w:val="auto"/>
                <w:szCs w:val="21"/>
              </w:rPr>
            </w:pPr>
            <w:r>
              <w:rPr>
                <w:snapToGrid w:val="0"/>
                <w:color w:val="auto"/>
                <w:szCs w:val="21"/>
              </w:rPr>
              <w:t>生产中引起火灾的着火源主要有明火火源、电能火源、化学能火源和炽热物体火源等。设计中采取安全有效措施，消除和控制火源。管理上应根据生产工艺过程分别采用系统密闭、通风置换、控制介质温度、压力和流速等措施来消除火灾和爆炸事故的发生。按规范要求设置消防设施，一旦发生火灾时可以及时进行扑救。灭火器配置应按照《建筑灭火器配置设计规范》配置，灭火器应设置在明显和便于取用的地点，且不得影响安全疏散。</w:t>
            </w:r>
          </w:p>
          <w:p w14:paraId="31DA7F1F">
            <w:pPr>
              <w:adjustRightInd w:val="0"/>
              <w:snapToGrid w:val="0"/>
              <w:spacing w:line="360" w:lineRule="auto"/>
              <w:ind w:firstLine="472" w:firstLineChars="225"/>
              <w:rPr>
                <w:rStyle w:val="142"/>
                <w:rFonts w:hint="default" w:eastAsia="宋体"/>
                <w:bCs/>
                <w:color w:val="auto"/>
                <w:szCs w:val="21"/>
                <w:lang w:val="en-US" w:eastAsia="zh-CN"/>
              </w:rPr>
            </w:pPr>
            <w:r>
              <w:rPr>
                <w:snapToGrid w:val="0"/>
                <w:color w:val="auto"/>
                <w:szCs w:val="21"/>
              </w:rPr>
              <w:t>单位应当保障疏散通道、安全出口畅通，并设置符合国家规定的消防安全疏散指示标志和应急照明设施，保持防火门、防火卷帘、消防安全疏散指示标志、应急照明、机械排烟送风、火灾事故广播等设施处于正常状态。</w:t>
            </w:r>
            <w:r>
              <w:rPr>
                <w:rFonts w:hint="eastAsia"/>
                <w:snapToGrid w:val="0"/>
                <w:color w:val="auto"/>
                <w:szCs w:val="21"/>
              </w:rPr>
              <w:t>建立健全各种有关消防与安全生产的规章制度，建立岗位责任制。储罐区、生产车间严禁明火。生产车间、储罐区作业场所等设置可燃气体检漏报警装置，保证第一时间发现可燃气体泄漏。根据《建筑灭火器配置设计规范》和《建筑设计防火规范》的规定，生产车间、公用工程、储罐区、仓库等场所应配置足量的抗溶泡沫、泡沫、干粉等灭火器，并保持完好状态。工厂内装置的电话应与当地公安或企业消防站有良好的联络，火灾时可及时报警。项目设消防泵，并且在厂区内所有建筑内部都配备相应的消防器材（包括消防栓、灭火器），并且设置事故池，有效容积</w:t>
            </w:r>
            <w:r>
              <w:rPr>
                <w:rFonts w:hint="eastAsia"/>
                <w:snapToGrid w:val="0"/>
                <w:color w:val="auto"/>
                <w:szCs w:val="21"/>
                <w:lang w:val="en-US" w:eastAsia="zh-CN"/>
              </w:rPr>
              <w:t>3</w:t>
            </w:r>
            <w:r>
              <w:rPr>
                <w:rFonts w:hint="eastAsia"/>
                <w:snapToGrid w:val="0"/>
                <w:color w:val="auto"/>
                <w:szCs w:val="21"/>
              </w:rPr>
              <w:t>00m</w:t>
            </w:r>
            <w:r>
              <w:rPr>
                <w:rFonts w:hint="eastAsia"/>
                <w:snapToGrid w:val="0"/>
                <w:color w:val="auto"/>
                <w:szCs w:val="21"/>
                <w:vertAlign w:val="superscript"/>
              </w:rPr>
              <w:t>3</w:t>
            </w:r>
            <w:r>
              <w:rPr>
                <w:rFonts w:hint="eastAsia"/>
                <w:snapToGrid w:val="0"/>
                <w:color w:val="auto"/>
                <w:szCs w:val="21"/>
              </w:rPr>
              <w:t>，厂排口以及厂内所有排口与外部水体之间均应安装切断设施，一旦发生事故，消防废水即进入事故池。</w:t>
            </w:r>
            <w:r>
              <w:rPr>
                <w:rFonts w:hint="eastAsia"/>
                <w:snapToGrid w:val="0"/>
                <w:color w:val="auto"/>
                <w:szCs w:val="21"/>
                <w:lang w:val="en-US" w:eastAsia="zh-CN"/>
              </w:rPr>
              <w:t>同时厂区设置截流设施，有效拦截事故废水。</w:t>
            </w:r>
          </w:p>
          <w:p w14:paraId="71811F5E">
            <w:pPr>
              <w:pStyle w:val="140"/>
              <w:ind w:firstLine="422"/>
              <w:jc w:val="both"/>
              <w:rPr>
                <w:rFonts w:hint="eastAsia"/>
                <w:b/>
                <w:color w:val="auto"/>
                <w:kern w:val="24"/>
                <w:sz w:val="21"/>
                <w:szCs w:val="21"/>
              </w:rPr>
            </w:pPr>
            <w:r>
              <w:rPr>
                <w:rFonts w:hint="eastAsia"/>
                <w:b/>
                <w:color w:val="auto"/>
                <w:kern w:val="24"/>
                <w:sz w:val="21"/>
                <w:szCs w:val="21"/>
              </w:rPr>
              <w:t>（7）生产过程风险防范措施</w:t>
            </w:r>
          </w:p>
          <w:p w14:paraId="1E0F92C8">
            <w:pPr>
              <w:pStyle w:val="140"/>
              <w:ind w:firstLine="420"/>
              <w:jc w:val="both"/>
              <w:rPr>
                <w:color w:val="auto"/>
                <w:kern w:val="24"/>
                <w:sz w:val="21"/>
                <w:szCs w:val="21"/>
              </w:rPr>
            </w:pPr>
            <w:r>
              <w:rPr>
                <w:rFonts w:hAnsi="宋体"/>
                <w:color w:val="auto"/>
                <w:kern w:val="24"/>
                <w:sz w:val="21"/>
                <w:szCs w:val="21"/>
              </w:rPr>
              <w:t>公司应加强对员工及新进厂员工的工艺操作规程、安全操作规程等的培训，并取得相应的合格证书或上岗证。工厂工艺技术尽量应用自动化、密闭化及远程化控制手段，在仪表控制系统尽量使用连锁、声光、报警等事故应急系统。生产过程须按规程要求正确控制各种工艺参数和操作时间，各项控制参数的检测、分析、控制应考虑双重检测和联锁，并且应考虑在发生突然停电、停水情况等应急状态的措施。严格执行开停车规程和检修操作规程，作好物料置换和检测等工作。</w:t>
            </w:r>
          </w:p>
          <w:p w14:paraId="4079450C">
            <w:pPr>
              <w:pStyle w:val="140"/>
              <w:ind w:firstLine="422"/>
              <w:jc w:val="both"/>
              <w:rPr>
                <w:rFonts w:hint="eastAsia"/>
                <w:b/>
                <w:color w:val="auto"/>
                <w:kern w:val="24"/>
                <w:sz w:val="21"/>
                <w:szCs w:val="21"/>
              </w:rPr>
            </w:pPr>
            <w:r>
              <w:rPr>
                <w:rFonts w:hint="eastAsia"/>
                <w:b/>
                <w:color w:val="auto"/>
                <w:kern w:val="24"/>
                <w:sz w:val="21"/>
                <w:szCs w:val="21"/>
              </w:rPr>
              <w:t>（8）危险品运输防范措施</w:t>
            </w:r>
          </w:p>
          <w:p w14:paraId="3360855C">
            <w:pPr>
              <w:pStyle w:val="140"/>
              <w:ind w:firstLine="420"/>
              <w:jc w:val="both"/>
              <w:rPr>
                <w:rFonts w:hint="eastAsia"/>
                <w:bCs/>
                <w:color w:val="auto"/>
                <w:kern w:val="24"/>
                <w:sz w:val="21"/>
                <w:szCs w:val="21"/>
              </w:rPr>
            </w:pPr>
            <w:r>
              <w:rPr>
                <w:rFonts w:hint="eastAsia"/>
                <w:bCs/>
                <w:color w:val="auto"/>
                <w:kern w:val="24"/>
                <w:sz w:val="21"/>
                <w:szCs w:val="21"/>
              </w:rPr>
              <w:t>针对于危险品的运输风险防范，本次评价提出以下要求：</w:t>
            </w:r>
          </w:p>
          <w:p w14:paraId="3EFC4511">
            <w:pPr>
              <w:pStyle w:val="140"/>
              <w:ind w:firstLine="420"/>
              <w:jc w:val="both"/>
              <w:rPr>
                <w:rFonts w:hint="eastAsia"/>
                <w:bCs/>
                <w:color w:val="auto"/>
                <w:kern w:val="24"/>
                <w:sz w:val="21"/>
                <w:szCs w:val="21"/>
              </w:rPr>
            </w:pPr>
            <w:r>
              <w:rPr>
                <w:rFonts w:hint="eastAsia"/>
                <w:bCs/>
                <w:color w:val="auto"/>
                <w:kern w:val="24"/>
                <w:sz w:val="21"/>
                <w:szCs w:val="21"/>
              </w:rPr>
              <w:t>①当原料采用槽罐车进行运输时，因温度、压力的变化，体强度下降，阀门变形断裂，静电，运输人员操作不当等原因，均易造成气体扩散、液体滴漏、固体散落，出现不同程度的渗漏，甚至可能引起火灾、爆炸或污染环境等事故。加强对车辆以及罐体质量的检查监管，使其规范化，以保证运输安全。押运人在整个运输过程中定期对车辆和罐体质量进行实时检查，以便及时发现问题。</w:t>
            </w:r>
          </w:p>
          <w:p w14:paraId="53BD72C8">
            <w:pPr>
              <w:pStyle w:val="140"/>
              <w:ind w:firstLine="420"/>
              <w:jc w:val="both"/>
              <w:rPr>
                <w:rFonts w:hint="eastAsia"/>
                <w:bCs/>
                <w:color w:val="auto"/>
                <w:kern w:val="24"/>
                <w:sz w:val="21"/>
                <w:szCs w:val="21"/>
              </w:rPr>
            </w:pPr>
            <w:r>
              <w:rPr>
                <w:rFonts w:hint="eastAsia"/>
                <w:bCs/>
                <w:color w:val="auto"/>
                <w:kern w:val="24"/>
                <w:sz w:val="21"/>
                <w:szCs w:val="21"/>
              </w:rPr>
              <w:t>②当原料采用桶装的方式进行运输时，因包装桶破损、桶盖垫圈失落或者未拧紧、包装桶碰撞发生翻倒等原因，会造成原料的泄漏，甚至引起火灾、爆炸或污染环境等事故。加强对车辆以及包装桶质量的检查监管，使其规范化，以保证运输安全。押运人在整个运输过程中定期对车辆和桶体质量进行实时检查，以便及时发现问题。</w:t>
            </w:r>
          </w:p>
          <w:p w14:paraId="475E4E99">
            <w:pPr>
              <w:pStyle w:val="140"/>
              <w:ind w:firstLine="420"/>
              <w:jc w:val="both"/>
              <w:rPr>
                <w:rFonts w:hint="eastAsia"/>
                <w:bCs/>
                <w:color w:val="auto"/>
                <w:kern w:val="24"/>
                <w:sz w:val="21"/>
                <w:szCs w:val="21"/>
              </w:rPr>
            </w:pPr>
            <w:r>
              <w:rPr>
                <w:rFonts w:hint="eastAsia"/>
                <w:bCs/>
                <w:color w:val="auto"/>
                <w:kern w:val="24"/>
                <w:sz w:val="21"/>
                <w:szCs w:val="21"/>
              </w:rPr>
              <w:t>③在运输途中，由于各种意外原因，产生汽车翻车、物料泄漏等，危险货物有可能散落、抛出至大气、水体或陆域，造成重大环境灾害，对于这类风险事故，要求采取应急措施，包括工程应急措施和社会救援应急预案。</w:t>
            </w:r>
          </w:p>
          <w:p w14:paraId="6DB7AE0E">
            <w:pPr>
              <w:pStyle w:val="140"/>
              <w:ind w:firstLine="420"/>
              <w:jc w:val="both"/>
              <w:rPr>
                <w:rFonts w:hint="eastAsia"/>
                <w:bCs/>
                <w:color w:val="auto"/>
                <w:kern w:val="24"/>
                <w:sz w:val="21"/>
                <w:szCs w:val="21"/>
              </w:rPr>
            </w:pPr>
            <w:r>
              <w:rPr>
                <w:rFonts w:hint="eastAsia"/>
                <w:bCs/>
                <w:color w:val="auto"/>
                <w:kern w:val="24"/>
                <w:sz w:val="21"/>
                <w:szCs w:val="21"/>
              </w:rPr>
              <w:t>④运输过程严格执行《危险货物运输包装通用技术条件》和各种运输方式的《危险货物运输规则》，并配备相应地应急物资和设备;装卸过程要求防震、防撞、防倾斜;断火源、禁火种;通风和降温。</w:t>
            </w:r>
          </w:p>
          <w:p w14:paraId="0E76DC30">
            <w:pPr>
              <w:pStyle w:val="140"/>
              <w:ind w:firstLine="420"/>
              <w:jc w:val="both"/>
              <w:rPr>
                <w:rFonts w:eastAsia="微软雅黑"/>
                <w:bCs/>
                <w:color w:val="auto"/>
                <w:kern w:val="24"/>
                <w:sz w:val="21"/>
                <w:szCs w:val="21"/>
              </w:rPr>
            </w:pPr>
            <w:r>
              <w:rPr>
                <w:rFonts w:hint="eastAsia"/>
                <w:bCs/>
                <w:color w:val="auto"/>
                <w:kern w:val="24"/>
                <w:sz w:val="21"/>
                <w:szCs w:val="21"/>
              </w:rPr>
              <w:t>⑤危化品运输时需避开交警部门规定的禁行路线，按照交警部门规定的时间和线路行驶，同时车速需遵循交通法所规定的路况限速要求，避免发生交通事故。</w:t>
            </w:r>
          </w:p>
          <w:p w14:paraId="7702B9C7">
            <w:pPr>
              <w:spacing w:line="360" w:lineRule="auto"/>
              <w:rPr>
                <w:rFonts w:hint="eastAsia"/>
                <w:b/>
                <w:color w:val="auto"/>
              </w:rPr>
            </w:pPr>
            <w:r>
              <w:rPr>
                <w:rFonts w:hint="eastAsia"/>
                <w:b/>
                <w:color w:val="auto"/>
              </w:rPr>
              <w:t>（9）紧急疏散措施</w:t>
            </w:r>
          </w:p>
          <w:p w14:paraId="619A3E4B">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总平面布置符合生产流程要求，与生产紧密联系的相关公用工程、物料仓储系统等，根据生产流程的要求进行布置，相互联系较为方便，物料输送顺畅，管线短捷。</w:t>
            </w:r>
          </w:p>
          <w:p w14:paraId="4EB96AB7">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交通运输方便，本项目道路平面布置为环形布置，既利于消防、交通又方便，并设置两个门，其中一个设置在主干道，并分设一个客流出入口，一个物流出入口尽量减少人货交叉干扰；另设一安全门，可作为紧急疏散通道。</w:t>
            </w:r>
          </w:p>
          <w:p w14:paraId="6CA4EC10">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公司应在全厂最高点及较高建筑物上设置风向标（本项目风向标设置于厂区办公楼顶部），便于全厂职工在任何位置都能够看到当时风向情况。发生大气突发环境污染事故状态下，应根据风向标指示，向上风向集合，事故状态下人员疏散通道及紧急集合点设置见下图：</w:t>
            </w:r>
          </w:p>
          <w:p w14:paraId="6D763847">
            <w:pPr>
              <w:pStyle w:val="5"/>
              <w:numPr>
                <w:ilvl w:val="0"/>
                <w:numId w:val="0"/>
              </w:numPr>
              <w:spacing w:line="360" w:lineRule="auto"/>
              <w:ind w:leftChars="0"/>
              <w:rPr>
                <w:rFonts w:hint="eastAsia"/>
                <w:color w:val="auto"/>
                <w:lang w:val="en-US" w:eastAsia="zh-CN"/>
              </w:rPr>
            </w:pPr>
            <w:r>
              <w:rPr>
                <w:color w:val="auto"/>
              </w:rPr>
              <w:drawing>
                <wp:inline distT="0" distB="0" distL="114300" distR="114300">
                  <wp:extent cx="5612130" cy="3112770"/>
                  <wp:effectExtent l="0" t="0" r="11430" b="11430"/>
                  <wp:docPr id="1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7"/>
                          <pic:cNvPicPr>
                            <a:picLocks noChangeAspect="1"/>
                          </pic:cNvPicPr>
                        </pic:nvPicPr>
                        <pic:blipFill>
                          <a:blip r:embed="rId27"/>
                          <a:stretch>
                            <a:fillRect/>
                          </a:stretch>
                        </pic:blipFill>
                        <pic:spPr>
                          <a:xfrm>
                            <a:off x="0" y="0"/>
                            <a:ext cx="5612130" cy="3112770"/>
                          </a:xfrm>
                          <a:prstGeom prst="rect">
                            <a:avLst/>
                          </a:prstGeom>
                          <a:noFill/>
                          <a:ln>
                            <a:noFill/>
                          </a:ln>
                        </pic:spPr>
                      </pic:pic>
                    </a:graphicData>
                  </a:graphic>
                </wp:inline>
              </w:drawing>
            </w:r>
          </w:p>
          <w:p w14:paraId="4DCB3C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olor w:val="auto"/>
                <w:szCs w:val="21"/>
              </w:rPr>
            </w:pPr>
            <w:r>
              <w:rPr>
                <w:b/>
                <w:color w:val="auto"/>
                <w:szCs w:val="21"/>
              </w:rPr>
              <w:t>图</w:t>
            </w:r>
            <w:r>
              <w:rPr>
                <w:rFonts w:hint="eastAsia"/>
                <w:b/>
                <w:color w:val="auto"/>
                <w:szCs w:val="21"/>
              </w:rPr>
              <w:t xml:space="preserve">11 </w:t>
            </w:r>
            <w:r>
              <w:rPr>
                <w:rStyle w:val="142"/>
                <w:rFonts w:hint="default"/>
                <w:b/>
                <w:color w:val="auto"/>
                <w:sz w:val="21"/>
                <w:szCs w:val="21"/>
              </w:rPr>
              <w:t>应急疏散通道</w:t>
            </w:r>
            <w:r>
              <w:rPr>
                <w:rStyle w:val="142"/>
                <w:rFonts w:hint="eastAsia" w:eastAsia="宋体"/>
                <w:b/>
                <w:color w:val="auto"/>
                <w:sz w:val="21"/>
                <w:szCs w:val="21"/>
                <w:lang w:val="en-US" w:eastAsia="zh-CN"/>
              </w:rPr>
              <w:t>示意图</w:t>
            </w:r>
          </w:p>
          <w:p w14:paraId="14DF7A66">
            <w:pPr>
              <w:tabs>
                <w:tab w:val="left" w:pos="2295"/>
              </w:tabs>
              <w:spacing w:line="360" w:lineRule="auto"/>
              <w:ind w:firstLine="422" w:firstLineChars="200"/>
              <w:jc w:val="left"/>
              <w:rPr>
                <w:color w:val="auto"/>
                <w:szCs w:val="21"/>
              </w:rPr>
            </w:pPr>
            <w:r>
              <w:rPr>
                <w:rFonts w:hint="eastAsia"/>
                <w:b/>
                <w:color w:val="auto"/>
                <w:szCs w:val="21"/>
              </w:rPr>
              <w:t>3）、应急预案编制要求：</w:t>
            </w:r>
          </w:p>
          <w:p w14:paraId="76AEE735">
            <w:pPr>
              <w:adjustRightInd w:val="0"/>
              <w:snapToGrid w:val="0"/>
              <w:spacing w:line="360" w:lineRule="auto"/>
              <w:outlineLvl w:val="1"/>
              <w:rPr>
                <w:rFonts w:hint="eastAsia" w:ascii="宋体" w:hAnsi="宋体"/>
                <w:b/>
                <w:snapToGrid w:val="0"/>
                <w:color w:val="auto"/>
                <w:kern w:val="0"/>
                <w:szCs w:val="28"/>
              </w:rPr>
            </w:pPr>
            <w:r>
              <w:rPr>
                <w:rFonts w:hint="eastAsia"/>
                <w:color w:val="auto"/>
                <w:szCs w:val="21"/>
              </w:rPr>
              <w:t>根据《建设项目危险废物环境影响评价指南》企业应编写危险废物事故应急预案，按照《建设项目风险评价技术导则》（</w:t>
            </w:r>
            <w:r>
              <w:rPr>
                <w:color w:val="auto"/>
                <w:szCs w:val="21"/>
              </w:rPr>
              <w:t>HJ169-2018</w:t>
            </w:r>
            <w:r>
              <w:rPr>
                <w:rFonts w:hint="eastAsia"/>
                <w:color w:val="auto"/>
                <w:szCs w:val="21"/>
              </w:rPr>
              <w:t>）对于本项目可能造成环境风险的突发性事故制定应急预案。</w:t>
            </w:r>
            <w:r>
              <w:rPr>
                <w:rFonts w:hint="eastAsia"/>
                <w:color w:val="auto"/>
                <w:szCs w:val="21"/>
                <w:lang w:val="en-US" w:eastAsia="zh-CN"/>
              </w:rPr>
              <w:t>企业已按照要求编制了</w:t>
            </w:r>
            <w:r>
              <w:rPr>
                <w:rFonts w:hint="eastAsia"/>
                <w:color w:val="auto"/>
                <w:szCs w:val="21"/>
              </w:rPr>
              <w:t>突发环境事件应急预案</w:t>
            </w:r>
            <w:r>
              <w:rPr>
                <w:rFonts w:hint="eastAsia"/>
                <w:color w:val="auto"/>
                <w:szCs w:val="21"/>
                <w:lang w:eastAsia="zh-CN"/>
              </w:rPr>
              <w:t>。安徽廖氏玻璃有限公司突发环境应急预案于2023年11月23日在淮南市谢家集区生态环境分局</w:t>
            </w:r>
            <w:r>
              <w:rPr>
                <w:rFonts w:hint="eastAsia"/>
                <w:color w:val="auto"/>
                <w:szCs w:val="21"/>
                <w:lang w:val="en-US" w:eastAsia="zh-CN"/>
              </w:rPr>
              <w:t>进行</w:t>
            </w:r>
            <w:r>
              <w:rPr>
                <w:rFonts w:hint="eastAsia"/>
                <w:color w:val="auto"/>
                <w:szCs w:val="21"/>
                <w:lang w:eastAsia="zh-CN"/>
              </w:rPr>
              <w:t>备案，备案编号340404-2023-017-L。</w:t>
            </w:r>
            <w:r>
              <w:rPr>
                <w:rFonts w:hint="eastAsia" w:ascii="宋体" w:hAnsi="宋体"/>
                <w:b/>
                <w:color w:val="auto"/>
                <w:szCs w:val="21"/>
              </w:rPr>
              <w:t>10、</w:t>
            </w:r>
            <w:r>
              <w:rPr>
                <w:rFonts w:ascii="宋体" w:hAnsi="宋体"/>
                <w:b/>
                <w:snapToGrid w:val="0"/>
                <w:color w:val="auto"/>
                <w:kern w:val="0"/>
                <w:szCs w:val="28"/>
              </w:rPr>
              <w:t>评价结论与建议</w:t>
            </w:r>
          </w:p>
          <w:p w14:paraId="23C76F21">
            <w:pPr>
              <w:adjustRightInd w:val="0"/>
              <w:snapToGrid w:val="0"/>
              <w:spacing w:line="360" w:lineRule="auto"/>
              <w:ind w:firstLine="420" w:firstLineChars="200"/>
              <w:jc w:val="left"/>
              <w:rPr>
                <w:rFonts w:hint="eastAsia" w:hAnsi="宋体"/>
                <w:snapToGrid w:val="0"/>
                <w:color w:val="auto"/>
                <w:kern w:val="0"/>
                <w:szCs w:val="21"/>
              </w:rPr>
            </w:pPr>
            <w:r>
              <w:rPr>
                <w:rFonts w:hint="eastAsia" w:hAnsi="宋体"/>
                <w:snapToGrid w:val="0"/>
                <w:color w:val="auto"/>
                <w:kern w:val="0"/>
                <w:szCs w:val="21"/>
              </w:rPr>
              <w:t>本项目的事故类型主要是风险物质的泄漏、火灾或爆炸引起伴生次生污染物的排放，</w:t>
            </w:r>
            <w:r>
              <w:rPr>
                <w:rFonts w:hAnsi="宋体"/>
                <w:snapToGrid w:val="0"/>
                <w:color w:val="auto"/>
                <w:kern w:val="0"/>
                <w:szCs w:val="21"/>
              </w:rPr>
              <w:t>项目采用成熟可靠的生产工艺和设备，采取了建设事故池（</w:t>
            </w:r>
            <w:r>
              <w:rPr>
                <w:rFonts w:hint="eastAsia" w:hAnsi="宋体"/>
                <w:snapToGrid w:val="0"/>
                <w:color w:val="auto"/>
                <w:kern w:val="0"/>
                <w:szCs w:val="21"/>
                <w:lang w:val="en-US" w:eastAsia="zh-CN"/>
              </w:rPr>
              <w:t>3</w:t>
            </w:r>
            <w:r>
              <w:rPr>
                <w:rFonts w:hint="eastAsia" w:hAnsi="宋体"/>
                <w:snapToGrid w:val="0"/>
                <w:color w:val="auto"/>
                <w:kern w:val="0"/>
                <w:szCs w:val="21"/>
              </w:rPr>
              <w:t>00</w:t>
            </w:r>
            <w:r>
              <w:rPr>
                <w:rFonts w:hAnsi="宋体"/>
                <w:snapToGrid w:val="0"/>
                <w:color w:val="auto"/>
                <w:kern w:val="0"/>
                <w:szCs w:val="21"/>
              </w:rPr>
              <w:t>m</w:t>
            </w:r>
            <w:r>
              <w:rPr>
                <w:rFonts w:hAnsi="宋体"/>
                <w:snapToGrid w:val="0"/>
                <w:color w:val="auto"/>
                <w:kern w:val="0"/>
                <w:szCs w:val="21"/>
                <w:vertAlign w:val="superscript"/>
              </w:rPr>
              <w:t>3</w:t>
            </w:r>
            <w:r>
              <w:rPr>
                <w:rFonts w:hAnsi="宋体"/>
                <w:snapToGrid w:val="0"/>
                <w:color w:val="auto"/>
                <w:kern w:val="0"/>
                <w:szCs w:val="21"/>
              </w:rPr>
              <w:t>）、应急措施等环境风险防范措施，通过采取以上措施，项目建成后可以有效防止泄露、火灾及爆炸事故的发生，一旦发生事故，依靠厂区内的安全防护设施和事故应急措施能及时控制事故，防止事故的蔓延，综上，在建设单位严格落实各项防范措施和应急预案后，其环境风险可防可控，项目建设是可行的</w:t>
            </w:r>
            <w:r>
              <w:rPr>
                <w:rFonts w:hint="eastAsia" w:hAnsi="宋体"/>
                <w:snapToGrid w:val="0"/>
                <w:color w:val="auto"/>
                <w:kern w:val="0"/>
                <w:szCs w:val="21"/>
              </w:rPr>
              <w:t>。</w:t>
            </w:r>
          </w:p>
          <w:p w14:paraId="58914517">
            <w:pPr>
              <w:spacing w:line="360" w:lineRule="auto"/>
              <w:jc w:val="center"/>
              <w:rPr>
                <w:rFonts w:hint="eastAsia"/>
                <w:b/>
                <w:color w:val="auto"/>
              </w:rPr>
            </w:pPr>
            <w:r>
              <w:rPr>
                <w:b/>
                <w:snapToGrid w:val="0"/>
                <w:color w:val="auto"/>
              </w:rPr>
              <w:t>表</w:t>
            </w:r>
            <w:r>
              <w:rPr>
                <w:rFonts w:hint="eastAsia"/>
                <w:b/>
                <w:snapToGrid w:val="0"/>
                <w:color w:val="auto"/>
              </w:rPr>
              <w:t>7-</w:t>
            </w:r>
            <w:r>
              <w:rPr>
                <w:rFonts w:hint="eastAsia"/>
                <w:b/>
                <w:snapToGrid w:val="0"/>
                <w:color w:val="auto"/>
                <w:lang w:val="en-US" w:eastAsia="zh-CN"/>
              </w:rPr>
              <w:t>31</w:t>
            </w:r>
            <w:r>
              <w:rPr>
                <w:b/>
                <w:snapToGrid w:val="0"/>
                <w:color w:val="auto"/>
              </w:rPr>
              <w:t xml:space="preserve"> </w:t>
            </w:r>
            <w:r>
              <w:rPr>
                <w:rFonts w:hint="eastAsia"/>
                <w:b/>
                <w:snapToGrid w:val="0"/>
                <w:color w:val="auto"/>
              </w:rPr>
              <w:t xml:space="preserve">   </w:t>
            </w:r>
            <w:r>
              <w:rPr>
                <w:b/>
                <w:snapToGrid w:val="0"/>
                <w:color w:val="auto"/>
              </w:rPr>
              <w:t xml:space="preserve"> </w:t>
            </w:r>
            <w:r>
              <w:rPr>
                <w:rFonts w:hint="eastAsia"/>
                <w:b/>
                <w:snapToGrid w:val="0"/>
                <w:color w:val="auto"/>
              </w:rPr>
              <w:t>项目环境风险评价自查表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554"/>
              <w:gridCol w:w="686"/>
              <w:gridCol w:w="657"/>
              <w:gridCol w:w="241"/>
              <w:gridCol w:w="471"/>
              <w:gridCol w:w="404"/>
              <w:gridCol w:w="247"/>
              <w:gridCol w:w="58"/>
              <w:gridCol w:w="338"/>
              <w:gridCol w:w="364"/>
              <w:gridCol w:w="430"/>
              <w:gridCol w:w="38"/>
              <w:gridCol w:w="191"/>
              <w:gridCol w:w="282"/>
              <w:gridCol w:w="119"/>
              <w:gridCol w:w="290"/>
              <w:gridCol w:w="406"/>
              <w:gridCol w:w="454"/>
              <w:gridCol w:w="944"/>
            </w:tblGrid>
            <w:tr w14:paraId="3C9E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4E921382">
                  <w:pPr>
                    <w:spacing w:line="240" w:lineRule="atLeast"/>
                    <w:jc w:val="center"/>
                    <w:rPr>
                      <w:rFonts w:hint="eastAsia"/>
                      <w:color w:val="auto"/>
                      <w:sz w:val="18"/>
                      <w:szCs w:val="18"/>
                    </w:rPr>
                  </w:pPr>
                  <w:r>
                    <w:rPr>
                      <w:rFonts w:hint="eastAsia"/>
                      <w:color w:val="auto"/>
                      <w:sz w:val="18"/>
                      <w:szCs w:val="18"/>
                    </w:rPr>
                    <w:t>工作内容</w:t>
                  </w:r>
                </w:p>
              </w:tc>
              <w:tc>
                <w:tcPr>
                  <w:tcW w:w="6620" w:type="dxa"/>
                  <w:gridSpan w:val="18"/>
                  <w:noWrap w:val="0"/>
                  <w:vAlign w:val="center"/>
                </w:tcPr>
                <w:p w14:paraId="1CB9864B">
                  <w:pPr>
                    <w:spacing w:line="240" w:lineRule="atLeast"/>
                    <w:jc w:val="center"/>
                    <w:rPr>
                      <w:rFonts w:hint="eastAsia"/>
                      <w:color w:val="auto"/>
                      <w:sz w:val="18"/>
                      <w:szCs w:val="18"/>
                    </w:rPr>
                  </w:pPr>
                  <w:r>
                    <w:rPr>
                      <w:rFonts w:hint="eastAsia"/>
                      <w:color w:val="auto"/>
                      <w:sz w:val="18"/>
                      <w:szCs w:val="18"/>
                    </w:rPr>
                    <w:t>完成情况</w:t>
                  </w:r>
                </w:p>
              </w:tc>
            </w:tr>
            <w:tr w14:paraId="3D9D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noWrap w:val="0"/>
                  <w:vAlign w:val="center"/>
                </w:tcPr>
                <w:p w14:paraId="78355598">
                  <w:pPr>
                    <w:spacing w:line="240" w:lineRule="atLeast"/>
                    <w:jc w:val="center"/>
                    <w:rPr>
                      <w:rFonts w:hint="eastAsia"/>
                      <w:color w:val="auto"/>
                      <w:sz w:val="18"/>
                      <w:szCs w:val="18"/>
                    </w:rPr>
                  </w:pPr>
                  <w:r>
                    <w:rPr>
                      <w:rFonts w:hint="eastAsia"/>
                      <w:color w:val="auto"/>
                      <w:sz w:val="18"/>
                      <w:szCs w:val="18"/>
                    </w:rPr>
                    <w:t>风</w:t>
                  </w:r>
                </w:p>
                <w:p w14:paraId="7907F390">
                  <w:pPr>
                    <w:spacing w:line="240" w:lineRule="atLeast"/>
                    <w:jc w:val="center"/>
                    <w:rPr>
                      <w:rFonts w:hint="eastAsia"/>
                      <w:color w:val="auto"/>
                      <w:sz w:val="18"/>
                      <w:szCs w:val="18"/>
                    </w:rPr>
                  </w:pPr>
                  <w:r>
                    <w:rPr>
                      <w:rFonts w:hint="eastAsia"/>
                      <w:color w:val="auto"/>
                      <w:sz w:val="18"/>
                      <w:szCs w:val="18"/>
                    </w:rPr>
                    <w:t>险</w:t>
                  </w:r>
                </w:p>
                <w:p w14:paraId="6FABA70A">
                  <w:pPr>
                    <w:spacing w:line="240" w:lineRule="atLeast"/>
                    <w:jc w:val="center"/>
                    <w:rPr>
                      <w:rFonts w:hint="eastAsia"/>
                      <w:color w:val="auto"/>
                      <w:sz w:val="18"/>
                      <w:szCs w:val="18"/>
                    </w:rPr>
                  </w:pPr>
                  <w:r>
                    <w:rPr>
                      <w:rFonts w:hint="eastAsia"/>
                      <w:color w:val="auto"/>
                      <w:sz w:val="18"/>
                      <w:szCs w:val="18"/>
                    </w:rPr>
                    <w:t>调</w:t>
                  </w:r>
                </w:p>
                <w:p w14:paraId="3A3748D4">
                  <w:pPr>
                    <w:spacing w:line="240" w:lineRule="atLeast"/>
                    <w:jc w:val="center"/>
                    <w:rPr>
                      <w:rFonts w:hint="eastAsia"/>
                      <w:color w:val="auto"/>
                      <w:sz w:val="18"/>
                      <w:szCs w:val="18"/>
                    </w:rPr>
                  </w:pPr>
                  <w:r>
                    <w:rPr>
                      <w:rFonts w:hint="eastAsia"/>
                      <w:color w:val="auto"/>
                      <w:sz w:val="18"/>
                      <w:szCs w:val="18"/>
                    </w:rPr>
                    <w:t>查</w:t>
                  </w:r>
                </w:p>
              </w:tc>
              <w:tc>
                <w:tcPr>
                  <w:tcW w:w="1554" w:type="dxa"/>
                  <w:vMerge w:val="restart"/>
                  <w:noWrap w:val="0"/>
                  <w:vAlign w:val="center"/>
                </w:tcPr>
                <w:p w14:paraId="1696A7B2">
                  <w:pPr>
                    <w:spacing w:line="240" w:lineRule="atLeast"/>
                    <w:jc w:val="center"/>
                    <w:rPr>
                      <w:color w:val="auto"/>
                      <w:sz w:val="18"/>
                      <w:szCs w:val="18"/>
                    </w:rPr>
                  </w:pPr>
                  <w:r>
                    <w:rPr>
                      <w:rFonts w:hint="eastAsia"/>
                      <w:color w:val="auto"/>
                      <w:sz w:val="18"/>
                      <w:szCs w:val="18"/>
                    </w:rPr>
                    <w:t>危险物质</w:t>
                  </w:r>
                </w:p>
              </w:tc>
              <w:tc>
                <w:tcPr>
                  <w:tcW w:w="1343" w:type="dxa"/>
                  <w:gridSpan w:val="2"/>
                  <w:noWrap w:val="0"/>
                  <w:vAlign w:val="center"/>
                </w:tcPr>
                <w:p w14:paraId="5034C81C">
                  <w:pPr>
                    <w:spacing w:line="240" w:lineRule="atLeast"/>
                    <w:jc w:val="center"/>
                    <w:rPr>
                      <w:rFonts w:hint="eastAsia"/>
                      <w:color w:val="auto"/>
                      <w:sz w:val="18"/>
                      <w:szCs w:val="18"/>
                    </w:rPr>
                  </w:pPr>
                  <w:r>
                    <w:rPr>
                      <w:rFonts w:hint="eastAsia"/>
                      <w:color w:val="auto"/>
                      <w:sz w:val="18"/>
                      <w:szCs w:val="18"/>
                    </w:rPr>
                    <w:t>名称</w:t>
                  </w:r>
                </w:p>
              </w:tc>
              <w:tc>
                <w:tcPr>
                  <w:tcW w:w="1116" w:type="dxa"/>
                  <w:gridSpan w:val="3"/>
                  <w:noWrap w:val="0"/>
                  <w:vAlign w:val="center"/>
                </w:tcPr>
                <w:p w14:paraId="48082E90">
                  <w:pPr>
                    <w:spacing w:line="240" w:lineRule="atLeast"/>
                    <w:rPr>
                      <w:rFonts w:hint="eastAsia" w:eastAsia="宋体"/>
                      <w:color w:val="auto"/>
                      <w:sz w:val="18"/>
                      <w:szCs w:val="18"/>
                      <w:lang w:eastAsia="zh-CN"/>
                    </w:rPr>
                  </w:pPr>
                  <w:r>
                    <w:rPr>
                      <w:color w:val="auto"/>
                      <w:kern w:val="0"/>
                      <w:sz w:val="18"/>
                      <w:szCs w:val="18"/>
                    </w:rPr>
                    <w:t>三</w:t>
                  </w:r>
                  <w:r>
                    <w:rPr>
                      <w:rFonts w:hint="eastAsia"/>
                      <w:color w:val="auto"/>
                      <w:kern w:val="0"/>
                      <w:sz w:val="18"/>
                      <w:szCs w:val="18"/>
                      <w:lang w:val="en-US" w:eastAsia="zh-CN"/>
                    </w:rPr>
                    <w:t>甲烷</w:t>
                  </w:r>
                </w:p>
              </w:tc>
              <w:tc>
                <w:tcPr>
                  <w:tcW w:w="1437" w:type="dxa"/>
                  <w:gridSpan w:val="5"/>
                  <w:noWrap w:val="0"/>
                  <w:vAlign w:val="center"/>
                </w:tcPr>
                <w:p w14:paraId="7C4FA064">
                  <w:pPr>
                    <w:spacing w:line="240" w:lineRule="atLeast"/>
                    <w:jc w:val="center"/>
                    <w:rPr>
                      <w:rFonts w:hint="eastAsia" w:eastAsia="宋体"/>
                      <w:color w:val="auto"/>
                      <w:sz w:val="18"/>
                      <w:szCs w:val="18"/>
                      <w:lang w:eastAsia="zh-CN"/>
                    </w:rPr>
                  </w:pPr>
                  <w:r>
                    <w:rPr>
                      <w:rFonts w:hint="eastAsia"/>
                      <w:color w:val="auto"/>
                      <w:kern w:val="0"/>
                      <w:sz w:val="18"/>
                      <w:szCs w:val="18"/>
                      <w:lang w:val="en-US" w:eastAsia="zh-CN"/>
                    </w:rPr>
                    <w:t>丙烷</w:t>
                  </w:r>
                </w:p>
              </w:tc>
              <w:tc>
                <w:tcPr>
                  <w:tcW w:w="1780" w:type="dxa"/>
                  <w:gridSpan w:val="7"/>
                  <w:noWrap w:val="0"/>
                  <w:vAlign w:val="center"/>
                </w:tcPr>
                <w:p w14:paraId="15B34DC8">
                  <w:pPr>
                    <w:spacing w:line="240" w:lineRule="atLeast"/>
                    <w:jc w:val="center"/>
                    <w:rPr>
                      <w:rFonts w:hint="eastAsia" w:eastAsia="宋体"/>
                      <w:color w:val="auto"/>
                      <w:sz w:val="18"/>
                      <w:szCs w:val="18"/>
                      <w:lang w:eastAsia="zh-CN"/>
                    </w:rPr>
                  </w:pPr>
                  <w:r>
                    <w:rPr>
                      <w:rFonts w:hint="eastAsia"/>
                      <w:color w:val="auto"/>
                      <w:kern w:val="0"/>
                      <w:sz w:val="18"/>
                      <w:szCs w:val="18"/>
                      <w:lang w:val="en-US" w:eastAsia="zh-CN"/>
                    </w:rPr>
                    <w:t>柴油</w:t>
                  </w:r>
                </w:p>
              </w:tc>
              <w:tc>
                <w:tcPr>
                  <w:tcW w:w="944" w:type="dxa"/>
                  <w:noWrap w:val="0"/>
                  <w:vAlign w:val="center"/>
                </w:tcPr>
                <w:p w14:paraId="0C07192E">
                  <w:pPr>
                    <w:spacing w:line="240" w:lineRule="atLeast"/>
                    <w:jc w:val="center"/>
                    <w:rPr>
                      <w:rFonts w:hint="eastAsia" w:eastAsia="宋体"/>
                      <w:color w:val="auto"/>
                      <w:sz w:val="18"/>
                      <w:szCs w:val="18"/>
                      <w:lang w:eastAsia="zh-CN"/>
                    </w:rPr>
                  </w:pPr>
                  <w:r>
                    <w:rPr>
                      <w:rFonts w:hint="eastAsia"/>
                      <w:color w:val="auto"/>
                      <w:sz w:val="18"/>
                      <w:szCs w:val="18"/>
                      <w:lang w:val="en-US" w:eastAsia="zh-CN"/>
                    </w:rPr>
                    <w:t>机油</w:t>
                  </w:r>
                </w:p>
              </w:tc>
            </w:tr>
            <w:tr w14:paraId="4D14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60" w:type="dxa"/>
                  <w:vMerge w:val="continue"/>
                  <w:noWrap w:val="0"/>
                  <w:vAlign w:val="center"/>
                </w:tcPr>
                <w:p w14:paraId="21C71252">
                  <w:pPr>
                    <w:spacing w:line="240" w:lineRule="atLeast"/>
                    <w:jc w:val="center"/>
                    <w:rPr>
                      <w:rFonts w:hint="eastAsia"/>
                      <w:color w:val="auto"/>
                      <w:sz w:val="18"/>
                      <w:szCs w:val="18"/>
                    </w:rPr>
                  </w:pPr>
                </w:p>
              </w:tc>
              <w:tc>
                <w:tcPr>
                  <w:tcW w:w="1554" w:type="dxa"/>
                  <w:vMerge w:val="continue"/>
                  <w:noWrap w:val="0"/>
                  <w:vAlign w:val="center"/>
                </w:tcPr>
                <w:p w14:paraId="3005D9E7">
                  <w:pPr>
                    <w:spacing w:line="240" w:lineRule="atLeast"/>
                    <w:jc w:val="center"/>
                    <w:rPr>
                      <w:rFonts w:hint="eastAsia"/>
                      <w:color w:val="auto"/>
                      <w:sz w:val="18"/>
                      <w:szCs w:val="18"/>
                    </w:rPr>
                  </w:pPr>
                </w:p>
              </w:tc>
              <w:tc>
                <w:tcPr>
                  <w:tcW w:w="1343" w:type="dxa"/>
                  <w:gridSpan w:val="2"/>
                  <w:noWrap w:val="0"/>
                  <w:vAlign w:val="center"/>
                </w:tcPr>
                <w:p w14:paraId="01E55F9E">
                  <w:pPr>
                    <w:spacing w:line="240" w:lineRule="atLeast"/>
                    <w:jc w:val="center"/>
                    <w:rPr>
                      <w:rFonts w:hint="eastAsia"/>
                      <w:color w:val="auto"/>
                      <w:sz w:val="18"/>
                      <w:szCs w:val="18"/>
                    </w:rPr>
                  </w:pPr>
                  <w:r>
                    <w:rPr>
                      <w:rFonts w:hint="eastAsia"/>
                      <w:color w:val="auto"/>
                      <w:sz w:val="18"/>
                      <w:szCs w:val="18"/>
                    </w:rPr>
                    <w:t>存在总量/t</w:t>
                  </w:r>
                </w:p>
              </w:tc>
              <w:tc>
                <w:tcPr>
                  <w:tcW w:w="1116" w:type="dxa"/>
                  <w:gridSpan w:val="3"/>
                  <w:noWrap w:val="0"/>
                  <w:vAlign w:val="center"/>
                </w:tcPr>
                <w:p w14:paraId="44A042A0">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23.0133</w:t>
                  </w:r>
                </w:p>
              </w:tc>
              <w:tc>
                <w:tcPr>
                  <w:tcW w:w="1437" w:type="dxa"/>
                  <w:gridSpan w:val="5"/>
                  <w:noWrap w:val="0"/>
                  <w:vAlign w:val="center"/>
                </w:tcPr>
                <w:p w14:paraId="1D1E0F6B">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1.</w:t>
                  </w:r>
                  <w:r>
                    <w:rPr>
                      <w:color w:val="auto"/>
                      <w:sz w:val="18"/>
                      <w:szCs w:val="18"/>
                    </w:rPr>
                    <w:t>5</w:t>
                  </w:r>
                  <w:r>
                    <w:rPr>
                      <w:rFonts w:hint="eastAsia"/>
                      <w:color w:val="auto"/>
                      <w:sz w:val="18"/>
                      <w:szCs w:val="18"/>
                      <w:lang w:val="en-US" w:eastAsia="zh-CN"/>
                    </w:rPr>
                    <w:t>05</w:t>
                  </w:r>
                </w:p>
              </w:tc>
              <w:tc>
                <w:tcPr>
                  <w:tcW w:w="1780" w:type="dxa"/>
                  <w:gridSpan w:val="7"/>
                  <w:noWrap w:val="0"/>
                  <w:vAlign w:val="center"/>
                </w:tcPr>
                <w:p w14:paraId="50478326">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0.36</w:t>
                  </w:r>
                </w:p>
              </w:tc>
              <w:tc>
                <w:tcPr>
                  <w:tcW w:w="944" w:type="dxa"/>
                  <w:noWrap w:val="0"/>
                  <w:vAlign w:val="center"/>
                </w:tcPr>
                <w:p w14:paraId="48981758">
                  <w:pPr>
                    <w:spacing w:line="240" w:lineRule="atLeast"/>
                    <w:jc w:val="center"/>
                    <w:rPr>
                      <w:rFonts w:hint="eastAsia" w:eastAsia="宋体"/>
                      <w:color w:val="auto"/>
                      <w:sz w:val="18"/>
                      <w:szCs w:val="18"/>
                      <w:lang w:eastAsia="zh-CN"/>
                    </w:rPr>
                  </w:pPr>
                  <w:r>
                    <w:rPr>
                      <w:rFonts w:hint="eastAsia"/>
                      <w:color w:val="auto"/>
                      <w:sz w:val="18"/>
                      <w:szCs w:val="18"/>
                      <w:lang w:val="en-US" w:eastAsia="zh-CN"/>
                    </w:rPr>
                    <w:t>1</w:t>
                  </w:r>
                </w:p>
              </w:tc>
            </w:tr>
            <w:tr w14:paraId="4694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484DDBE2">
                  <w:pPr>
                    <w:spacing w:line="240" w:lineRule="atLeast"/>
                    <w:jc w:val="center"/>
                    <w:rPr>
                      <w:rFonts w:hint="eastAsia"/>
                      <w:color w:val="auto"/>
                      <w:sz w:val="18"/>
                      <w:szCs w:val="18"/>
                    </w:rPr>
                  </w:pPr>
                </w:p>
              </w:tc>
              <w:tc>
                <w:tcPr>
                  <w:tcW w:w="1554" w:type="dxa"/>
                  <w:vMerge w:val="restart"/>
                  <w:noWrap w:val="0"/>
                  <w:vAlign w:val="center"/>
                </w:tcPr>
                <w:p w14:paraId="608E1C45">
                  <w:pPr>
                    <w:spacing w:line="240" w:lineRule="atLeast"/>
                    <w:jc w:val="center"/>
                    <w:rPr>
                      <w:rFonts w:hint="eastAsia"/>
                      <w:color w:val="auto"/>
                      <w:sz w:val="18"/>
                      <w:szCs w:val="18"/>
                    </w:rPr>
                  </w:pPr>
                  <w:r>
                    <w:rPr>
                      <w:rFonts w:hint="eastAsia"/>
                      <w:color w:val="auto"/>
                      <w:sz w:val="18"/>
                      <w:szCs w:val="18"/>
                    </w:rPr>
                    <w:t>环境敏感性</w:t>
                  </w:r>
                </w:p>
              </w:tc>
              <w:tc>
                <w:tcPr>
                  <w:tcW w:w="1343" w:type="dxa"/>
                  <w:gridSpan w:val="2"/>
                  <w:vMerge w:val="restart"/>
                  <w:noWrap w:val="0"/>
                  <w:vAlign w:val="center"/>
                </w:tcPr>
                <w:p w14:paraId="36843E95">
                  <w:pPr>
                    <w:spacing w:line="240" w:lineRule="atLeast"/>
                    <w:jc w:val="center"/>
                    <w:rPr>
                      <w:rFonts w:hint="eastAsia"/>
                      <w:color w:val="auto"/>
                      <w:sz w:val="18"/>
                      <w:szCs w:val="18"/>
                    </w:rPr>
                  </w:pPr>
                  <w:r>
                    <w:rPr>
                      <w:rFonts w:hint="eastAsia"/>
                      <w:color w:val="auto"/>
                      <w:sz w:val="18"/>
                      <w:szCs w:val="18"/>
                    </w:rPr>
                    <w:t>大气</w:t>
                  </w:r>
                </w:p>
              </w:tc>
              <w:tc>
                <w:tcPr>
                  <w:tcW w:w="3473" w:type="dxa"/>
                  <w:gridSpan w:val="13"/>
                  <w:noWrap w:val="0"/>
                  <w:vAlign w:val="center"/>
                </w:tcPr>
                <w:p w14:paraId="762D4907">
                  <w:pPr>
                    <w:spacing w:line="240" w:lineRule="atLeast"/>
                    <w:jc w:val="center"/>
                    <w:rPr>
                      <w:rFonts w:hint="eastAsia"/>
                      <w:color w:val="auto"/>
                      <w:sz w:val="18"/>
                      <w:szCs w:val="18"/>
                    </w:rPr>
                  </w:pPr>
                  <w:r>
                    <w:rPr>
                      <w:rFonts w:hint="eastAsia"/>
                      <w:color w:val="auto"/>
                      <w:sz w:val="18"/>
                      <w:szCs w:val="18"/>
                    </w:rPr>
                    <w:t>500m范围内人口数</w:t>
                  </w:r>
                </w:p>
                <w:p w14:paraId="2EAF89F2">
                  <w:pPr>
                    <w:spacing w:line="240" w:lineRule="atLeast"/>
                    <w:jc w:val="center"/>
                    <w:rPr>
                      <w:color w:val="auto"/>
                      <w:sz w:val="18"/>
                      <w:szCs w:val="18"/>
                    </w:rPr>
                  </w:pPr>
                  <w:r>
                    <w:rPr>
                      <w:rFonts w:hint="eastAsia"/>
                      <w:color w:val="auto"/>
                      <w:sz w:val="18"/>
                      <w:szCs w:val="18"/>
                      <w:u w:val="single"/>
                    </w:rPr>
                    <w:t xml:space="preserve"> 约</w:t>
                  </w:r>
                  <w:r>
                    <w:rPr>
                      <w:rFonts w:hint="eastAsia"/>
                      <w:color w:val="auto"/>
                      <w:sz w:val="18"/>
                      <w:szCs w:val="18"/>
                      <w:u w:val="single"/>
                      <w:lang w:val="en-US" w:eastAsia="zh-CN"/>
                    </w:rPr>
                    <w:t>805</w:t>
                  </w:r>
                  <w:r>
                    <w:rPr>
                      <w:rFonts w:hint="eastAsia"/>
                      <w:color w:val="auto"/>
                      <w:sz w:val="18"/>
                      <w:szCs w:val="18"/>
                    </w:rPr>
                    <w:t>人</w:t>
                  </w:r>
                </w:p>
              </w:tc>
              <w:tc>
                <w:tcPr>
                  <w:tcW w:w="1804" w:type="dxa"/>
                  <w:gridSpan w:val="3"/>
                  <w:noWrap w:val="0"/>
                  <w:vAlign w:val="center"/>
                </w:tcPr>
                <w:p w14:paraId="33F863C3">
                  <w:pPr>
                    <w:spacing w:line="240" w:lineRule="atLeast"/>
                    <w:jc w:val="center"/>
                    <w:rPr>
                      <w:rFonts w:hint="eastAsia"/>
                      <w:color w:val="auto"/>
                      <w:sz w:val="18"/>
                      <w:szCs w:val="18"/>
                    </w:rPr>
                  </w:pPr>
                  <w:r>
                    <w:rPr>
                      <w:rFonts w:hint="eastAsia"/>
                      <w:color w:val="auto"/>
                      <w:sz w:val="18"/>
                      <w:szCs w:val="18"/>
                    </w:rPr>
                    <w:t>5km范围内人口数</w:t>
                  </w:r>
                </w:p>
                <w:p w14:paraId="11B883E4">
                  <w:pPr>
                    <w:spacing w:line="240" w:lineRule="atLeast"/>
                    <w:jc w:val="center"/>
                    <w:rPr>
                      <w:color w:val="auto"/>
                      <w:sz w:val="18"/>
                      <w:szCs w:val="18"/>
                    </w:rPr>
                  </w:pPr>
                  <w:r>
                    <w:rPr>
                      <w:rFonts w:hint="eastAsia"/>
                      <w:color w:val="auto"/>
                      <w:sz w:val="18"/>
                      <w:szCs w:val="18"/>
                      <w:u w:val="single"/>
                      <w:lang w:val="en-US" w:eastAsia="zh-CN"/>
                    </w:rPr>
                    <w:t>37106</w:t>
                  </w:r>
                  <w:r>
                    <w:rPr>
                      <w:rFonts w:hint="eastAsia"/>
                      <w:color w:val="auto"/>
                      <w:sz w:val="18"/>
                      <w:szCs w:val="18"/>
                      <w:u w:val="single"/>
                    </w:rPr>
                    <w:t xml:space="preserve">    </w:t>
                  </w:r>
                  <w:r>
                    <w:rPr>
                      <w:rFonts w:hint="eastAsia"/>
                      <w:color w:val="auto"/>
                      <w:sz w:val="18"/>
                      <w:szCs w:val="18"/>
                    </w:rPr>
                    <w:t>人</w:t>
                  </w:r>
                </w:p>
              </w:tc>
            </w:tr>
            <w:tr w14:paraId="0965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4493D849">
                  <w:pPr>
                    <w:spacing w:line="240" w:lineRule="atLeast"/>
                    <w:jc w:val="center"/>
                    <w:rPr>
                      <w:color w:val="auto"/>
                      <w:sz w:val="18"/>
                      <w:szCs w:val="18"/>
                    </w:rPr>
                  </w:pPr>
                </w:p>
              </w:tc>
              <w:tc>
                <w:tcPr>
                  <w:tcW w:w="1554" w:type="dxa"/>
                  <w:vMerge w:val="continue"/>
                  <w:noWrap w:val="0"/>
                  <w:vAlign w:val="center"/>
                </w:tcPr>
                <w:p w14:paraId="52D48926">
                  <w:pPr>
                    <w:spacing w:line="240" w:lineRule="atLeast"/>
                    <w:jc w:val="center"/>
                    <w:rPr>
                      <w:color w:val="auto"/>
                      <w:sz w:val="18"/>
                      <w:szCs w:val="18"/>
                    </w:rPr>
                  </w:pPr>
                </w:p>
              </w:tc>
              <w:tc>
                <w:tcPr>
                  <w:tcW w:w="1343" w:type="dxa"/>
                  <w:gridSpan w:val="2"/>
                  <w:vMerge w:val="continue"/>
                  <w:noWrap w:val="0"/>
                  <w:vAlign w:val="center"/>
                </w:tcPr>
                <w:p w14:paraId="2229FD6E">
                  <w:pPr>
                    <w:spacing w:line="240" w:lineRule="atLeast"/>
                    <w:jc w:val="center"/>
                    <w:rPr>
                      <w:color w:val="auto"/>
                      <w:sz w:val="18"/>
                      <w:szCs w:val="18"/>
                    </w:rPr>
                  </w:pPr>
                </w:p>
              </w:tc>
              <w:tc>
                <w:tcPr>
                  <w:tcW w:w="4333" w:type="dxa"/>
                  <w:gridSpan w:val="15"/>
                  <w:noWrap w:val="0"/>
                  <w:vAlign w:val="center"/>
                </w:tcPr>
                <w:p w14:paraId="2B584B6B">
                  <w:pPr>
                    <w:spacing w:line="240" w:lineRule="atLeast"/>
                    <w:jc w:val="center"/>
                    <w:rPr>
                      <w:color w:val="auto"/>
                      <w:sz w:val="18"/>
                      <w:szCs w:val="18"/>
                    </w:rPr>
                  </w:pPr>
                  <w:r>
                    <w:rPr>
                      <w:rFonts w:hint="eastAsia"/>
                      <w:color w:val="auto"/>
                      <w:sz w:val="18"/>
                      <w:szCs w:val="18"/>
                    </w:rPr>
                    <w:t>每公里管段周边200m范围内人口数（最大）</w:t>
                  </w:r>
                </w:p>
              </w:tc>
              <w:tc>
                <w:tcPr>
                  <w:tcW w:w="944" w:type="dxa"/>
                  <w:noWrap w:val="0"/>
                  <w:vAlign w:val="center"/>
                </w:tcPr>
                <w:p w14:paraId="103AF3C8">
                  <w:pPr>
                    <w:spacing w:line="240" w:lineRule="atLeast"/>
                    <w:jc w:val="center"/>
                    <w:rPr>
                      <w:rFonts w:hint="eastAsia"/>
                      <w:color w:val="auto"/>
                      <w:sz w:val="18"/>
                      <w:szCs w:val="18"/>
                    </w:rPr>
                  </w:pPr>
                  <w:r>
                    <w:rPr>
                      <w:rFonts w:hint="eastAsia"/>
                      <w:color w:val="auto"/>
                      <w:sz w:val="18"/>
                      <w:szCs w:val="18"/>
                      <w:u w:val="single"/>
                    </w:rPr>
                    <w:t xml:space="preserve">  /   </w:t>
                  </w:r>
                  <w:r>
                    <w:rPr>
                      <w:rFonts w:hint="eastAsia"/>
                      <w:color w:val="auto"/>
                      <w:sz w:val="18"/>
                      <w:szCs w:val="18"/>
                    </w:rPr>
                    <w:t>人</w:t>
                  </w:r>
                </w:p>
              </w:tc>
            </w:tr>
            <w:tr w14:paraId="7A06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1884306E">
                  <w:pPr>
                    <w:spacing w:line="240" w:lineRule="atLeast"/>
                    <w:jc w:val="center"/>
                    <w:rPr>
                      <w:rFonts w:hint="eastAsia"/>
                      <w:color w:val="auto"/>
                      <w:sz w:val="18"/>
                      <w:szCs w:val="18"/>
                    </w:rPr>
                  </w:pPr>
                </w:p>
              </w:tc>
              <w:tc>
                <w:tcPr>
                  <w:tcW w:w="1554" w:type="dxa"/>
                  <w:vMerge w:val="continue"/>
                  <w:noWrap w:val="0"/>
                  <w:vAlign w:val="center"/>
                </w:tcPr>
                <w:p w14:paraId="50ABF015">
                  <w:pPr>
                    <w:spacing w:line="240" w:lineRule="atLeast"/>
                    <w:jc w:val="center"/>
                    <w:rPr>
                      <w:rFonts w:hint="eastAsia"/>
                      <w:color w:val="auto"/>
                      <w:sz w:val="18"/>
                      <w:szCs w:val="18"/>
                    </w:rPr>
                  </w:pPr>
                </w:p>
              </w:tc>
              <w:tc>
                <w:tcPr>
                  <w:tcW w:w="1343" w:type="dxa"/>
                  <w:gridSpan w:val="2"/>
                  <w:vMerge w:val="restart"/>
                  <w:noWrap w:val="0"/>
                  <w:vAlign w:val="center"/>
                </w:tcPr>
                <w:p w14:paraId="039E1B27">
                  <w:pPr>
                    <w:spacing w:line="240" w:lineRule="atLeast"/>
                    <w:jc w:val="center"/>
                    <w:rPr>
                      <w:rFonts w:hint="eastAsia"/>
                      <w:color w:val="auto"/>
                      <w:sz w:val="18"/>
                      <w:szCs w:val="18"/>
                    </w:rPr>
                  </w:pPr>
                  <w:r>
                    <w:rPr>
                      <w:rFonts w:hint="eastAsia"/>
                      <w:color w:val="auto"/>
                      <w:sz w:val="18"/>
                      <w:szCs w:val="18"/>
                    </w:rPr>
                    <w:t>地表水</w:t>
                  </w:r>
                </w:p>
              </w:tc>
              <w:tc>
                <w:tcPr>
                  <w:tcW w:w="2123" w:type="dxa"/>
                  <w:gridSpan w:val="7"/>
                  <w:noWrap w:val="0"/>
                  <w:vAlign w:val="center"/>
                </w:tcPr>
                <w:p w14:paraId="5C88C5B4">
                  <w:pPr>
                    <w:spacing w:line="240" w:lineRule="atLeast"/>
                    <w:jc w:val="center"/>
                    <w:rPr>
                      <w:rFonts w:hint="eastAsia"/>
                      <w:color w:val="auto"/>
                      <w:sz w:val="18"/>
                      <w:szCs w:val="18"/>
                    </w:rPr>
                  </w:pPr>
                  <w:r>
                    <w:rPr>
                      <w:rFonts w:hint="eastAsia"/>
                      <w:color w:val="auto"/>
                      <w:sz w:val="18"/>
                      <w:szCs w:val="18"/>
                    </w:rPr>
                    <w:t>地表水功能敏感性</w:t>
                  </w:r>
                </w:p>
              </w:tc>
              <w:tc>
                <w:tcPr>
                  <w:tcW w:w="941" w:type="dxa"/>
                  <w:gridSpan w:val="4"/>
                  <w:noWrap w:val="0"/>
                  <w:vAlign w:val="center"/>
                </w:tcPr>
                <w:p w14:paraId="7E155F9A">
                  <w:pPr>
                    <w:spacing w:line="240" w:lineRule="atLeast"/>
                    <w:jc w:val="center"/>
                    <w:rPr>
                      <w:color w:val="auto"/>
                      <w:sz w:val="18"/>
                      <w:szCs w:val="18"/>
                    </w:rPr>
                  </w:pPr>
                  <w:r>
                    <w:rPr>
                      <w:rFonts w:hint="eastAsia"/>
                      <w:color w:val="auto"/>
                      <w:sz w:val="18"/>
                      <w:szCs w:val="18"/>
                    </w:rPr>
                    <w:t>F1</w:t>
                  </w:r>
                  <w:r>
                    <w:rPr>
                      <w:color w:val="auto"/>
                      <w:sz w:val="18"/>
                      <w:szCs w:val="18"/>
                    </w:rPr>
                    <w:sym w:font="Wingdings 2" w:char="00A3"/>
                  </w:r>
                </w:p>
              </w:tc>
              <w:tc>
                <w:tcPr>
                  <w:tcW w:w="1269" w:type="dxa"/>
                  <w:gridSpan w:val="4"/>
                  <w:noWrap w:val="0"/>
                  <w:vAlign w:val="center"/>
                </w:tcPr>
                <w:p w14:paraId="58CC5E5A">
                  <w:pPr>
                    <w:spacing w:line="240" w:lineRule="atLeast"/>
                    <w:jc w:val="center"/>
                    <w:rPr>
                      <w:color w:val="auto"/>
                      <w:sz w:val="18"/>
                      <w:szCs w:val="18"/>
                    </w:rPr>
                  </w:pPr>
                  <w:r>
                    <w:rPr>
                      <w:rFonts w:hint="eastAsia"/>
                      <w:color w:val="auto"/>
                      <w:sz w:val="18"/>
                      <w:szCs w:val="18"/>
                    </w:rPr>
                    <w:t>F2</w:t>
                  </w:r>
                  <w:r>
                    <w:rPr>
                      <w:color w:val="auto"/>
                      <w:sz w:val="18"/>
                      <w:szCs w:val="18"/>
                    </w:rPr>
                    <w:sym w:font="Wingdings 2" w:char="0052"/>
                  </w:r>
                </w:p>
              </w:tc>
              <w:tc>
                <w:tcPr>
                  <w:tcW w:w="944" w:type="dxa"/>
                  <w:noWrap w:val="0"/>
                  <w:vAlign w:val="center"/>
                </w:tcPr>
                <w:p w14:paraId="104EF341">
                  <w:pPr>
                    <w:spacing w:line="240" w:lineRule="atLeast"/>
                    <w:jc w:val="center"/>
                    <w:rPr>
                      <w:color w:val="auto"/>
                      <w:sz w:val="18"/>
                      <w:szCs w:val="18"/>
                    </w:rPr>
                  </w:pPr>
                  <w:r>
                    <w:rPr>
                      <w:rFonts w:hint="eastAsia"/>
                      <w:color w:val="auto"/>
                      <w:sz w:val="18"/>
                      <w:szCs w:val="18"/>
                    </w:rPr>
                    <w:t>F3</w:t>
                  </w:r>
                  <w:r>
                    <w:rPr>
                      <w:color w:val="auto"/>
                      <w:sz w:val="18"/>
                      <w:szCs w:val="18"/>
                    </w:rPr>
                    <w:sym w:font="Wingdings 2" w:char="00A3"/>
                  </w:r>
                </w:p>
              </w:tc>
            </w:tr>
            <w:tr w14:paraId="1F64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7B5B436D">
                  <w:pPr>
                    <w:spacing w:line="240" w:lineRule="atLeast"/>
                    <w:jc w:val="center"/>
                    <w:rPr>
                      <w:color w:val="auto"/>
                      <w:sz w:val="18"/>
                      <w:szCs w:val="18"/>
                    </w:rPr>
                  </w:pPr>
                </w:p>
              </w:tc>
              <w:tc>
                <w:tcPr>
                  <w:tcW w:w="1554" w:type="dxa"/>
                  <w:vMerge w:val="continue"/>
                  <w:noWrap w:val="0"/>
                  <w:vAlign w:val="center"/>
                </w:tcPr>
                <w:p w14:paraId="56515C63">
                  <w:pPr>
                    <w:spacing w:line="240" w:lineRule="atLeast"/>
                    <w:jc w:val="center"/>
                    <w:rPr>
                      <w:color w:val="auto"/>
                      <w:sz w:val="18"/>
                      <w:szCs w:val="18"/>
                    </w:rPr>
                  </w:pPr>
                </w:p>
              </w:tc>
              <w:tc>
                <w:tcPr>
                  <w:tcW w:w="1343" w:type="dxa"/>
                  <w:gridSpan w:val="2"/>
                  <w:vMerge w:val="continue"/>
                  <w:noWrap w:val="0"/>
                  <w:vAlign w:val="center"/>
                </w:tcPr>
                <w:p w14:paraId="1D5AB326">
                  <w:pPr>
                    <w:spacing w:line="240" w:lineRule="atLeast"/>
                    <w:jc w:val="center"/>
                    <w:rPr>
                      <w:color w:val="auto"/>
                      <w:sz w:val="18"/>
                      <w:szCs w:val="18"/>
                    </w:rPr>
                  </w:pPr>
                </w:p>
              </w:tc>
              <w:tc>
                <w:tcPr>
                  <w:tcW w:w="2123" w:type="dxa"/>
                  <w:gridSpan w:val="7"/>
                  <w:noWrap w:val="0"/>
                  <w:vAlign w:val="center"/>
                </w:tcPr>
                <w:p w14:paraId="69919A64">
                  <w:pPr>
                    <w:spacing w:line="240" w:lineRule="atLeast"/>
                    <w:jc w:val="center"/>
                    <w:rPr>
                      <w:rFonts w:hint="eastAsia"/>
                      <w:color w:val="auto"/>
                      <w:sz w:val="18"/>
                      <w:szCs w:val="18"/>
                    </w:rPr>
                  </w:pPr>
                  <w:r>
                    <w:rPr>
                      <w:rFonts w:hint="eastAsia"/>
                      <w:color w:val="auto"/>
                      <w:sz w:val="18"/>
                      <w:szCs w:val="18"/>
                    </w:rPr>
                    <w:t>环境敏感目标分级</w:t>
                  </w:r>
                </w:p>
              </w:tc>
              <w:tc>
                <w:tcPr>
                  <w:tcW w:w="941" w:type="dxa"/>
                  <w:gridSpan w:val="4"/>
                  <w:noWrap w:val="0"/>
                  <w:vAlign w:val="center"/>
                </w:tcPr>
                <w:p w14:paraId="15A458F8">
                  <w:pPr>
                    <w:spacing w:line="240" w:lineRule="atLeast"/>
                    <w:jc w:val="center"/>
                    <w:rPr>
                      <w:color w:val="auto"/>
                      <w:sz w:val="18"/>
                      <w:szCs w:val="18"/>
                    </w:rPr>
                  </w:pPr>
                  <w:r>
                    <w:rPr>
                      <w:rFonts w:hint="eastAsia"/>
                      <w:color w:val="auto"/>
                      <w:sz w:val="18"/>
                      <w:szCs w:val="18"/>
                    </w:rPr>
                    <w:t>S1</w:t>
                  </w:r>
                  <w:r>
                    <w:rPr>
                      <w:color w:val="auto"/>
                      <w:sz w:val="18"/>
                      <w:szCs w:val="18"/>
                    </w:rPr>
                    <w:sym w:font="Wingdings 2" w:char="00A3"/>
                  </w:r>
                </w:p>
              </w:tc>
              <w:tc>
                <w:tcPr>
                  <w:tcW w:w="1269" w:type="dxa"/>
                  <w:gridSpan w:val="4"/>
                  <w:noWrap w:val="0"/>
                  <w:vAlign w:val="center"/>
                </w:tcPr>
                <w:p w14:paraId="57797B99">
                  <w:pPr>
                    <w:spacing w:line="240" w:lineRule="atLeast"/>
                    <w:jc w:val="center"/>
                    <w:rPr>
                      <w:color w:val="auto"/>
                      <w:sz w:val="18"/>
                      <w:szCs w:val="18"/>
                    </w:rPr>
                  </w:pPr>
                  <w:r>
                    <w:rPr>
                      <w:rFonts w:hint="eastAsia"/>
                      <w:color w:val="auto"/>
                      <w:sz w:val="18"/>
                      <w:szCs w:val="18"/>
                    </w:rPr>
                    <w:t>S2</w:t>
                  </w:r>
                  <w:r>
                    <w:rPr>
                      <w:color w:val="auto"/>
                      <w:sz w:val="18"/>
                      <w:szCs w:val="18"/>
                    </w:rPr>
                    <w:sym w:font="Wingdings 2" w:char="00A3"/>
                  </w:r>
                </w:p>
              </w:tc>
              <w:tc>
                <w:tcPr>
                  <w:tcW w:w="944" w:type="dxa"/>
                  <w:noWrap w:val="0"/>
                  <w:vAlign w:val="center"/>
                </w:tcPr>
                <w:p w14:paraId="4D98CAFA">
                  <w:pPr>
                    <w:spacing w:line="240" w:lineRule="atLeast"/>
                    <w:jc w:val="center"/>
                    <w:rPr>
                      <w:color w:val="auto"/>
                      <w:sz w:val="18"/>
                      <w:szCs w:val="18"/>
                    </w:rPr>
                  </w:pPr>
                  <w:r>
                    <w:rPr>
                      <w:rFonts w:hint="eastAsia"/>
                      <w:color w:val="auto"/>
                      <w:sz w:val="18"/>
                      <w:szCs w:val="18"/>
                    </w:rPr>
                    <w:t>S3</w:t>
                  </w:r>
                  <w:r>
                    <w:rPr>
                      <w:color w:val="auto"/>
                      <w:sz w:val="18"/>
                      <w:szCs w:val="18"/>
                    </w:rPr>
                    <w:sym w:font="Wingdings 2" w:char="0052"/>
                  </w:r>
                </w:p>
              </w:tc>
            </w:tr>
            <w:tr w14:paraId="6C04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5AAE3114">
                  <w:pPr>
                    <w:spacing w:line="240" w:lineRule="atLeast"/>
                    <w:jc w:val="center"/>
                    <w:rPr>
                      <w:rFonts w:hint="eastAsia"/>
                      <w:color w:val="auto"/>
                      <w:sz w:val="18"/>
                      <w:szCs w:val="18"/>
                    </w:rPr>
                  </w:pPr>
                </w:p>
              </w:tc>
              <w:tc>
                <w:tcPr>
                  <w:tcW w:w="1554" w:type="dxa"/>
                  <w:vMerge w:val="continue"/>
                  <w:noWrap w:val="0"/>
                  <w:vAlign w:val="center"/>
                </w:tcPr>
                <w:p w14:paraId="1AEEF611">
                  <w:pPr>
                    <w:spacing w:line="240" w:lineRule="atLeast"/>
                    <w:jc w:val="center"/>
                    <w:rPr>
                      <w:rFonts w:hint="eastAsia"/>
                      <w:color w:val="auto"/>
                      <w:sz w:val="18"/>
                      <w:szCs w:val="18"/>
                    </w:rPr>
                  </w:pPr>
                </w:p>
              </w:tc>
              <w:tc>
                <w:tcPr>
                  <w:tcW w:w="1343" w:type="dxa"/>
                  <w:gridSpan w:val="2"/>
                  <w:vMerge w:val="restart"/>
                  <w:noWrap w:val="0"/>
                  <w:vAlign w:val="center"/>
                </w:tcPr>
                <w:p w14:paraId="19B99B83">
                  <w:pPr>
                    <w:spacing w:line="240" w:lineRule="atLeast"/>
                    <w:jc w:val="center"/>
                    <w:rPr>
                      <w:rFonts w:hint="eastAsia"/>
                      <w:color w:val="auto"/>
                      <w:sz w:val="18"/>
                      <w:szCs w:val="18"/>
                    </w:rPr>
                  </w:pPr>
                  <w:r>
                    <w:rPr>
                      <w:rFonts w:hint="eastAsia"/>
                      <w:color w:val="auto"/>
                      <w:sz w:val="18"/>
                      <w:szCs w:val="18"/>
                    </w:rPr>
                    <w:t>地下水</w:t>
                  </w:r>
                </w:p>
              </w:tc>
              <w:tc>
                <w:tcPr>
                  <w:tcW w:w="2123" w:type="dxa"/>
                  <w:gridSpan w:val="7"/>
                  <w:noWrap w:val="0"/>
                  <w:vAlign w:val="center"/>
                </w:tcPr>
                <w:p w14:paraId="27252F3F">
                  <w:pPr>
                    <w:spacing w:line="240" w:lineRule="atLeast"/>
                    <w:jc w:val="center"/>
                    <w:rPr>
                      <w:color w:val="auto"/>
                      <w:sz w:val="18"/>
                      <w:szCs w:val="18"/>
                    </w:rPr>
                  </w:pPr>
                  <w:r>
                    <w:rPr>
                      <w:rFonts w:hint="eastAsia"/>
                      <w:color w:val="auto"/>
                      <w:sz w:val="18"/>
                      <w:szCs w:val="18"/>
                    </w:rPr>
                    <w:t>地下水功能敏感性</w:t>
                  </w:r>
                </w:p>
              </w:tc>
              <w:tc>
                <w:tcPr>
                  <w:tcW w:w="941" w:type="dxa"/>
                  <w:gridSpan w:val="4"/>
                  <w:noWrap w:val="0"/>
                  <w:vAlign w:val="center"/>
                </w:tcPr>
                <w:p w14:paraId="7EB26661">
                  <w:pPr>
                    <w:spacing w:line="240" w:lineRule="atLeast"/>
                    <w:jc w:val="center"/>
                    <w:rPr>
                      <w:color w:val="auto"/>
                      <w:sz w:val="18"/>
                      <w:szCs w:val="18"/>
                    </w:rPr>
                  </w:pPr>
                  <w:r>
                    <w:rPr>
                      <w:rFonts w:hint="eastAsia"/>
                      <w:color w:val="auto"/>
                      <w:sz w:val="18"/>
                      <w:szCs w:val="18"/>
                    </w:rPr>
                    <w:t>G1</w:t>
                  </w:r>
                  <w:r>
                    <w:rPr>
                      <w:color w:val="auto"/>
                      <w:sz w:val="18"/>
                      <w:szCs w:val="18"/>
                    </w:rPr>
                    <w:sym w:font="Wingdings 2" w:char="00A3"/>
                  </w:r>
                </w:p>
              </w:tc>
              <w:tc>
                <w:tcPr>
                  <w:tcW w:w="1269" w:type="dxa"/>
                  <w:gridSpan w:val="4"/>
                  <w:noWrap w:val="0"/>
                  <w:vAlign w:val="center"/>
                </w:tcPr>
                <w:p w14:paraId="5C82734F">
                  <w:pPr>
                    <w:spacing w:line="240" w:lineRule="atLeast"/>
                    <w:jc w:val="center"/>
                    <w:rPr>
                      <w:color w:val="auto"/>
                      <w:sz w:val="18"/>
                      <w:szCs w:val="18"/>
                    </w:rPr>
                  </w:pPr>
                  <w:r>
                    <w:rPr>
                      <w:rFonts w:hint="eastAsia"/>
                      <w:color w:val="auto"/>
                      <w:sz w:val="18"/>
                      <w:szCs w:val="18"/>
                    </w:rPr>
                    <w:t>G2</w:t>
                  </w:r>
                  <w:r>
                    <w:rPr>
                      <w:color w:val="auto"/>
                      <w:sz w:val="18"/>
                      <w:szCs w:val="18"/>
                    </w:rPr>
                    <w:sym w:font="Wingdings 2" w:char="00A3"/>
                  </w:r>
                </w:p>
              </w:tc>
              <w:tc>
                <w:tcPr>
                  <w:tcW w:w="944" w:type="dxa"/>
                  <w:noWrap w:val="0"/>
                  <w:vAlign w:val="center"/>
                </w:tcPr>
                <w:p w14:paraId="493A0E4E">
                  <w:pPr>
                    <w:spacing w:line="240" w:lineRule="atLeast"/>
                    <w:jc w:val="center"/>
                    <w:rPr>
                      <w:color w:val="auto"/>
                      <w:sz w:val="18"/>
                      <w:szCs w:val="18"/>
                    </w:rPr>
                  </w:pPr>
                  <w:r>
                    <w:rPr>
                      <w:rFonts w:hint="eastAsia"/>
                      <w:color w:val="auto"/>
                      <w:sz w:val="18"/>
                      <w:szCs w:val="18"/>
                    </w:rPr>
                    <w:t>G3</w:t>
                  </w:r>
                  <w:r>
                    <w:rPr>
                      <w:color w:val="auto"/>
                      <w:sz w:val="18"/>
                      <w:szCs w:val="18"/>
                    </w:rPr>
                    <w:sym w:font="Wingdings 2" w:char="0052"/>
                  </w:r>
                </w:p>
              </w:tc>
            </w:tr>
            <w:tr w14:paraId="009D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59AEA5DD">
                  <w:pPr>
                    <w:spacing w:line="240" w:lineRule="atLeast"/>
                    <w:jc w:val="center"/>
                    <w:rPr>
                      <w:rFonts w:hint="eastAsia"/>
                      <w:color w:val="auto"/>
                      <w:sz w:val="18"/>
                      <w:szCs w:val="18"/>
                    </w:rPr>
                  </w:pPr>
                </w:p>
              </w:tc>
              <w:tc>
                <w:tcPr>
                  <w:tcW w:w="1554" w:type="dxa"/>
                  <w:vMerge w:val="continue"/>
                  <w:noWrap w:val="0"/>
                  <w:vAlign w:val="center"/>
                </w:tcPr>
                <w:p w14:paraId="08BF3BE6">
                  <w:pPr>
                    <w:spacing w:line="240" w:lineRule="atLeast"/>
                    <w:jc w:val="center"/>
                    <w:rPr>
                      <w:color w:val="auto"/>
                      <w:sz w:val="18"/>
                      <w:szCs w:val="18"/>
                    </w:rPr>
                  </w:pPr>
                </w:p>
              </w:tc>
              <w:tc>
                <w:tcPr>
                  <w:tcW w:w="1343" w:type="dxa"/>
                  <w:gridSpan w:val="2"/>
                  <w:vMerge w:val="continue"/>
                  <w:noWrap w:val="0"/>
                  <w:vAlign w:val="center"/>
                </w:tcPr>
                <w:p w14:paraId="56A36E95">
                  <w:pPr>
                    <w:spacing w:line="240" w:lineRule="atLeast"/>
                    <w:jc w:val="center"/>
                    <w:rPr>
                      <w:color w:val="auto"/>
                      <w:sz w:val="18"/>
                      <w:szCs w:val="18"/>
                    </w:rPr>
                  </w:pPr>
                </w:p>
              </w:tc>
              <w:tc>
                <w:tcPr>
                  <w:tcW w:w="2123" w:type="dxa"/>
                  <w:gridSpan w:val="7"/>
                  <w:noWrap w:val="0"/>
                  <w:vAlign w:val="center"/>
                </w:tcPr>
                <w:p w14:paraId="3F483201">
                  <w:pPr>
                    <w:spacing w:line="240" w:lineRule="atLeast"/>
                    <w:jc w:val="center"/>
                    <w:rPr>
                      <w:rFonts w:hint="eastAsia"/>
                      <w:color w:val="auto"/>
                      <w:sz w:val="18"/>
                      <w:szCs w:val="18"/>
                    </w:rPr>
                  </w:pPr>
                  <w:r>
                    <w:rPr>
                      <w:rFonts w:hint="eastAsia"/>
                      <w:color w:val="auto"/>
                      <w:sz w:val="18"/>
                      <w:szCs w:val="18"/>
                    </w:rPr>
                    <w:t>包气带防污性能</w:t>
                  </w:r>
                </w:p>
              </w:tc>
              <w:tc>
                <w:tcPr>
                  <w:tcW w:w="941" w:type="dxa"/>
                  <w:gridSpan w:val="4"/>
                  <w:noWrap w:val="0"/>
                  <w:vAlign w:val="center"/>
                </w:tcPr>
                <w:p w14:paraId="56D99A0C">
                  <w:pPr>
                    <w:spacing w:line="240" w:lineRule="atLeast"/>
                    <w:jc w:val="center"/>
                    <w:rPr>
                      <w:color w:val="auto"/>
                      <w:sz w:val="18"/>
                      <w:szCs w:val="18"/>
                    </w:rPr>
                  </w:pPr>
                  <w:r>
                    <w:rPr>
                      <w:rFonts w:hint="eastAsia"/>
                      <w:color w:val="auto"/>
                      <w:sz w:val="18"/>
                      <w:szCs w:val="18"/>
                    </w:rPr>
                    <w:t>D1</w:t>
                  </w:r>
                  <w:r>
                    <w:rPr>
                      <w:color w:val="auto"/>
                      <w:sz w:val="18"/>
                      <w:szCs w:val="18"/>
                    </w:rPr>
                    <w:sym w:font="Wingdings 2" w:char="00A3"/>
                  </w:r>
                </w:p>
              </w:tc>
              <w:tc>
                <w:tcPr>
                  <w:tcW w:w="1269" w:type="dxa"/>
                  <w:gridSpan w:val="4"/>
                  <w:noWrap w:val="0"/>
                  <w:vAlign w:val="center"/>
                </w:tcPr>
                <w:p w14:paraId="3DBD4484">
                  <w:pPr>
                    <w:spacing w:line="240" w:lineRule="atLeast"/>
                    <w:jc w:val="center"/>
                    <w:rPr>
                      <w:color w:val="auto"/>
                      <w:sz w:val="18"/>
                      <w:szCs w:val="18"/>
                    </w:rPr>
                  </w:pPr>
                  <w:r>
                    <w:rPr>
                      <w:rFonts w:hint="eastAsia"/>
                      <w:color w:val="auto"/>
                      <w:sz w:val="18"/>
                      <w:szCs w:val="18"/>
                    </w:rPr>
                    <w:t>D2</w:t>
                  </w:r>
                  <w:r>
                    <w:rPr>
                      <w:color w:val="auto"/>
                      <w:sz w:val="18"/>
                      <w:szCs w:val="18"/>
                    </w:rPr>
                    <w:sym w:font="Wingdings 2" w:char="00A3"/>
                  </w:r>
                </w:p>
              </w:tc>
              <w:tc>
                <w:tcPr>
                  <w:tcW w:w="944" w:type="dxa"/>
                  <w:noWrap w:val="0"/>
                  <w:vAlign w:val="center"/>
                </w:tcPr>
                <w:p w14:paraId="1965187D">
                  <w:pPr>
                    <w:spacing w:line="240" w:lineRule="atLeast"/>
                    <w:jc w:val="center"/>
                    <w:rPr>
                      <w:color w:val="auto"/>
                      <w:sz w:val="18"/>
                      <w:szCs w:val="18"/>
                    </w:rPr>
                  </w:pPr>
                  <w:r>
                    <w:rPr>
                      <w:rFonts w:hint="eastAsia"/>
                      <w:color w:val="auto"/>
                      <w:sz w:val="18"/>
                      <w:szCs w:val="18"/>
                    </w:rPr>
                    <w:t>D3</w:t>
                  </w:r>
                  <w:r>
                    <w:rPr>
                      <w:color w:val="auto"/>
                      <w:sz w:val="18"/>
                      <w:szCs w:val="18"/>
                    </w:rPr>
                    <w:sym w:font="Wingdings 2" w:char="0052"/>
                  </w:r>
                </w:p>
              </w:tc>
            </w:tr>
            <w:tr w14:paraId="5EB3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restart"/>
                  <w:noWrap w:val="0"/>
                  <w:vAlign w:val="center"/>
                </w:tcPr>
                <w:p w14:paraId="1B8450BF">
                  <w:pPr>
                    <w:spacing w:line="240" w:lineRule="atLeast"/>
                    <w:jc w:val="center"/>
                    <w:rPr>
                      <w:rFonts w:hint="eastAsia"/>
                      <w:color w:val="auto"/>
                      <w:sz w:val="18"/>
                      <w:szCs w:val="18"/>
                    </w:rPr>
                  </w:pPr>
                  <w:r>
                    <w:rPr>
                      <w:rFonts w:hint="eastAsia"/>
                      <w:color w:val="auto"/>
                      <w:sz w:val="18"/>
                      <w:szCs w:val="18"/>
                    </w:rPr>
                    <w:t>物质及工艺系统危险性</w:t>
                  </w:r>
                </w:p>
              </w:tc>
              <w:tc>
                <w:tcPr>
                  <w:tcW w:w="1343" w:type="dxa"/>
                  <w:gridSpan w:val="2"/>
                  <w:noWrap w:val="0"/>
                  <w:vAlign w:val="center"/>
                </w:tcPr>
                <w:p w14:paraId="7460A8B2">
                  <w:pPr>
                    <w:spacing w:line="240" w:lineRule="atLeast"/>
                    <w:jc w:val="center"/>
                    <w:rPr>
                      <w:color w:val="auto"/>
                      <w:sz w:val="18"/>
                      <w:szCs w:val="18"/>
                    </w:rPr>
                  </w:pPr>
                  <w:r>
                    <w:rPr>
                      <w:rFonts w:hint="eastAsia"/>
                      <w:color w:val="auto"/>
                      <w:sz w:val="18"/>
                      <w:szCs w:val="18"/>
                    </w:rPr>
                    <w:t>Q值</w:t>
                  </w:r>
                </w:p>
              </w:tc>
              <w:tc>
                <w:tcPr>
                  <w:tcW w:w="1363" w:type="dxa"/>
                  <w:gridSpan w:val="4"/>
                  <w:noWrap w:val="0"/>
                  <w:vAlign w:val="center"/>
                </w:tcPr>
                <w:p w14:paraId="0AE91C9E">
                  <w:pPr>
                    <w:spacing w:line="240" w:lineRule="atLeast"/>
                    <w:jc w:val="center"/>
                    <w:rPr>
                      <w:color w:val="auto"/>
                      <w:sz w:val="18"/>
                      <w:szCs w:val="18"/>
                    </w:rPr>
                  </w:pPr>
                  <w:r>
                    <w:rPr>
                      <w:rFonts w:hint="eastAsia"/>
                      <w:color w:val="auto"/>
                      <w:sz w:val="18"/>
                      <w:szCs w:val="18"/>
                    </w:rPr>
                    <w:t>Q</w:t>
                  </w:r>
                  <w:r>
                    <w:rPr>
                      <w:color w:val="auto"/>
                      <w:sz w:val="18"/>
                      <w:szCs w:val="18"/>
                    </w:rPr>
                    <w:t>&lt;</w:t>
                  </w:r>
                  <w:r>
                    <w:rPr>
                      <w:rFonts w:hint="eastAsia"/>
                      <w:color w:val="auto"/>
                      <w:sz w:val="18"/>
                      <w:szCs w:val="18"/>
                    </w:rPr>
                    <w:t>1</w:t>
                  </w:r>
                  <w:r>
                    <w:rPr>
                      <w:color w:val="auto"/>
                      <w:sz w:val="18"/>
                      <w:szCs w:val="18"/>
                    </w:rPr>
                    <w:sym w:font="Wingdings 2" w:char="00A3"/>
                  </w:r>
                </w:p>
              </w:tc>
              <w:tc>
                <w:tcPr>
                  <w:tcW w:w="1190" w:type="dxa"/>
                  <w:gridSpan w:val="4"/>
                  <w:noWrap w:val="0"/>
                  <w:vAlign w:val="center"/>
                </w:tcPr>
                <w:p w14:paraId="08F9EA83">
                  <w:pPr>
                    <w:spacing w:line="240" w:lineRule="atLeast"/>
                    <w:jc w:val="center"/>
                    <w:rPr>
                      <w:color w:val="auto"/>
                      <w:sz w:val="18"/>
                      <w:szCs w:val="18"/>
                    </w:rPr>
                  </w:pPr>
                  <w:r>
                    <w:rPr>
                      <w:rFonts w:hint="eastAsia" w:cs="Arial"/>
                      <w:color w:val="auto"/>
                      <w:sz w:val="18"/>
                      <w:szCs w:val="18"/>
                    </w:rPr>
                    <w:t>1</w:t>
                  </w:r>
                  <w:r>
                    <w:rPr>
                      <w:rFonts w:cs="Arial"/>
                      <w:color w:val="auto"/>
                      <w:sz w:val="18"/>
                      <w:szCs w:val="18"/>
                    </w:rPr>
                    <w:t>≤</w:t>
                  </w:r>
                  <w:r>
                    <w:rPr>
                      <w:rFonts w:hint="eastAsia"/>
                      <w:color w:val="auto"/>
                      <w:sz w:val="18"/>
                      <w:szCs w:val="18"/>
                    </w:rPr>
                    <w:t>Q</w:t>
                  </w:r>
                  <w:r>
                    <w:rPr>
                      <w:color w:val="auto"/>
                      <w:sz w:val="18"/>
                      <w:szCs w:val="18"/>
                    </w:rPr>
                    <w:t>&lt;</w:t>
                  </w:r>
                  <w:r>
                    <w:rPr>
                      <w:rFonts w:hint="eastAsia"/>
                      <w:color w:val="auto"/>
                      <w:sz w:val="18"/>
                      <w:szCs w:val="18"/>
                    </w:rPr>
                    <w:t>10</w:t>
                  </w:r>
                  <w:r>
                    <w:rPr>
                      <w:color w:val="auto"/>
                      <w:sz w:val="18"/>
                      <w:szCs w:val="18"/>
                    </w:rPr>
                    <w:sym w:font="Wingdings 2" w:char="0052"/>
                  </w:r>
                </w:p>
              </w:tc>
              <w:tc>
                <w:tcPr>
                  <w:tcW w:w="1780" w:type="dxa"/>
                  <w:gridSpan w:val="7"/>
                  <w:noWrap w:val="0"/>
                  <w:vAlign w:val="center"/>
                </w:tcPr>
                <w:p w14:paraId="239BCE06">
                  <w:pPr>
                    <w:spacing w:line="240" w:lineRule="atLeast"/>
                    <w:jc w:val="center"/>
                    <w:rPr>
                      <w:color w:val="auto"/>
                      <w:sz w:val="18"/>
                      <w:szCs w:val="18"/>
                    </w:rPr>
                  </w:pPr>
                  <w:r>
                    <w:rPr>
                      <w:rFonts w:hint="eastAsia" w:cs="Arial"/>
                      <w:color w:val="auto"/>
                      <w:sz w:val="18"/>
                      <w:szCs w:val="18"/>
                    </w:rPr>
                    <w:t>10</w:t>
                  </w:r>
                  <w:r>
                    <w:rPr>
                      <w:rFonts w:cs="Arial"/>
                      <w:color w:val="auto"/>
                      <w:sz w:val="18"/>
                      <w:szCs w:val="18"/>
                    </w:rPr>
                    <w:t>≤</w:t>
                  </w:r>
                  <w:r>
                    <w:rPr>
                      <w:rFonts w:hint="eastAsia"/>
                      <w:color w:val="auto"/>
                      <w:sz w:val="18"/>
                      <w:szCs w:val="18"/>
                    </w:rPr>
                    <w:t>Q</w:t>
                  </w:r>
                  <w:r>
                    <w:rPr>
                      <w:color w:val="auto"/>
                      <w:sz w:val="18"/>
                      <w:szCs w:val="18"/>
                    </w:rPr>
                    <w:t>&lt;</w:t>
                  </w:r>
                  <w:r>
                    <w:rPr>
                      <w:rFonts w:hint="eastAsia"/>
                      <w:color w:val="auto"/>
                      <w:sz w:val="18"/>
                      <w:szCs w:val="18"/>
                    </w:rPr>
                    <w:t>100</w:t>
                  </w:r>
                  <w:r>
                    <w:rPr>
                      <w:color w:val="auto"/>
                      <w:sz w:val="18"/>
                      <w:szCs w:val="18"/>
                    </w:rPr>
                    <w:sym w:font="Wingdings 2" w:char="00A3"/>
                  </w:r>
                </w:p>
              </w:tc>
              <w:tc>
                <w:tcPr>
                  <w:tcW w:w="944" w:type="dxa"/>
                  <w:noWrap w:val="0"/>
                  <w:vAlign w:val="center"/>
                </w:tcPr>
                <w:p w14:paraId="7DE9FD5B">
                  <w:pPr>
                    <w:spacing w:line="240" w:lineRule="atLeast"/>
                    <w:jc w:val="center"/>
                    <w:rPr>
                      <w:color w:val="auto"/>
                      <w:sz w:val="18"/>
                      <w:szCs w:val="18"/>
                    </w:rPr>
                  </w:pPr>
                  <w:r>
                    <w:rPr>
                      <w:rFonts w:hint="eastAsia"/>
                      <w:color w:val="auto"/>
                      <w:sz w:val="18"/>
                      <w:szCs w:val="18"/>
                    </w:rPr>
                    <w:t>Q</w:t>
                  </w:r>
                  <w:r>
                    <w:rPr>
                      <w:rFonts w:hint="eastAsia" w:cs="宋体"/>
                      <w:color w:val="auto"/>
                      <w:sz w:val="18"/>
                      <w:szCs w:val="18"/>
                    </w:rPr>
                    <w:t>&gt;</w:t>
                  </w:r>
                  <w:r>
                    <w:rPr>
                      <w:rFonts w:hint="eastAsia"/>
                      <w:color w:val="auto"/>
                      <w:sz w:val="18"/>
                      <w:szCs w:val="18"/>
                    </w:rPr>
                    <w:t>100</w:t>
                  </w:r>
                  <w:r>
                    <w:rPr>
                      <w:color w:val="auto"/>
                      <w:sz w:val="18"/>
                      <w:szCs w:val="18"/>
                    </w:rPr>
                    <w:sym w:font="Wingdings 2" w:char="00A3"/>
                  </w:r>
                </w:p>
              </w:tc>
            </w:tr>
            <w:tr w14:paraId="4540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continue"/>
                  <w:noWrap w:val="0"/>
                  <w:vAlign w:val="center"/>
                </w:tcPr>
                <w:p w14:paraId="7C229DCD">
                  <w:pPr>
                    <w:spacing w:line="240" w:lineRule="atLeast"/>
                    <w:jc w:val="center"/>
                    <w:rPr>
                      <w:rFonts w:hint="eastAsia"/>
                      <w:color w:val="auto"/>
                      <w:sz w:val="18"/>
                      <w:szCs w:val="18"/>
                    </w:rPr>
                  </w:pPr>
                </w:p>
              </w:tc>
              <w:tc>
                <w:tcPr>
                  <w:tcW w:w="1343" w:type="dxa"/>
                  <w:gridSpan w:val="2"/>
                  <w:noWrap w:val="0"/>
                  <w:vAlign w:val="center"/>
                </w:tcPr>
                <w:p w14:paraId="4A12ED95">
                  <w:pPr>
                    <w:spacing w:line="240" w:lineRule="atLeast"/>
                    <w:jc w:val="center"/>
                    <w:rPr>
                      <w:color w:val="auto"/>
                      <w:sz w:val="18"/>
                      <w:szCs w:val="18"/>
                    </w:rPr>
                  </w:pPr>
                  <w:r>
                    <w:rPr>
                      <w:rFonts w:hint="eastAsia"/>
                      <w:color w:val="auto"/>
                      <w:sz w:val="18"/>
                      <w:szCs w:val="18"/>
                    </w:rPr>
                    <w:t>M值</w:t>
                  </w:r>
                </w:p>
              </w:tc>
              <w:tc>
                <w:tcPr>
                  <w:tcW w:w="1363" w:type="dxa"/>
                  <w:gridSpan w:val="4"/>
                  <w:noWrap w:val="0"/>
                  <w:vAlign w:val="center"/>
                </w:tcPr>
                <w:p w14:paraId="3312C9BD">
                  <w:pPr>
                    <w:spacing w:line="240" w:lineRule="atLeast"/>
                    <w:jc w:val="center"/>
                    <w:rPr>
                      <w:color w:val="auto"/>
                      <w:sz w:val="18"/>
                      <w:szCs w:val="18"/>
                    </w:rPr>
                  </w:pPr>
                  <w:r>
                    <w:rPr>
                      <w:rFonts w:hint="eastAsia"/>
                      <w:color w:val="auto"/>
                      <w:sz w:val="18"/>
                      <w:szCs w:val="18"/>
                    </w:rPr>
                    <w:t>M1</w:t>
                  </w:r>
                  <w:r>
                    <w:rPr>
                      <w:color w:val="auto"/>
                      <w:sz w:val="18"/>
                      <w:szCs w:val="18"/>
                    </w:rPr>
                    <w:sym w:font="Wingdings 2" w:char="00A3"/>
                  </w:r>
                </w:p>
              </w:tc>
              <w:tc>
                <w:tcPr>
                  <w:tcW w:w="1190" w:type="dxa"/>
                  <w:gridSpan w:val="4"/>
                  <w:noWrap w:val="0"/>
                  <w:vAlign w:val="center"/>
                </w:tcPr>
                <w:p w14:paraId="03C2EA37">
                  <w:pPr>
                    <w:spacing w:line="240" w:lineRule="atLeast"/>
                    <w:jc w:val="center"/>
                    <w:rPr>
                      <w:color w:val="auto"/>
                      <w:sz w:val="18"/>
                      <w:szCs w:val="18"/>
                    </w:rPr>
                  </w:pPr>
                  <w:r>
                    <w:rPr>
                      <w:rFonts w:hint="eastAsia"/>
                      <w:color w:val="auto"/>
                      <w:sz w:val="18"/>
                      <w:szCs w:val="18"/>
                    </w:rPr>
                    <w:t>M2</w:t>
                  </w:r>
                  <w:r>
                    <w:rPr>
                      <w:color w:val="auto"/>
                      <w:sz w:val="18"/>
                      <w:szCs w:val="18"/>
                    </w:rPr>
                    <w:sym w:font="Wingdings 2" w:char="0052"/>
                  </w:r>
                </w:p>
              </w:tc>
              <w:tc>
                <w:tcPr>
                  <w:tcW w:w="1780" w:type="dxa"/>
                  <w:gridSpan w:val="7"/>
                  <w:noWrap w:val="0"/>
                  <w:vAlign w:val="center"/>
                </w:tcPr>
                <w:p w14:paraId="47375B04">
                  <w:pPr>
                    <w:spacing w:line="240" w:lineRule="atLeast"/>
                    <w:jc w:val="center"/>
                    <w:rPr>
                      <w:color w:val="auto"/>
                      <w:sz w:val="18"/>
                      <w:szCs w:val="18"/>
                    </w:rPr>
                  </w:pPr>
                  <w:r>
                    <w:rPr>
                      <w:rFonts w:hint="eastAsia"/>
                      <w:color w:val="auto"/>
                      <w:sz w:val="18"/>
                      <w:szCs w:val="18"/>
                    </w:rPr>
                    <w:t>M3</w:t>
                  </w:r>
                  <w:r>
                    <w:rPr>
                      <w:color w:val="auto"/>
                      <w:sz w:val="18"/>
                      <w:szCs w:val="18"/>
                    </w:rPr>
                    <w:sym w:font="Wingdings 2" w:char="00A3"/>
                  </w:r>
                </w:p>
              </w:tc>
              <w:tc>
                <w:tcPr>
                  <w:tcW w:w="944" w:type="dxa"/>
                  <w:noWrap w:val="0"/>
                  <w:vAlign w:val="center"/>
                </w:tcPr>
                <w:p w14:paraId="7F622111">
                  <w:pPr>
                    <w:spacing w:line="240" w:lineRule="atLeast"/>
                    <w:jc w:val="center"/>
                    <w:rPr>
                      <w:color w:val="auto"/>
                      <w:sz w:val="18"/>
                      <w:szCs w:val="18"/>
                    </w:rPr>
                  </w:pPr>
                  <w:r>
                    <w:rPr>
                      <w:rFonts w:hint="eastAsia"/>
                      <w:color w:val="auto"/>
                      <w:sz w:val="18"/>
                      <w:szCs w:val="18"/>
                    </w:rPr>
                    <w:t>M4</w:t>
                  </w:r>
                  <w:r>
                    <w:rPr>
                      <w:color w:val="auto"/>
                      <w:sz w:val="18"/>
                      <w:szCs w:val="18"/>
                    </w:rPr>
                    <w:sym w:font="Wingdings 2" w:char="00A3"/>
                  </w:r>
                </w:p>
              </w:tc>
            </w:tr>
            <w:tr w14:paraId="03E0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continue"/>
                  <w:noWrap w:val="0"/>
                  <w:vAlign w:val="center"/>
                </w:tcPr>
                <w:p w14:paraId="050E3F33">
                  <w:pPr>
                    <w:spacing w:line="240" w:lineRule="atLeast"/>
                    <w:jc w:val="center"/>
                    <w:rPr>
                      <w:rFonts w:hint="eastAsia"/>
                      <w:color w:val="auto"/>
                      <w:sz w:val="18"/>
                      <w:szCs w:val="18"/>
                    </w:rPr>
                  </w:pPr>
                </w:p>
              </w:tc>
              <w:tc>
                <w:tcPr>
                  <w:tcW w:w="1343" w:type="dxa"/>
                  <w:gridSpan w:val="2"/>
                  <w:noWrap w:val="0"/>
                  <w:vAlign w:val="center"/>
                </w:tcPr>
                <w:p w14:paraId="666AD737">
                  <w:pPr>
                    <w:spacing w:line="240" w:lineRule="atLeast"/>
                    <w:jc w:val="center"/>
                    <w:rPr>
                      <w:color w:val="auto"/>
                      <w:sz w:val="18"/>
                      <w:szCs w:val="18"/>
                    </w:rPr>
                  </w:pPr>
                  <w:r>
                    <w:rPr>
                      <w:rFonts w:hint="eastAsia"/>
                      <w:color w:val="auto"/>
                      <w:sz w:val="18"/>
                      <w:szCs w:val="18"/>
                    </w:rPr>
                    <w:t>P值</w:t>
                  </w:r>
                </w:p>
              </w:tc>
              <w:tc>
                <w:tcPr>
                  <w:tcW w:w="1363" w:type="dxa"/>
                  <w:gridSpan w:val="4"/>
                  <w:noWrap w:val="0"/>
                  <w:vAlign w:val="center"/>
                </w:tcPr>
                <w:p w14:paraId="4B3AC2EE">
                  <w:pPr>
                    <w:spacing w:line="240" w:lineRule="atLeast"/>
                    <w:jc w:val="center"/>
                    <w:rPr>
                      <w:color w:val="auto"/>
                      <w:sz w:val="18"/>
                      <w:szCs w:val="18"/>
                    </w:rPr>
                  </w:pPr>
                  <w:r>
                    <w:rPr>
                      <w:rFonts w:hint="eastAsia"/>
                      <w:color w:val="auto"/>
                      <w:sz w:val="18"/>
                      <w:szCs w:val="18"/>
                    </w:rPr>
                    <w:t>P1</w:t>
                  </w:r>
                  <w:r>
                    <w:rPr>
                      <w:color w:val="auto"/>
                      <w:sz w:val="18"/>
                      <w:szCs w:val="18"/>
                    </w:rPr>
                    <w:sym w:font="Wingdings 2" w:char="00A3"/>
                  </w:r>
                </w:p>
              </w:tc>
              <w:tc>
                <w:tcPr>
                  <w:tcW w:w="1190" w:type="dxa"/>
                  <w:gridSpan w:val="4"/>
                  <w:noWrap w:val="0"/>
                  <w:vAlign w:val="center"/>
                </w:tcPr>
                <w:p w14:paraId="1CD6FDFA">
                  <w:pPr>
                    <w:spacing w:line="240" w:lineRule="atLeast"/>
                    <w:jc w:val="center"/>
                    <w:rPr>
                      <w:color w:val="auto"/>
                      <w:sz w:val="18"/>
                      <w:szCs w:val="18"/>
                    </w:rPr>
                  </w:pPr>
                  <w:r>
                    <w:rPr>
                      <w:rFonts w:hint="eastAsia"/>
                      <w:color w:val="auto"/>
                      <w:sz w:val="18"/>
                      <w:szCs w:val="18"/>
                    </w:rPr>
                    <w:t>P2</w:t>
                  </w:r>
                  <w:r>
                    <w:rPr>
                      <w:color w:val="auto"/>
                      <w:sz w:val="18"/>
                      <w:szCs w:val="18"/>
                    </w:rPr>
                    <w:sym w:font="Wingdings 2" w:char="00A3"/>
                  </w:r>
                </w:p>
              </w:tc>
              <w:tc>
                <w:tcPr>
                  <w:tcW w:w="1780" w:type="dxa"/>
                  <w:gridSpan w:val="7"/>
                  <w:noWrap w:val="0"/>
                  <w:vAlign w:val="center"/>
                </w:tcPr>
                <w:p w14:paraId="4CAD2A11">
                  <w:pPr>
                    <w:spacing w:line="240" w:lineRule="atLeast"/>
                    <w:jc w:val="center"/>
                    <w:rPr>
                      <w:color w:val="auto"/>
                      <w:sz w:val="18"/>
                      <w:szCs w:val="18"/>
                    </w:rPr>
                  </w:pPr>
                  <w:r>
                    <w:rPr>
                      <w:rFonts w:hint="eastAsia"/>
                      <w:color w:val="auto"/>
                      <w:sz w:val="18"/>
                      <w:szCs w:val="18"/>
                    </w:rPr>
                    <w:t>P3</w:t>
                  </w:r>
                  <w:r>
                    <w:rPr>
                      <w:color w:val="auto"/>
                      <w:sz w:val="18"/>
                      <w:szCs w:val="18"/>
                    </w:rPr>
                    <w:sym w:font="Wingdings 2" w:char="0052"/>
                  </w:r>
                </w:p>
              </w:tc>
              <w:tc>
                <w:tcPr>
                  <w:tcW w:w="944" w:type="dxa"/>
                  <w:noWrap w:val="0"/>
                  <w:vAlign w:val="center"/>
                </w:tcPr>
                <w:p w14:paraId="5E6BD7C3">
                  <w:pPr>
                    <w:spacing w:line="240" w:lineRule="atLeast"/>
                    <w:jc w:val="center"/>
                    <w:rPr>
                      <w:color w:val="auto"/>
                      <w:sz w:val="18"/>
                      <w:szCs w:val="18"/>
                    </w:rPr>
                  </w:pPr>
                  <w:r>
                    <w:rPr>
                      <w:rFonts w:hint="eastAsia"/>
                      <w:color w:val="auto"/>
                      <w:sz w:val="18"/>
                      <w:szCs w:val="18"/>
                    </w:rPr>
                    <w:t>P4</w:t>
                  </w:r>
                  <w:r>
                    <w:rPr>
                      <w:color w:val="auto"/>
                      <w:sz w:val="18"/>
                      <w:szCs w:val="18"/>
                    </w:rPr>
                    <w:sym w:font="Wingdings 2" w:char="00A3"/>
                  </w:r>
                </w:p>
              </w:tc>
            </w:tr>
            <w:tr w14:paraId="7E1E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restart"/>
                  <w:noWrap w:val="0"/>
                  <w:vAlign w:val="center"/>
                </w:tcPr>
                <w:p w14:paraId="57302E7B">
                  <w:pPr>
                    <w:spacing w:line="240" w:lineRule="atLeast"/>
                    <w:jc w:val="center"/>
                    <w:rPr>
                      <w:rFonts w:hint="eastAsia"/>
                      <w:color w:val="auto"/>
                      <w:sz w:val="18"/>
                      <w:szCs w:val="18"/>
                    </w:rPr>
                  </w:pPr>
                  <w:r>
                    <w:rPr>
                      <w:rFonts w:hint="eastAsia"/>
                      <w:color w:val="auto"/>
                      <w:sz w:val="18"/>
                      <w:szCs w:val="18"/>
                    </w:rPr>
                    <w:t>环境敏感程度</w:t>
                  </w:r>
                </w:p>
              </w:tc>
              <w:tc>
                <w:tcPr>
                  <w:tcW w:w="1343" w:type="dxa"/>
                  <w:gridSpan w:val="2"/>
                  <w:noWrap w:val="0"/>
                  <w:vAlign w:val="center"/>
                </w:tcPr>
                <w:p w14:paraId="59E13280">
                  <w:pPr>
                    <w:spacing w:line="240" w:lineRule="atLeast"/>
                    <w:jc w:val="center"/>
                    <w:rPr>
                      <w:rFonts w:hint="eastAsia"/>
                      <w:color w:val="auto"/>
                      <w:sz w:val="18"/>
                      <w:szCs w:val="18"/>
                    </w:rPr>
                  </w:pPr>
                  <w:r>
                    <w:rPr>
                      <w:rFonts w:hint="eastAsia"/>
                      <w:color w:val="auto"/>
                      <w:sz w:val="18"/>
                      <w:szCs w:val="18"/>
                    </w:rPr>
                    <w:t>大气</w:t>
                  </w:r>
                </w:p>
              </w:tc>
              <w:tc>
                <w:tcPr>
                  <w:tcW w:w="1759" w:type="dxa"/>
                  <w:gridSpan w:val="6"/>
                  <w:noWrap w:val="0"/>
                  <w:vAlign w:val="center"/>
                </w:tcPr>
                <w:p w14:paraId="43D55FE7">
                  <w:pPr>
                    <w:spacing w:line="240" w:lineRule="atLeast"/>
                    <w:jc w:val="center"/>
                    <w:rPr>
                      <w:color w:val="auto"/>
                      <w:sz w:val="18"/>
                      <w:szCs w:val="18"/>
                    </w:rPr>
                  </w:pPr>
                  <w:r>
                    <w:rPr>
                      <w:rFonts w:hint="eastAsia"/>
                      <w:color w:val="auto"/>
                      <w:sz w:val="18"/>
                      <w:szCs w:val="18"/>
                    </w:rPr>
                    <w:t>E1</w:t>
                  </w:r>
                  <w:r>
                    <w:rPr>
                      <w:color w:val="auto"/>
                      <w:sz w:val="18"/>
                      <w:szCs w:val="18"/>
                    </w:rPr>
                    <w:sym w:font="Wingdings 2" w:char="0052"/>
                  </w:r>
                </w:p>
              </w:tc>
              <w:tc>
                <w:tcPr>
                  <w:tcW w:w="1714" w:type="dxa"/>
                  <w:gridSpan w:val="7"/>
                  <w:noWrap w:val="0"/>
                  <w:vAlign w:val="center"/>
                </w:tcPr>
                <w:p w14:paraId="50509073">
                  <w:pPr>
                    <w:spacing w:line="240" w:lineRule="atLeast"/>
                    <w:jc w:val="center"/>
                    <w:rPr>
                      <w:color w:val="auto"/>
                      <w:sz w:val="18"/>
                      <w:szCs w:val="18"/>
                    </w:rPr>
                  </w:pPr>
                  <w:r>
                    <w:rPr>
                      <w:rFonts w:hint="eastAsia"/>
                      <w:color w:val="auto"/>
                      <w:sz w:val="18"/>
                      <w:szCs w:val="18"/>
                    </w:rPr>
                    <w:t>E2</w:t>
                  </w:r>
                  <w:r>
                    <w:rPr>
                      <w:color w:val="auto"/>
                      <w:sz w:val="18"/>
                      <w:szCs w:val="18"/>
                    </w:rPr>
                    <w:sym w:font="Wingdings 2" w:char="00A3"/>
                  </w:r>
                </w:p>
              </w:tc>
              <w:tc>
                <w:tcPr>
                  <w:tcW w:w="1804" w:type="dxa"/>
                  <w:gridSpan w:val="3"/>
                  <w:noWrap w:val="0"/>
                  <w:vAlign w:val="center"/>
                </w:tcPr>
                <w:p w14:paraId="110E3067">
                  <w:pPr>
                    <w:spacing w:line="240" w:lineRule="atLeast"/>
                    <w:jc w:val="center"/>
                    <w:rPr>
                      <w:color w:val="auto"/>
                      <w:sz w:val="18"/>
                      <w:szCs w:val="18"/>
                    </w:rPr>
                  </w:pPr>
                  <w:r>
                    <w:rPr>
                      <w:rFonts w:hint="eastAsia"/>
                      <w:color w:val="auto"/>
                      <w:sz w:val="18"/>
                      <w:szCs w:val="18"/>
                    </w:rPr>
                    <w:t>E3</w:t>
                  </w:r>
                  <w:r>
                    <w:rPr>
                      <w:color w:val="auto"/>
                      <w:sz w:val="18"/>
                      <w:szCs w:val="18"/>
                    </w:rPr>
                    <w:sym w:font="Wingdings 2" w:char="00A3"/>
                  </w:r>
                </w:p>
              </w:tc>
            </w:tr>
            <w:tr w14:paraId="5548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continue"/>
                  <w:noWrap w:val="0"/>
                  <w:vAlign w:val="center"/>
                </w:tcPr>
                <w:p w14:paraId="42EB3614">
                  <w:pPr>
                    <w:spacing w:line="240" w:lineRule="atLeast"/>
                    <w:jc w:val="center"/>
                    <w:rPr>
                      <w:rFonts w:hint="eastAsia"/>
                      <w:color w:val="auto"/>
                      <w:sz w:val="18"/>
                      <w:szCs w:val="18"/>
                    </w:rPr>
                  </w:pPr>
                </w:p>
              </w:tc>
              <w:tc>
                <w:tcPr>
                  <w:tcW w:w="1343" w:type="dxa"/>
                  <w:gridSpan w:val="2"/>
                  <w:noWrap w:val="0"/>
                  <w:vAlign w:val="center"/>
                </w:tcPr>
                <w:p w14:paraId="01BF749C">
                  <w:pPr>
                    <w:spacing w:line="240" w:lineRule="atLeast"/>
                    <w:jc w:val="center"/>
                    <w:rPr>
                      <w:rFonts w:hint="eastAsia"/>
                      <w:color w:val="auto"/>
                      <w:sz w:val="18"/>
                      <w:szCs w:val="18"/>
                    </w:rPr>
                  </w:pPr>
                  <w:r>
                    <w:rPr>
                      <w:rFonts w:hint="eastAsia"/>
                      <w:color w:val="auto"/>
                      <w:sz w:val="18"/>
                      <w:szCs w:val="18"/>
                    </w:rPr>
                    <w:t>地表水</w:t>
                  </w:r>
                </w:p>
              </w:tc>
              <w:tc>
                <w:tcPr>
                  <w:tcW w:w="1759" w:type="dxa"/>
                  <w:gridSpan w:val="6"/>
                  <w:noWrap w:val="0"/>
                  <w:vAlign w:val="center"/>
                </w:tcPr>
                <w:p w14:paraId="1020D65E">
                  <w:pPr>
                    <w:spacing w:line="240" w:lineRule="atLeast"/>
                    <w:jc w:val="center"/>
                    <w:rPr>
                      <w:rFonts w:hint="eastAsia"/>
                      <w:color w:val="auto"/>
                      <w:sz w:val="18"/>
                      <w:szCs w:val="18"/>
                    </w:rPr>
                  </w:pPr>
                  <w:r>
                    <w:rPr>
                      <w:rFonts w:hint="eastAsia"/>
                      <w:color w:val="auto"/>
                      <w:sz w:val="18"/>
                      <w:szCs w:val="18"/>
                    </w:rPr>
                    <w:t>E1</w:t>
                  </w:r>
                  <w:r>
                    <w:rPr>
                      <w:color w:val="auto"/>
                      <w:sz w:val="18"/>
                      <w:szCs w:val="18"/>
                    </w:rPr>
                    <w:sym w:font="Wingdings 2" w:char="00A3"/>
                  </w:r>
                </w:p>
              </w:tc>
              <w:tc>
                <w:tcPr>
                  <w:tcW w:w="1714" w:type="dxa"/>
                  <w:gridSpan w:val="7"/>
                  <w:noWrap w:val="0"/>
                  <w:vAlign w:val="center"/>
                </w:tcPr>
                <w:p w14:paraId="64F39E75">
                  <w:pPr>
                    <w:spacing w:line="240" w:lineRule="atLeast"/>
                    <w:jc w:val="center"/>
                    <w:rPr>
                      <w:rFonts w:hint="eastAsia"/>
                      <w:color w:val="auto"/>
                      <w:sz w:val="18"/>
                      <w:szCs w:val="18"/>
                    </w:rPr>
                  </w:pPr>
                  <w:r>
                    <w:rPr>
                      <w:rFonts w:hint="eastAsia"/>
                      <w:color w:val="auto"/>
                      <w:sz w:val="18"/>
                      <w:szCs w:val="18"/>
                    </w:rPr>
                    <w:t>E2</w:t>
                  </w:r>
                  <w:r>
                    <w:rPr>
                      <w:color w:val="auto"/>
                      <w:sz w:val="18"/>
                      <w:szCs w:val="18"/>
                    </w:rPr>
                    <w:sym w:font="Wingdings 2" w:char="0052"/>
                  </w:r>
                </w:p>
              </w:tc>
              <w:tc>
                <w:tcPr>
                  <w:tcW w:w="1804" w:type="dxa"/>
                  <w:gridSpan w:val="3"/>
                  <w:noWrap w:val="0"/>
                  <w:vAlign w:val="center"/>
                </w:tcPr>
                <w:p w14:paraId="293A4399">
                  <w:pPr>
                    <w:spacing w:line="240" w:lineRule="atLeast"/>
                    <w:jc w:val="center"/>
                    <w:rPr>
                      <w:rFonts w:hint="eastAsia"/>
                      <w:color w:val="auto"/>
                      <w:sz w:val="18"/>
                      <w:szCs w:val="18"/>
                    </w:rPr>
                  </w:pPr>
                  <w:r>
                    <w:rPr>
                      <w:rFonts w:hint="eastAsia"/>
                      <w:color w:val="auto"/>
                      <w:sz w:val="18"/>
                      <w:szCs w:val="18"/>
                    </w:rPr>
                    <w:t>E3</w:t>
                  </w:r>
                  <w:r>
                    <w:rPr>
                      <w:color w:val="auto"/>
                      <w:sz w:val="18"/>
                      <w:szCs w:val="18"/>
                    </w:rPr>
                    <w:sym w:font="Wingdings 2" w:char="00A3"/>
                  </w:r>
                </w:p>
              </w:tc>
            </w:tr>
            <w:tr w14:paraId="1FC4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vMerge w:val="continue"/>
                  <w:noWrap w:val="0"/>
                  <w:vAlign w:val="center"/>
                </w:tcPr>
                <w:p w14:paraId="1B0EE643">
                  <w:pPr>
                    <w:spacing w:line="240" w:lineRule="atLeast"/>
                    <w:jc w:val="center"/>
                    <w:rPr>
                      <w:rFonts w:hint="eastAsia"/>
                      <w:color w:val="auto"/>
                      <w:sz w:val="18"/>
                      <w:szCs w:val="18"/>
                    </w:rPr>
                  </w:pPr>
                </w:p>
              </w:tc>
              <w:tc>
                <w:tcPr>
                  <w:tcW w:w="1343" w:type="dxa"/>
                  <w:gridSpan w:val="2"/>
                  <w:noWrap w:val="0"/>
                  <w:vAlign w:val="center"/>
                </w:tcPr>
                <w:p w14:paraId="6D379B9F">
                  <w:pPr>
                    <w:spacing w:line="240" w:lineRule="atLeast"/>
                    <w:jc w:val="center"/>
                    <w:rPr>
                      <w:rFonts w:hint="eastAsia"/>
                      <w:color w:val="auto"/>
                      <w:sz w:val="18"/>
                      <w:szCs w:val="18"/>
                    </w:rPr>
                  </w:pPr>
                  <w:r>
                    <w:rPr>
                      <w:rFonts w:hint="eastAsia"/>
                      <w:color w:val="auto"/>
                      <w:sz w:val="18"/>
                      <w:szCs w:val="18"/>
                    </w:rPr>
                    <w:t>地下水</w:t>
                  </w:r>
                </w:p>
              </w:tc>
              <w:tc>
                <w:tcPr>
                  <w:tcW w:w="1759" w:type="dxa"/>
                  <w:gridSpan w:val="6"/>
                  <w:noWrap w:val="0"/>
                  <w:vAlign w:val="center"/>
                </w:tcPr>
                <w:p w14:paraId="3499EBFE">
                  <w:pPr>
                    <w:spacing w:line="240" w:lineRule="atLeast"/>
                    <w:jc w:val="center"/>
                    <w:rPr>
                      <w:rFonts w:hint="eastAsia"/>
                      <w:color w:val="auto"/>
                      <w:sz w:val="18"/>
                      <w:szCs w:val="18"/>
                    </w:rPr>
                  </w:pPr>
                  <w:r>
                    <w:rPr>
                      <w:rFonts w:hint="eastAsia"/>
                      <w:color w:val="auto"/>
                      <w:sz w:val="18"/>
                      <w:szCs w:val="18"/>
                    </w:rPr>
                    <w:t>E1</w:t>
                  </w:r>
                  <w:r>
                    <w:rPr>
                      <w:color w:val="auto"/>
                      <w:sz w:val="18"/>
                      <w:szCs w:val="18"/>
                    </w:rPr>
                    <w:sym w:font="Wingdings 2" w:char="00A3"/>
                  </w:r>
                </w:p>
              </w:tc>
              <w:tc>
                <w:tcPr>
                  <w:tcW w:w="1714" w:type="dxa"/>
                  <w:gridSpan w:val="7"/>
                  <w:noWrap w:val="0"/>
                  <w:vAlign w:val="center"/>
                </w:tcPr>
                <w:p w14:paraId="3FFE4FD4">
                  <w:pPr>
                    <w:spacing w:line="240" w:lineRule="atLeast"/>
                    <w:jc w:val="center"/>
                    <w:rPr>
                      <w:rFonts w:hint="eastAsia"/>
                      <w:color w:val="auto"/>
                      <w:sz w:val="18"/>
                      <w:szCs w:val="18"/>
                    </w:rPr>
                  </w:pPr>
                  <w:r>
                    <w:rPr>
                      <w:rFonts w:hint="eastAsia"/>
                      <w:color w:val="auto"/>
                      <w:sz w:val="18"/>
                      <w:szCs w:val="18"/>
                    </w:rPr>
                    <w:t>E2</w:t>
                  </w:r>
                  <w:r>
                    <w:rPr>
                      <w:color w:val="auto"/>
                      <w:sz w:val="18"/>
                      <w:szCs w:val="18"/>
                    </w:rPr>
                    <w:sym w:font="Wingdings 2" w:char="00A3"/>
                  </w:r>
                </w:p>
              </w:tc>
              <w:tc>
                <w:tcPr>
                  <w:tcW w:w="1804" w:type="dxa"/>
                  <w:gridSpan w:val="3"/>
                  <w:noWrap w:val="0"/>
                  <w:vAlign w:val="center"/>
                </w:tcPr>
                <w:p w14:paraId="226DE7C8">
                  <w:pPr>
                    <w:spacing w:line="240" w:lineRule="atLeast"/>
                    <w:jc w:val="center"/>
                    <w:rPr>
                      <w:rFonts w:hint="eastAsia"/>
                      <w:color w:val="auto"/>
                      <w:sz w:val="18"/>
                      <w:szCs w:val="18"/>
                    </w:rPr>
                  </w:pPr>
                  <w:r>
                    <w:rPr>
                      <w:rFonts w:hint="eastAsia"/>
                      <w:color w:val="auto"/>
                      <w:sz w:val="18"/>
                      <w:szCs w:val="18"/>
                    </w:rPr>
                    <w:t>E3</w:t>
                  </w:r>
                  <w:r>
                    <w:rPr>
                      <w:color w:val="auto"/>
                      <w:sz w:val="18"/>
                      <w:szCs w:val="18"/>
                    </w:rPr>
                    <w:sym w:font="Wingdings 2" w:char="0052"/>
                  </w:r>
                </w:p>
              </w:tc>
            </w:tr>
            <w:tr w14:paraId="224E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40D103AB">
                  <w:pPr>
                    <w:spacing w:line="240" w:lineRule="atLeast"/>
                    <w:jc w:val="center"/>
                    <w:rPr>
                      <w:color w:val="auto"/>
                      <w:sz w:val="18"/>
                      <w:szCs w:val="18"/>
                    </w:rPr>
                  </w:pPr>
                  <w:r>
                    <w:rPr>
                      <w:rFonts w:hint="eastAsia"/>
                      <w:color w:val="auto"/>
                      <w:sz w:val="18"/>
                      <w:szCs w:val="18"/>
                    </w:rPr>
                    <w:t>环境风险潜势</w:t>
                  </w:r>
                </w:p>
              </w:tc>
              <w:tc>
                <w:tcPr>
                  <w:tcW w:w="686" w:type="dxa"/>
                  <w:noWrap w:val="0"/>
                  <w:vAlign w:val="center"/>
                </w:tcPr>
                <w:p w14:paraId="7CEC113D">
                  <w:pPr>
                    <w:spacing w:line="240" w:lineRule="atLeast"/>
                    <w:jc w:val="center"/>
                    <w:rPr>
                      <w:rFonts w:hint="eastAsia"/>
                      <w:color w:val="auto"/>
                      <w:sz w:val="18"/>
                      <w:szCs w:val="18"/>
                    </w:rPr>
                  </w:pPr>
                  <w:r>
                    <w:rPr>
                      <w:rFonts w:hint="eastAsia" w:cs="宋体"/>
                      <w:color w:val="auto"/>
                      <w:kern w:val="10"/>
                      <w:sz w:val="18"/>
                      <w:szCs w:val="18"/>
                    </w:rPr>
                    <w:t>Ⅳ</w:t>
                  </w:r>
                  <w:r>
                    <w:rPr>
                      <w:rFonts w:hint="eastAsia" w:cs="宋体"/>
                      <w:color w:val="auto"/>
                      <w:kern w:val="10"/>
                      <w:sz w:val="18"/>
                      <w:szCs w:val="18"/>
                      <w:vertAlign w:val="superscript"/>
                    </w:rPr>
                    <w:t>+</w:t>
                  </w:r>
                  <w:r>
                    <w:rPr>
                      <w:color w:val="auto"/>
                      <w:sz w:val="18"/>
                      <w:szCs w:val="18"/>
                    </w:rPr>
                    <w:sym w:font="Wingdings 2" w:char="00A3"/>
                  </w:r>
                </w:p>
              </w:tc>
              <w:tc>
                <w:tcPr>
                  <w:tcW w:w="1369" w:type="dxa"/>
                  <w:gridSpan w:val="3"/>
                  <w:noWrap w:val="0"/>
                  <w:vAlign w:val="center"/>
                </w:tcPr>
                <w:p w14:paraId="07F59B76">
                  <w:pPr>
                    <w:spacing w:line="240" w:lineRule="atLeast"/>
                    <w:jc w:val="center"/>
                    <w:rPr>
                      <w:rFonts w:hint="eastAsia"/>
                      <w:color w:val="auto"/>
                      <w:sz w:val="18"/>
                      <w:szCs w:val="18"/>
                    </w:rPr>
                  </w:pPr>
                  <w:r>
                    <w:rPr>
                      <w:rFonts w:hint="eastAsia" w:cs="宋体"/>
                      <w:color w:val="auto"/>
                      <w:kern w:val="10"/>
                      <w:sz w:val="18"/>
                      <w:szCs w:val="18"/>
                    </w:rPr>
                    <w:t>Ⅳ</w:t>
                  </w:r>
                  <w:r>
                    <w:rPr>
                      <w:color w:val="auto"/>
                      <w:sz w:val="18"/>
                      <w:szCs w:val="18"/>
                    </w:rPr>
                    <w:sym w:font="Wingdings 2" w:char="00A3"/>
                  </w:r>
                </w:p>
              </w:tc>
              <w:tc>
                <w:tcPr>
                  <w:tcW w:w="1411" w:type="dxa"/>
                  <w:gridSpan w:val="5"/>
                  <w:noWrap w:val="0"/>
                  <w:vAlign w:val="center"/>
                </w:tcPr>
                <w:p w14:paraId="09ED2533">
                  <w:pPr>
                    <w:spacing w:line="240" w:lineRule="atLeast"/>
                    <w:jc w:val="center"/>
                    <w:rPr>
                      <w:rFonts w:hint="eastAsia"/>
                      <w:color w:val="auto"/>
                      <w:sz w:val="18"/>
                      <w:szCs w:val="18"/>
                    </w:rPr>
                  </w:pPr>
                  <w:r>
                    <w:rPr>
                      <w:rFonts w:hint="eastAsia" w:cs="宋体"/>
                      <w:color w:val="auto"/>
                      <w:kern w:val="10"/>
                      <w:sz w:val="18"/>
                      <w:szCs w:val="18"/>
                    </w:rPr>
                    <w:t>Ⅲ</w:t>
                  </w:r>
                  <w:r>
                    <w:rPr>
                      <w:color w:val="auto"/>
                      <w:sz w:val="18"/>
                      <w:szCs w:val="18"/>
                    </w:rPr>
                    <w:sym w:font="Wingdings 2" w:char="0052"/>
                  </w:r>
                </w:p>
              </w:tc>
              <w:tc>
                <w:tcPr>
                  <w:tcW w:w="1756" w:type="dxa"/>
                  <w:gridSpan w:val="7"/>
                  <w:noWrap w:val="0"/>
                  <w:vAlign w:val="center"/>
                </w:tcPr>
                <w:p w14:paraId="67DFB9B1">
                  <w:pPr>
                    <w:spacing w:line="240" w:lineRule="atLeast"/>
                    <w:jc w:val="center"/>
                    <w:rPr>
                      <w:rFonts w:hint="eastAsia"/>
                      <w:color w:val="auto"/>
                      <w:sz w:val="18"/>
                      <w:szCs w:val="18"/>
                    </w:rPr>
                  </w:pPr>
                  <w:r>
                    <w:rPr>
                      <w:rFonts w:hint="eastAsia" w:cs="宋体"/>
                      <w:color w:val="auto"/>
                      <w:kern w:val="10"/>
                      <w:sz w:val="18"/>
                      <w:szCs w:val="18"/>
                    </w:rPr>
                    <w:t>Ⅱ</w:t>
                  </w:r>
                  <w:r>
                    <w:rPr>
                      <w:color w:val="auto"/>
                      <w:sz w:val="18"/>
                      <w:szCs w:val="18"/>
                    </w:rPr>
                    <w:sym w:font="Wingdings 2" w:char="00A3"/>
                  </w:r>
                </w:p>
              </w:tc>
              <w:tc>
                <w:tcPr>
                  <w:tcW w:w="1398" w:type="dxa"/>
                  <w:gridSpan w:val="2"/>
                  <w:noWrap w:val="0"/>
                  <w:vAlign w:val="center"/>
                </w:tcPr>
                <w:p w14:paraId="65F46024">
                  <w:pPr>
                    <w:spacing w:line="240" w:lineRule="atLeast"/>
                    <w:jc w:val="center"/>
                    <w:rPr>
                      <w:rFonts w:hint="eastAsia"/>
                      <w:color w:val="auto"/>
                      <w:sz w:val="18"/>
                      <w:szCs w:val="18"/>
                    </w:rPr>
                  </w:pPr>
                  <w:r>
                    <w:rPr>
                      <w:rFonts w:hint="eastAsia" w:cs="宋体"/>
                      <w:color w:val="auto"/>
                      <w:kern w:val="10"/>
                      <w:sz w:val="18"/>
                      <w:szCs w:val="18"/>
                    </w:rPr>
                    <w:t>Ⅰ</w:t>
                  </w:r>
                  <w:r>
                    <w:rPr>
                      <w:color w:val="auto"/>
                      <w:sz w:val="18"/>
                      <w:szCs w:val="18"/>
                    </w:rPr>
                    <w:sym w:font="Wingdings 2" w:char="00A3"/>
                  </w:r>
                </w:p>
              </w:tc>
            </w:tr>
            <w:tr w14:paraId="14D5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58B0820C">
                  <w:pPr>
                    <w:spacing w:line="240" w:lineRule="atLeast"/>
                    <w:jc w:val="center"/>
                    <w:rPr>
                      <w:rFonts w:hint="eastAsia"/>
                      <w:color w:val="auto"/>
                      <w:sz w:val="18"/>
                      <w:szCs w:val="18"/>
                    </w:rPr>
                  </w:pPr>
                  <w:r>
                    <w:rPr>
                      <w:rFonts w:hint="eastAsia"/>
                      <w:color w:val="auto"/>
                      <w:sz w:val="18"/>
                      <w:szCs w:val="18"/>
                    </w:rPr>
                    <w:t>评级等级</w:t>
                  </w:r>
                </w:p>
              </w:tc>
              <w:tc>
                <w:tcPr>
                  <w:tcW w:w="1343" w:type="dxa"/>
                  <w:gridSpan w:val="2"/>
                  <w:noWrap w:val="0"/>
                  <w:vAlign w:val="center"/>
                </w:tcPr>
                <w:p w14:paraId="6B762351">
                  <w:pPr>
                    <w:spacing w:line="240" w:lineRule="atLeast"/>
                    <w:jc w:val="center"/>
                    <w:rPr>
                      <w:rFonts w:hint="eastAsia"/>
                      <w:color w:val="auto"/>
                      <w:sz w:val="18"/>
                      <w:szCs w:val="18"/>
                    </w:rPr>
                  </w:pPr>
                  <w:r>
                    <w:rPr>
                      <w:rFonts w:hint="eastAsia"/>
                      <w:color w:val="auto"/>
                      <w:sz w:val="18"/>
                      <w:szCs w:val="18"/>
                    </w:rPr>
                    <w:t>一级</w:t>
                  </w:r>
                  <w:r>
                    <w:rPr>
                      <w:color w:val="auto"/>
                      <w:sz w:val="18"/>
                      <w:szCs w:val="18"/>
                    </w:rPr>
                    <w:sym w:font="Wingdings 2" w:char="00A3"/>
                  </w:r>
                </w:p>
              </w:tc>
              <w:tc>
                <w:tcPr>
                  <w:tcW w:w="1363" w:type="dxa"/>
                  <w:gridSpan w:val="4"/>
                  <w:noWrap w:val="0"/>
                  <w:vAlign w:val="center"/>
                </w:tcPr>
                <w:p w14:paraId="748A3612">
                  <w:pPr>
                    <w:spacing w:line="240" w:lineRule="atLeast"/>
                    <w:jc w:val="center"/>
                    <w:rPr>
                      <w:rFonts w:hint="eastAsia"/>
                      <w:color w:val="auto"/>
                      <w:sz w:val="18"/>
                      <w:szCs w:val="18"/>
                    </w:rPr>
                  </w:pPr>
                  <w:r>
                    <w:rPr>
                      <w:rFonts w:hint="eastAsia"/>
                      <w:color w:val="auto"/>
                      <w:sz w:val="18"/>
                      <w:szCs w:val="18"/>
                    </w:rPr>
                    <w:t>二级</w:t>
                  </w:r>
                  <w:r>
                    <w:rPr>
                      <w:color w:val="auto"/>
                      <w:sz w:val="18"/>
                      <w:szCs w:val="18"/>
                    </w:rPr>
                    <w:sym w:font="Wingdings 2" w:char="0052"/>
                  </w:r>
                </w:p>
              </w:tc>
              <w:tc>
                <w:tcPr>
                  <w:tcW w:w="1419" w:type="dxa"/>
                  <w:gridSpan w:val="6"/>
                  <w:noWrap w:val="0"/>
                  <w:vAlign w:val="center"/>
                </w:tcPr>
                <w:p w14:paraId="6486B84C">
                  <w:pPr>
                    <w:spacing w:line="240" w:lineRule="atLeast"/>
                    <w:jc w:val="center"/>
                    <w:rPr>
                      <w:rFonts w:hint="eastAsia"/>
                      <w:color w:val="auto"/>
                      <w:sz w:val="18"/>
                      <w:szCs w:val="18"/>
                    </w:rPr>
                  </w:pPr>
                  <w:r>
                    <w:rPr>
                      <w:rFonts w:hint="eastAsia"/>
                      <w:color w:val="auto"/>
                      <w:sz w:val="18"/>
                      <w:szCs w:val="18"/>
                    </w:rPr>
                    <w:t>三级</w:t>
                  </w:r>
                  <w:r>
                    <w:rPr>
                      <w:color w:val="auto"/>
                      <w:sz w:val="18"/>
                      <w:szCs w:val="18"/>
                    </w:rPr>
                    <w:sym w:font="Wingdings 2" w:char="00A3"/>
                  </w:r>
                </w:p>
              </w:tc>
              <w:tc>
                <w:tcPr>
                  <w:tcW w:w="2495" w:type="dxa"/>
                  <w:gridSpan w:val="6"/>
                  <w:noWrap w:val="0"/>
                  <w:vAlign w:val="center"/>
                </w:tcPr>
                <w:p w14:paraId="7E27646F">
                  <w:pPr>
                    <w:spacing w:line="240" w:lineRule="atLeast"/>
                    <w:jc w:val="center"/>
                    <w:rPr>
                      <w:rFonts w:hint="eastAsia"/>
                      <w:color w:val="auto"/>
                      <w:sz w:val="18"/>
                      <w:szCs w:val="18"/>
                    </w:rPr>
                  </w:pPr>
                  <w:r>
                    <w:rPr>
                      <w:rFonts w:hint="eastAsia"/>
                      <w:color w:val="auto"/>
                      <w:sz w:val="18"/>
                      <w:szCs w:val="18"/>
                    </w:rPr>
                    <w:t>简单分析</w:t>
                  </w:r>
                  <w:r>
                    <w:rPr>
                      <w:color w:val="auto"/>
                      <w:sz w:val="18"/>
                      <w:szCs w:val="18"/>
                    </w:rPr>
                    <w:sym w:font="Wingdings 2" w:char="00A3"/>
                  </w:r>
                </w:p>
              </w:tc>
            </w:tr>
            <w:tr w14:paraId="422E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noWrap w:val="0"/>
                  <w:vAlign w:val="center"/>
                </w:tcPr>
                <w:p w14:paraId="42D1ABED">
                  <w:pPr>
                    <w:spacing w:line="240" w:lineRule="atLeast"/>
                    <w:jc w:val="center"/>
                    <w:rPr>
                      <w:rFonts w:hint="eastAsia"/>
                      <w:color w:val="auto"/>
                      <w:sz w:val="18"/>
                      <w:szCs w:val="18"/>
                    </w:rPr>
                  </w:pPr>
                  <w:r>
                    <w:rPr>
                      <w:rFonts w:hint="eastAsia"/>
                      <w:color w:val="auto"/>
                      <w:sz w:val="18"/>
                      <w:szCs w:val="18"/>
                    </w:rPr>
                    <w:t>风</w:t>
                  </w:r>
                </w:p>
                <w:p w14:paraId="72F078E5">
                  <w:pPr>
                    <w:spacing w:line="240" w:lineRule="atLeast"/>
                    <w:jc w:val="center"/>
                    <w:rPr>
                      <w:rFonts w:hint="eastAsia"/>
                      <w:color w:val="auto"/>
                      <w:sz w:val="18"/>
                      <w:szCs w:val="18"/>
                    </w:rPr>
                  </w:pPr>
                  <w:r>
                    <w:rPr>
                      <w:rFonts w:hint="eastAsia"/>
                      <w:color w:val="auto"/>
                      <w:sz w:val="18"/>
                      <w:szCs w:val="18"/>
                    </w:rPr>
                    <w:t>险</w:t>
                  </w:r>
                </w:p>
                <w:p w14:paraId="167A299C">
                  <w:pPr>
                    <w:spacing w:line="240" w:lineRule="atLeast"/>
                    <w:jc w:val="center"/>
                    <w:rPr>
                      <w:rFonts w:hint="eastAsia"/>
                      <w:color w:val="auto"/>
                      <w:sz w:val="18"/>
                      <w:szCs w:val="18"/>
                    </w:rPr>
                  </w:pPr>
                  <w:r>
                    <w:rPr>
                      <w:rFonts w:hint="eastAsia"/>
                      <w:color w:val="auto"/>
                      <w:sz w:val="18"/>
                      <w:szCs w:val="18"/>
                    </w:rPr>
                    <w:t>识</w:t>
                  </w:r>
                </w:p>
                <w:p w14:paraId="6DBF8704">
                  <w:pPr>
                    <w:spacing w:line="240" w:lineRule="atLeast"/>
                    <w:jc w:val="center"/>
                    <w:rPr>
                      <w:rFonts w:hint="eastAsia"/>
                      <w:color w:val="auto"/>
                      <w:sz w:val="18"/>
                      <w:szCs w:val="18"/>
                    </w:rPr>
                  </w:pPr>
                  <w:r>
                    <w:rPr>
                      <w:rFonts w:hint="eastAsia"/>
                      <w:color w:val="auto"/>
                      <w:sz w:val="18"/>
                      <w:szCs w:val="18"/>
                    </w:rPr>
                    <w:t>别</w:t>
                  </w:r>
                </w:p>
              </w:tc>
              <w:tc>
                <w:tcPr>
                  <w:tcW w:w="1554" w:type="dxa"/>
                  <w:noWrap w:val="0"/>
                  <w:vAlign w:val="center"/>
                </w:tcPr>
                <w:p w14:paraId="3D461A26">
                  <w:pPr>
                    <w:spacing w:line="240" w:lineRule="atLeast"/>
                    <w:jc w:val="center"/>
                    <w:rPr>
                      <w:rFonts w:hint="eastAsia"/>
                      <w:color w:val="auto"/>
                      <w:sz w:val="18"/>
                      <w:szCs w:val="18"/>
                    </w:rPr>
                  </w:pPr>
                  <w:r>
                    <w:rPr>
                      <w:rFonts w:hint="eastAsia"/>
                      <w:color w:val="auto"/>
                      <w:sz w:val="18"/>
                      <w:szCs w:val="18"/>
                    </w:rPr>
                    <w:t>物质危险性</w:t>
                  </w:r>
                </w:p>
              </w:tc>
              <w:tc>
                <w:tcPr>
                  <w:tcW w:w="2706" w:type="dxa"/>
                  <w:gridSpan w:val="6"/>
                  <w:noWrap w:val="0"/>
                  <w:vAlign w:val="center"/>
                </w:tcPr>
                <w:p w14:paraId="79601A4B">
                  <w:pPr>
                    <w:spacing w:line="240" w:lineRule="atLeast"/>
                    <w:jc w:val="center"/>
                    <w:rPr>
                      <w:rFonts w:hint="eastAsia"/>
                      <w:color w:val="auto"/>
                      <w:sz w:val="18"/>
                      <w:szCs w:val="18"/>
                    </w:rPr>
                  </w:pPr>
                  <w:r>
                    <w:rPr>
                      <w:rFonts w:hint="eastAsia"/>
                      <w:color w:val="auto"/>
                      <w:sz w:val="18"/>
                      <w:szCs w:val="18"/>
                    </w:rPr>
                    <w:t>有毒有害</w:t>
                  </w:r>
                  <w:r>
                    <w:rPr>
                      <w:color w:val="auto"/>
                      <w:sz w:val="18"/>
                      <w:szCs w:val="18"/>
                    </w:rPr>
                    <w:sym w:font="Wingdings 2" w:char="0052"/>
                  </w:r>
                </w:p>
              </w:tc>
              <w:tc>
                <w:tcPr>
                  <w:tcW w:w="3914" w:type="dxa"/>
                  <w:gridSpan w:val="12"/>
                  <w:noWrap w:val="0"/>
                  <w:vAlign w:val="center"/>
                </w:tcPr>
                <w:p w14:paraId="687A68EA">
                  <w:pPr>
                    <w:spacing w:line="240" w:lineRule="atLeast"/>
                    <w:jc w:val="center"/>
                    <w:rPr>
                      <w:rFonts w:hint="eastAsia"/>
                      <w:color w:val="auto"/>
                      <w:sz w:val="18"/>
                      <w:szCs w:val="18"/>
                    </w:rPr>
                  </w:pPr>
                  <w:r>
                    <w:rPr>
                      <w:rFonts w:hint="eastAsia"/>
                      <w:color w:val="auto"/>
                      <w:sz w:val="18"/>
                      <w:szCs w:val="18"/>
                    </w:rPr>
                    <w:t>易燃易爆</w:t>
                  </w:r>
                  <w:r>
                    <w:rPr>
                      <w:color w:val="auto"/>
                      <w:sz w:val="18"/>
                      <w:szCs w:val="18"/>
                    </w:rPr>
                    <w:sym w:font="Wingdings 2" w:char="0052"/>
                  </w:r>
                </w:p>
              </w:tc>
            </w:tr>
            <w:tr w14:paraId="59D0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73CBCD7E">
                  <w:pPr>
                    <w:spacing w:line="240" w:lineRule="atLeast"/>
                    <w:jc w:val="center"/>
                    <w:rPr>
                      <w:rFonts w:hint="eastAsia"/>
                      <w:color w:val="auto"/>
                      <w:sz w:val="18"/>
                      <w:szCs w:val="18"/>
                    </w:rPr>
                  </w:pPr>
                </w:p>
              </w:tc>
              <w:tc>
                <w:tcPr>
                  <w:tcW w:w="1554" w:type="dxa"/>
                  <w:noWrap w:val="0"/>
                  <w:vAlign w:val="center"/>
                </w:tcPr>
                <w:p w14:paraId="1022E3B0">
                  <w:pPr>
                    <w:spacing w:line="240" w:lineRule="atLeast"/>
                    <w:jc w:val="center"/>
                    <w:rPr>
                      <w:rFonts w:hint="eastAsia"/>
                      <w:color w:val="auto"/>
                      <w:sz w:val="18"/>
                      <w:szCs w:val="18"/>
                    </w:rPr>
                  </w:pPr>
                  <w:r>
                    <w:rPr>
                      <w:rFonts w:hint="eastAsia"/>
                      <w:color w:val="auto"/>
                      <w:sz w:val="18"/>
                      <w:szCs w:val="18"/>
                    </w:rPr>
                    <w:t>环境风险类型</w:t>
                  </w:r>
                </w:p>
              </w:tc>
              <w:tc>
                <w:tcPr>
                  <w:tcW w:w="2706" w:type="dxa"/>
                  <w:gridSpan w:val="6"/>
                  <w:noWrap w:val="0"/>
                  <w:vAlign w:val="center"/>
                </w:tcPr>
                <w:p w14:paraId="4E253272">
                  <w:pPr>
                    <w:spacing w:line="240" w:lineRule="atLeast"/>
                    <w:jc w:val="center"/>
                    <w:rPr>
                      <w:rFonts w:hint="eastAsia"/>
                      <w:color w:val="auto"/>
                      <w:sz w:val="18"/>
                      <w:szCs w:val="18"/>
                    </w:rPr>
                  </w:pPr>
                  <w:r>
                    <w:rPr>
                      <w:rFonts w:hint="eastAsia"/>
                      <w:color w:val="auto"/>
                      <w:sz w:val="18"/>
                      <w:szCs w:val="18"/>
                    </w:rPr>
                    <w:t>泄漏</w:t>
                  </w:r>
                  <w:r>
                    <w:rPr>
                      <w:color w:val="auto"/>
                      <w:sz w:val="18"/>
                      <w:szCs w:val="18"/>
                    </w:rPr>
                    <w:sym w:font="Wingdings 2" w:char="0052"/>
                  </w:r>
                </w:p>
              </w:tc>
              <w:tc>
                <w:tcPr>
                  <w:tcW w:w="3914" w:type="dxa"/>
                  <w:gridSpan w:val="12"/>
                  <w:noWrap w:val="0"/>
                  <w:vAlign w:val="center"/>
                </w:tcPr>
                <w:p w14:paraId="15E89E47">
                  <w:pPr>
                    <w:spacing w:line="240" w:lineRule="atLeast"/>
                    <w:jc w:val="center"/>
                    <w:rPr>
                      <w:rFonts w:hint="eastAsia"/>
                      <w:color w:val="auto"/>
                      <w:sz w:val="18"/>
                      <w:szCs w:val="18"/>
                    </w:rPr>
                  </w:pPr>
                  <w:r>
                    <w:rPr>
                      <w:rFonts w:hint="eastAsia"/>
                      <w:color w:val="auto"/>
                      <w:sz w:val="18"/>
                      <w:szCs w:val="18"/>
                    </w:rPr>
                    <w:t>火灾、爆炸引发伴生、次生污染物排放</w:t>
                  </w:r>
                  <w:r>
                    <w:rPr>
                      <w:color w:val="auto"/>
                      <w:sz w:val="18"/>
                      <w:szCs w:val="18"/>
                    </w:rPr>
                    <w:sym w:font="Wingdings 2" w:char="0052"/>
                  </w:r>
                </w:p>
              </w:tc>
            </w:tr>
            <w:tr w14:paraId="339A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77496EEE">
                  <w:pPr>
                    <w:spacing w:line="240" w:lineRule="atLeast"/>
                    <w:jc w:val="center"/>
                    <w:rPr>
                      <w:rFonts w:hint="eastAsia"/>
                      <w:color w:val="auto"/>
                      <w:sz w:val="18"/>
                      <w:szCs w:val="18"/>
                    </w:rPr>
                  </w:pPr>
                </w:p>
              </w:tc>
              <w:tc>
                <w:tcPr>
                  <w:tcW w:w="1554" w:type="dxa"/>
                  <w:noWrap w:val="0"/>
                  <w:vAlign w:val="center"/>
                </w:tcPr>
                <w:p w14:paraId="7CE948C7">
                  <w:pPr>
                    <w:spacing w:line="240" w:lineRule="atLeast"/>
                    <w:jc w:val="center"/>
                    <w:rPr>
                      <w:rFonts w:hint="eastAsia"/>
                      <w:color w:val="auto"/>
                      <w:sz w:val="18"/>
                      <w:szCs w:val="18"/>
                    </w:rPr>
                  </w:pPr>
                  <w:r>
                    <w:rPr>
                      <w:rFonts w:hint="eastAsia"/>
                      <w:color w:val="auto"/>
                      <w:sz w:val="18"/>
                      <w:szCs w:val="18"/>
                    </w:rPr>
                    <w:t>影响途径</w:t>
                  </w:r>
                </w:p>
              </w:tc>
              <w:tc>
                <w:tcPr>
                  <w:tcW w:w="1584" w:type="dxa"/>
                  <w:gridSpan w:val="3"/>
                  <w:noWrap w:val="0"/>
                  <w:vAlign w:val="center"/>
                </w:tcPr>
                <w:p w14:paraId="4F944DC9">
                  <w:pPr>
                    <w:spacing w:line="240" w:lineRule="atLeast"/>
                    <w:jc w:val="center"/>
                    <w:rPr>
                      <w:rFonts w:hint="eastAsia"/>
                      <w:color w:val="auto"/>
                      <w:sz w:val="18"/>
                      <w:szCs w:val="18"/>
                    </w:rPr>
                  </w:pPr>
                  <w:r>
                    <w:rPr>
                      <w:rFonts w:hint="eastAsia"/>
                      <w:color w:val="auto"/>
                      <w:sz w:val="18"/>
                      <w:szCs w:val="18"/>
                    </w:rPr>
                    <w:t>大气</w:t>
                  </w:r>
                  <w:r>
                    <w:rPr>
                      <w:color w:val="auto"/>
                      <w:sz w:val="18"/>
                      <w:szCs w:val="18"/>
                    </w:rPr>
                    <w:sym w:font="Wingdings 2" w:char="0052"/>
                  </w:r>
                </w:p>
              </w:tc>
              <w:tc>
                <w:tcPr>
                  <w:tcW w:w="2350" w:type="dxa"/>
                  <w:gridSpan w:val="8"/>
                  <w:noWrap w:val="0"/>
                  <w:vAlign w:val="center"/>
                </w:tcPr>
                <w:p w14:paraId="0CD97299">
                  <w:pPr>
                    <w:spacing w:line="240" w:lineRule="atLeast"/>
                    <w:jc w:val="center"/>
                    <w:rPr>
                      <w:rFonts w:hint="eastAsia"/>
                      <w:color w:val="auto"/>
                      <w:sz w:val="18"/>
                      <w:szCs w:val="18"/>
                    </w:rPr>
                  </w:pPr>
                  <w:r>
                    <w:rPr>
                      <w:rFonts w:hint="eastAsia"/>
                      <w:color w:val="auto"/>
                      <w:sz w:val="18"/>
                      <w:szCs w:val="18"/>
                    </w:rPr>
                    <w:t>地表水</w:t>
                  </w:r>
                  <w:r>
                    <w:rPr>
                      <w:color w:val="auto"/>
                      <w:sz w:val="18"/>
                      <w:szCs w:val="18"/>
                    </w:rPr>
                    <w:sym w:font="Wingdings 2" w:char="0052"/>
                  </w:r>
                </w:p>
              </w:tc>
              <w:tc>
                <w:tcPr>
                  <w:tcW w:w="2686" w:type="dxa"/>
                  <w:gridSpan w:val="7"/>
                  <w:noWrap w:val="0"/>
                  <w:vAlign w:val="center"/>
                </w:tcPr>
                <w:p w14:paraId="4468F2D5">
                  <w:pPr>
                    <w:spacing w:line="240" w:lineRule="atLeast"/>
                    <w:jc w:val="center"/>
                    <w:rPr>
                      <w:rFonts w:hint="eastAsia"/>
                      <w:color w:val="auto"/>
                      <w:sz w:val="18"/>
                      <w:szCs w:val="18"/>
                    </w:rPr>
                  </w:pPr>
                  <w:r>
                    <w:rPr>
                      <w:rFonts w:hint="eastAsia"/>
                      <w:color w:val="auto"/>
                      <w:sz w:val="18"/>
                      <w:szCs w:val="18"/>
                    </w:rPr>
                    <w:t>地下水</w:t>
                  </w:r>
                  <w:r>
                    <w:rPr>
                      <w:color w:val="auto"/>
                      <w:sz w:val="18"/>
                      <w:szCs w:val="18"/>
                    </w:rPr>
                    <w:sym w:font="Wingdings 2" w:char="0052"/>
                  </w:r>
                </w:p>
              </w:tc>
            </w:tr>
            <w:tr w14:paraId="3E04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19DB349A">
                  <w:pPr>
                    <w:spacing w:line="240" w:lineRule="atLeast"/>
                    <w:jc w:val="center"/>
                    <w:rPr>
                      <w:rFonts w:hint="eastAsia"/>
                      <w:color w:val="auto"/>
                      <w:sz w:val="18"/>
                      <w:szCs w:val="18"/>
                    </w:rPr>
                  </w:pPr>
                  <w:r>
                    <w:rPr>
                      <w:rFonts w:hint="eastAsia"/>
                      <w:color w:val="auto"/>
                      <w:sz w:val="18"/>
                      <w:szCs w:val="18"/>
                    </w:rPr>
                    <w:t>事故情形分析</w:t>
                  </w:r>
                </w:p>
              </w:tc>
              <w:tc>
                <w:tcPr>
                  <w:tcW w:w="1343" w:type="dxa"/>
                  <w:gridSpan w:val="2"/>
                  <w:noWrap w:val="0"/>
                  <w:vAlign w:val="center"/>
                </w:tcPr>
                <w:p w14:paraId="30DC8815">
                  <w:pPr>
                    <w:spacing w:line="240" w:lineRule="atLeast"/>
                    <w:jc w:val="center"/>
                    <w:rPr>
                      <w:rFonts w:hint="eastAsia"/>
                      <w:color w:val="auto"/>
                      <w:sz w:val="18"/>
                      <w:szCs w:val="18"/>
                    </w:rPr>
                  </w:pPr>
                  <w:r>
                    <w:rPr>
                      <w:rFonts w:hint="eastAsia"/>
                      <w:color w:val="auto"/>
                      <w:sz w:val="18"/>
                      <w:szCs w:val="18"/>
                    </w:rPr>
                    <w:t>源强设定方法</w:t>
                  </w:r>
                </w:p>
              </w:tc>
              <w:tc>
                <w:tcPr>
                  <w:tcW w:w="1421" w:type="dxa"/>
                  <w:gridSpan w:val="5"/>
                  <w:noWrap w:val="0"/>
                  <w:vAlign w:val="center"/>
                </w:tcPr>
                <w:p w14:paraId="289F2F2B">
                  <w:pPr>
                    <w:spacing w:line="240" w:lineRule="atLeast"/>
                    <w:jc w:val="center"/>
                    <w:rPr>
                      <w:rFonts w:hint="eastAsia"/>
                      <w:color w:val="auto"/>
                      <w:sz w:val="18"/>
                      <w:szCs w:val="18"/>
                    </w:rPr>
                  </w:pPr>
                  <w:r>
                    <w:rPr>
                      <w:rFonts w:hint="eastAsia"/>
                      <w:color w:val="auto"/>
                      <w:sz w:val="18"/>
                      <w:szCs w:val="18"/>
                    </w:rPr>
                    <w:t>计算法</w:t>
                  </w:r>
                  <w:r>
                    <w:rPr>
                      <w:color w:val="auto"/>
                      <w:sz w:val="18"/>
                      <w:szCs w:val="18"/>
                    </w:rPr>
                    <w:sym w:font="Wingdings 2" w:char="00A3"/>
                  </w:r>
                </w:p>
              </w:tc>
              <w:tc>
                <w:tcPr>
                  <w:tcW w:w="1762" w:type="dxa"/>
                  <w:gridSpan w:val="7"/>
                  <w:noWrap w:val="0"/>
                  <w:vAlign w:val="center"/>
                </w:tcPr>
                <w:p w14:paraId="7DE8FF77">
                  <w:pPr>
                    <w:spacing w:line="240" w:lineRule="atLeast"/>
                    <w:jc w:val="center"/>
                    <w:rPr>
                      <w:rFonts w:hint="eastAsia"/>
                      <w:color w:val="auto"/>
                      <w:sz w:val="18"/>
                      <w:szCs w:val="18"/>
                    </w:rPr>
                  </w:pPr>
                  <w:r>
                    <w:rPr>
                      <w:rFonts w:hint="eastAsia"/>
                      <w:color w:val="auto"/>
                      <w:sz w:val="18"/>
                      <w:szCs w:val="18"/>
                    </w:rPr>
                    <w:t>经验估算法</w:t>
                  </w:r>
                  <w:r>
                    <w:rPr>
                      <w:color w:val="auto"/>
                      <w:sz w:val="18"/>
                      <w:szCs w:val="18"/>
                    </w:rPr>
                    <w:sym w:font="Wingdings 2" w:char="0052"/>
                  </w:r>
                </w:p>
              </w:tc>
              <w:tc>
                <w:tcPr>
                  <w:tcW w:w="2094" w:type="dxa"/>
                  <w:gridSpan w:val="4"/>
                  <w:noWrap w:val="0"/>
                  <w:vAlign w:val="center"/>
                </w:tcPr>
                <w:p w14:paraId="583978C2">
                  <w:pPr>
                    <w:spacing w:line="240" w:lineRule="atLeast"/>
                    <w:jc w:val="center"/>
                    <w:rPr>
                      <w:rFonts w:hint="eastAsia"/>
                      <w:color w:val="auto"/>
                      <w:sz w:val="18"/>
                      <w:szCs w:val="18"/>
                    </w:rPr>
                  </w:pPr>
                  <w:r>
                    <w:rPr>
                      <w:rFonts w:hint="eastAsia"/>
                      <w:color w:val="auto"/>
                      <w:sz w:val="18"/>
                      <w:szCs w:val="18"/>
                    </w:rPr>
                    <w:t>其他估算法</w:t>
                  </w:r>
                  <w:r>
                    <w:rPr>
                      <w:color w:val="auto"/>
                      <w:sz w:val="18"/>
                      <w:szCs w:val="18"/>
                    </w:rPr>
                    <w:sym w:font="Wingdings 2" w:char="00A3"/>
                  </w:r>
                </w:p>
              </w:tc>
            </w:tr>
            <w:tr w14:paraId="1889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noWrap w:val="0"/>
                  <w:vAlign w:val="center"/>
                </w:tcPr>
                <w:p w14:paraId="46E67441">
                  <w:pPr>
                    <w:spacing w:line="240" w:lineRule="atLeast"/>
                    <w:jc w:val="center"/>
                    <w:rPr>
                      <w:rFonts w:hint="eastAsia"/>
                      <w:color w:val="auto"/>
                      <w:sz w:val="18"/>
                      <w:szCs w:val="18"/>
                    </w:rPr>
                  </w:pPr>
                  <w:r>
                    <w:rPr>
                      <w:rFonts w:hint="eastAsia"/>
                      <w:color w:val="auto"/>
                      <w:sz w:val="18"/>
                      <w:szCs w:val="18"/>
                    </w:rPr>
                    <w:t>风</w:t>
                  </w:r>
                </w:p>
                <w:p w14:paraId="256EF6A0">
                  <w:pPr>
                    <w:spacing w:line="240" w:lineRule="atLeast"/>
                    <w:jc w:val="center"/>
                    <w:rPr>
                      <w:rFonts w:hint="eastAsia"/>
                      <w:color w:val="auto"/>
                      <w:sz w:val="18"/>
                      <w:szCs w:val="18"/>
                    </w:rPr>
                  </w:pPr>
                  <w:r>
                    <w:rPr>
                      <w:rFonts w:hint="eastAsia"/>
                      <w:color w:val="auto"/>
                      <w:sz w:val="18"/>
                      <w:szCs w:val="18"/>
                    </w:rPr>
                    <w:t>险</w:t>
                  </w:r>
                </w:p>
                <w:p w14:paraId="33942226">
                  <w:pPr>
                    <w:spacing w:line="240" w:lineRule="atLeast"/>
                    <w:jc w:val="center"/>
                    <w:rPr>
                      <w:rFonts w:hint="eastAsia"/>
                      <w:color w:val="auto"/>
                      <w:sz w:val="18"/>
                      <w:szCs w:val="18"/>
                    </w:rPr>
                  </w:pPr>
                  <w:r>
                    <w:rPr>
                      <w:rFonts w:hint="eastAsia"/>
                      <w:color w:val="auto"/>
                      <w:sz w:val="18"/>
                      <w:szCs w:val="18"/>
                    </w:rPr>
                    <w:t>预</w:t>
                  </w:r>
                </w:p>
                <w:p w14:paraId="0F73F9ED">
                  <w:pPr>
                    <w:spacing w:line="240" w:lineRule="atLeast"/>
                    <w:jc w:val="center"/>
                    <w:rPr>
                      <w:rFonts w:hint="eastAsia"/>
                      <w:color w:val="auto"/>
                      <w:sz w:val="18"/>
                      <w:szCs w:val="18"/>
                    </w:rPr>
                  </w:pPr>
                  <w:r>
                    <w:rPr>
                      <w:rFonts w:hint="eastAsia"/>
                      <w:color w:val="auto"/>
                      <w:sz w:val="18"/>
                      <w:szCs w:val="18"/>
                    </w:rPr>
                    <w:t>测</w:t>
                  </w:r>
                </w:p>
                <w:p w14:paraId="09B4302E">
                  <w:pPr>
                    <w:spacing w:line="240" w:lineRule="atLeast"/>
                    <w:jc w:val="center"/>
                    <w:rPr>
                      <w:rFonts w:hint="eastAsia"/>
                      <w:color w:val="auto"/>
                      <w:sz w:val="18"/>
                      <w:szCs w:val="18"/>
                    </w:rPr>
                  </w:pPr>
                  <w:r>
                    <w:rPr>
                      <w:rFonts w:hint="eastAsia"/>
                      <w:color w:val="auto"/>
                      <w:sz w:val="18"/>
                      <w:szCs w:val="18"/>
                    </w:rPr>
                    <w:t>与</w:t>
                  </w:r>
                </w:p>
                <w:p w14:paraId="7A0FF68E">
                  <w:pPr>
                    <w:spacing w:line="240" w:lineRule="atLeast"/>
                    <w:jc w:val="center"/>
                    <w:rPr>
                      <w:rFonts w:hint="eastAsia"/>
                      <w:color w:val="auto"/>
                      <w:sz w:val="18"/>
                      <w:szCs w:val="18"/>
                    </w:rPr>
                  </w:pPr>
                  <w:r>
                    <w:rPr>
                      <w:rFonts w:hint="eastAsia"/>
                      <w:color w:val="auto"/>
                      <w:sz w:val="18"/>
                      <w:szCs w:val="18"/>
                    </w:rPr>
                    <w:t>评</w:t>
                  </w:r>
                </w:p>
                <w:p w14:paraId="23345B25">
                  <w:pPr>
                    <w:spacing w:line="240" w:lineRule="atLeast"/>
                    <w:jc w:val="center"/>
                    <w:rPr>
                      <w:rFonts w:hint="eastAsia"/>
                      <w:color w:val="auto"/>
                      <w:sz w:val="18"/>
                      <w:szCs w:val="18"/>
                    </w:rPr>
                  </w:pPr>
                  <w:r>
                    <w:rPr>
                      <w:rFonts w:hint="eastAsia"/>
                      <w:color w:val="auto"/>
                      <w:sz w:val="18"/>
                      <w:szCs w:val="18"/>
                    </w:rPr>
                    <w:t>价</w:t>
                  </w:r>
                </w:p>
              </w:tc>
              <w:tc>
                <w:tcPr>
                  <w:tcW w:w="1554" w:type="dxa"/>
                  <w:vMerge w:val="restart"/>
                  <w:noWrap w:val="0"/>
                  <w:vAlign w:val="center"/>
                </w:tcPr>
                <w:p w14:paraId="358C6DCC">
                  <w:pPr>
                    <w:spacing w:line="240" w:lineRule="atLeast"/>
                    <w:jc w:val="center"/>
                    <w:rPr>
                      <w:rFonts w:hint="eastAsia"/>
                      <w:color w:val="auto"/>
                      <w:sz w:val="18"/>
                      <w:szCs w:val="18"/>
                    </w:rPr>
                  </w:pPr>
                  <w:r>
                    <w:rPr>
                      <w:rFonts w:hint="eastAsia"/>
                      <w:color w:val="auto"/>
                      <w:sz w:val="18"/>
                      <w:szCs w:val="18"/>
                    </w:rPr>
                    <w:t>大气</w:t>
                  </w:r>
                </w:p>
              </w:tc>
              <w:tc>
                <w:tcPr>
                  <w:tcW w:w="1343" w:type="dxa"/>
                  <w:gridSpan w:val="2"/>
                  <w:noWrap w:val="0"/>
                  <w:vAlign w:val="center"/>
                </w:tcPr>
                <w:p w14:paraId="4F1D7DC4">
                  <w:pPr>
                    <w:spacing w:line="240" w:lineRule="atLeast"/>
                    <w:jc w:val="center"/>
                    <w:rPr>
                      <w:rFonts w:hint="eastAsia"/>
                      <w:color w:val="auto"/>
                      <w:sz w:val="18"/>
                      <w:szCs w:val="18"/>
                    </w:rPr>
                  </w:pPr>
                  <w:r>
                    <w:rPr>
                      <w:rFonts w:hint="eastAsia"/>
                      <w:color w:val="auto"/>
                      <w:sz w:val="18"/>
                      <w:szCs w:val="18"/>
                    </w:rPr>
                    <w:t>预测模型</w:t>
                  </w:r>
                </w:p>
              </w:tc>
              <w:tc>
                <w:tcPr>
                  <w:tcW w:w="1421" w:type="dxa"/>
                  <w:gridSpan w:val="5"/>
                  <w:noWrap w:val="0"/>
                  <w:vAlign w:val="center"/>
                </w:tcPr>
                <w:p w14:paraId="34BB2A7A">
                  <w:pPr>
                    <w:spacing w:line="240" w:lineRule="atLeast"/>
                    <w:jc w:val="center"/>
                    <w:rPr>
                      <w:color w:val="auto"/>
                      <w:sz w:val="18"/>
                      <w:szCs w:val="18"/>
                    </w:rPr>
                  </w:pPr>
                  <w:r>
                    <w:rPr>
                      <w:rFonts w:hint="eastAsia"/>
                      <w:color w:val="auto"/>
                      <w:sz w:val="18"/>
                      <w:szCs w:val="18"/>
                    </w:rPr>
                    <w:t>SLAB</w:t>
                  </w:r>
                  <w:r>
                    <w:rPr>
                      <w:color w:val="auto"/>
                      <w:sz w:val="18"/>
                      <w:szCs w:val="18"/>
                    </w:rPr>
                    <w:sym w:font="Wingdings 2" w:char="0052"/>
                  </w:r>
                </w:p>
              </w:tc>
              <w:tc>
                <w:tcPr>
                  <w:tcW w:w="1762" w:type="dxa"/>
                  <w:gridSpan w:val="7"/>
                  <w:noWrap w:val="0"/>
                  <w:vAlign w:val="center"/>
                </w:tcPr>
                <w:p w14:paraId="32BAEC6C">
                  <w:pPr>
                    <w:spacing w:line="240" w:lineRule="atLeast"/>
                    <w:jc w:val="center"/>
                    <w:rPr>
                      <w:color w:val="auto"/>
                      <w:sz w:val="18"/>
                      <w:szCs w:val="18"/>
                    </w:rPr>
                  </w:pPr>
                  <w:r>
                    <w:rPr>
                      <w:rFonts w:hint="eastAsia"/>
                      <w:color w:val="auto"/>
                      <w:sz w:val="18"/>
                      <w:szCs w:val="18"/>
                    </w:rPr>
                    <w:t>AFTOX</w:t>
                  </w:r>
                  <w:r>
                    <w:rPr>
                      <w:color w:val="auto"/>
                      <w:sz w:val="18"/>
                      <w:szCs w:val="18"/>
                    </w:rPr>
                    <w:sym w:font="Wingdings 2" w:char="0052"/>
                  </w:r>
                </w:p>
              </w:tc>
              <w:tc>
                <w:tcPr>
                  <w:tcW w:w="2094" w:type="dxa"/>
                  <w:gridSpan w:val="4"/>
                  <w:noWrap w:val="0"/>
                  <w:vAlign w:val="center"/>
                </w:tcPr>
                <w:p w14:paraId="305B651F">
                  <w:pPr>
                    <w:spacing w:line="240" w:lineRule="atLeast"/>
                    <w:jc w:val="center"/>
                    <w:rPr>
                      <w:color w:val="auto"/>
                      <w:sz w:val="18"/>
                      <w:szCs w:val="18"/>
                    </w:rPr>
                  </w:pPr>
                  <w:r>
                    <w:rPr>
                      <w:rFonts w:hint="eastAsia"/>
                      <w:color w:val="auto"/>
                      <w:sz w:val="18"/>
                      <w:szCs w:val="18"/>
                    </w:rPr>
                    <w:t>其他</w:t>
                  </w:r>
                  <w:r>
                    <w:rPr>
                      <w:color w:val="auto"/>
                      <w:sz w:val="18"/>
                      <w:szCs w:val="18"/>
                    </w:rPr>
                    <w:sym w:font="Wingdings 2" w:char="00A3"/>
                  </w:r>
                </w:p>
              </w:tc>
            </w:tr>
            <w:tr w14:paraId="2618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07C69479">
                  <w:pPr>
                    <w:spacing w:line="240" w:lineRule="atLeast"/>
                    <w:jc w:val="center"/>
                    <w:rPr>
                      <w:color w:val="auto"/>
                      <w:sz w:val="18"/>
                      <w:szCs w:val="18"/>
                    </w:rPr>
                  </w:pPr>
                </w:p>
              </w:tc>
              <w:tc>
                <w:tcPr>
                  <w:tcW w:w="1554" w:type="dxa"/>
                  <w:vMerge w:val="continue"/>
                  <w:noWrap w:val="0"/>
                  <w:vAlign w:val="center"/>
                </w:tcPr>
                <w:p w14:paraId="66DF496B">
                  <w:pPr>
                    <w:spacing w:line="240" w:lineRule="atLeast"/>
                    <w:jc w:val="center"/>
                    <w:rPr>
                      <w:color w:val="auto"/>
                      <w:sz w:val="18"/>
                      <w:szCs w:val="18"/>
                    </w:rPr>
                  </w:pPr>
                </w:p>
              </w:tc>
              <w:tc>
                <w:tcPr>
                  <w:tcW w:w="1343" w:type="dxa"/>
                  <w:gridSpan w:val="2"/>
                  <w:vMerge w:val="restart"/>
                  <w:noWrap w:val="0"/>
                  <w:vAlign w:val="center"/>
                </w:tcPr>
                <w:p w14:paraId="62AB2D5C">
                  <w:pPr>
                    <w:spacing w:line="240" w:lineRule="atLeast"/>
                    <w:jc w:val="center"/>
                    <w:rPr>
                      <w:rFonts w:hint="eastAsia"/>
                      <w:color w:val="auto"/>
                      <w:sz w:val="18"/>
                      <w:szCs w:val="18"/>
                    </w:rPr>
                  </w:pPr>
                  <w:r>
                    <w:rPr>
                      <w:rFonts w:hint="eastAsia"/>
                      <w:color w:val="auto"/>
                      <w:sz w:val="18"/>
                      <w:szCs w:val="18"/>
                    </w:rPr>
                    <w:t>预测结果</w:t>
                  </w:r>
                </w:p>
              </w:tc>
              <w:tc>
                <w:tcPr>
                  <w:tcW w:w="5277" w:type="dxa"/>
                  <w:gridSpan w:val="16"/>
                  <w:noWrap w:val="0"/>
                  <w:vAlign w:val="center"/>
                </w:tcPr>
                <w:p w14:paraId="50C2FC29">
                  <w:pPr>
                    <w:spacing w:line="240" w:lineRule="atLeast"/>
                    <w:jc w:val="center"/>
                    <w:rPr>
                      <w:color w:val="auto"/>
                      <w:sz w:val="18"/>
                      <w:szCs w:val="18"/>
                    </w:rPr>
                  </w:pPr>
                  <w:r>
                    <w:rPr>
                      <w:rFonts w:hint="eastAsia"/>
                      <w:color w:val="auto"/>
                      <w:sz w:val="18"/>
                      <w:szCs w:val="18"/>
                    </w:rPr>
                    <w:t>大气毒性终点浓度-1，最大影响范围</w:t>
                  </w:r>
                  <w:r>
                    <w:rPr>
                      <w:rFonts w:hint="eastAsia"/>
                      <w:color w:val="auto"/>
                      <w:sz w:val="18"/>
                      <w:szCs w:val="18"/>
                      <w:u w:val="single"/>
                    </w:rPr>
                    <w:t xml:space="preserve">/ </w:t>
                  </w:r>
                  <w:r>
                    <w:rPr>
                      <w:rFonts w:hint="eastAsia"/>
                      <w:color w:val="auto"/>
                      <w:sz w:val="18"/>
                      <w:szCs w:val="18"/>
                    </w:rPr>
                    <w:t>m</w:t>
                  </w:r>
                </w:p>
              </w:tc>
            </w:tr>
            <w:tr w14:paraId="03AA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0BE05463">
                  <w:pPr>
                    <w:spacing w:line="240" w:lineRule="atLeast"/>
                    <w:jc w:val="center"/>
                    <w:rPr>
                      <w:color w:val="auto"/>
                      <w:sz w:val="18"/>
                      <w:szCs w:val="18"/>
                    </w:rPr>
                  </w:pPr>
                </w:p>
              </w:tc>
              <w:tc>
                <w:tcPr>
                  <w:tcW w:w="1554" w:type="dxa"/>
                  <w:vMerge w:val="continue"/>
                  <w:noWrap w:val="0"/>
                  <w:vAlign w:val="center"/>
                </w:tcPr>
                <w:p w14:paraId="5D1747C8">
                  <w:pPr>
                    <w:spacing w:line="240" w:lineRule="atLeast"/>
                    <w:jc w:val="center"/>
                    <w:rPr>
                      <w:color w:val="auto"/>
                      <w:sz w:val="18"/>
                      <w:szCs w:val="18"/>
                    </w:rPr>
                  </w:pPr>
                </w:p>
              </w:tc>
              <w:tc>
                <w:tcPr>
                  <w:tcW w:w="1343" w:type="dxa"/>
                  <w:gridSpan w:val="2"/>
                  <w:vMerge w:val="continue"/>
                  <w:noWrap w:val="0"/>
                  <w:vAlign w:val="center"/>
                </w:tcPr>
                <w:p w14:paraId="525031A4">
                  <w:pPr>
                    <w:spacing w:line="240" w:lineRule="atLeast"/>
                    <w:jc w:val="center"/>
                    <w:rPr>
                      <w:color w:val="auto"/>
                      <w:sz w:val="18"/>
                      <w:szCs w:val="18"/>
                    </w:rPr>
                  </w:pPr>
                </w:p>
              </w:tc>
              <w:tc>
                <w:tcPr>
                  <w:tcW w:w="5277" w:type="dxa"/>
                  <w:gridSpan w:val="16"/>
                  <w:noWrap w:val="0"/>
                  <w:vAlign w:val="center"/>
                </w:tcPr>
                <w:p w14:paraId="371D993C">
                  <w:pPr>
                    <w:spacing w:line="240" w:lineRule="atLeast"/>
                    <w:jc w:val="center"/>
                    <w:rPr>
                      <w:color w:val="auto"/>
                      <w:sz w:val="18"/>
                      <w:szCs w:val="18"/>
                    </w:rPr>
                  </w:pPr>
                  <w:r>
                    <w:rPr>
                      <w:rFonts w:hint="eastAsia"/>
                      <w:color w:val="auto"/>
                      <w:sz w:val="18"/>
                      <w:szCs w:val="18"/>
                    </w:rPr>
                    <w:t>大气毒性终点浓度-2，最大影响范围</w:t>
                  </w:r>
                  <w:r>
                    <w:rPr>
                      <w:rFonts w:hint="eastAsia"/>
                      <w:color w:val="auto"/>
                      <w:sz w:val="18"/>
                      <w:szCs w:val="18"/>
                      <w:u w:val="single"/>
                    </w:rPr>
                    <w:t xml:space="preserve">/ </w:t>
                  </w:r>
                  <w:r>
                    <w:rPr>
                      <w:rFonts w:hint="eastAsia"/>
                      <w:color w:val="auto"/>
                      <w:sz w:val="18"/>
                      <w:szCs w:val="18"/>
                    </w:rPr>
                    <w:t>m</w:t>
                  </w:r>
                </w:p>
              </w:tc>
            </w:tr>
            <w:tr w14:paraId="280D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586CAABC">
                  <w:pPr>
                    <w:spacing w:line="240" w:lineRule="atLeast"/>
                    <w:jc w:val="center"/>
                    <w:rPr>
                      <w:rFonts w:hint="eastAsia"/>
                      <w:color w:val="auto"/>
                      <w:sz w:val="18"/>
                      <w:szCs w:val="18"/>
                    </w:rPr>
                  </w:pPr>
                </w:p>
              </w:tc>
              <w:tc>
                <w:tcPr>
                  <w:tcW w:w="1554" w:type="dxa"/>
                  <w:noWrap w:val="0"/>
                  <w:vAlign w:val="center"/>
                </w:tcPr>
                <w:p w14:paraId="279A482A">
                  <w:pPr>
                    <w:spacing w:line="240" w:lineRule="atLeast"/>
                    <w:jc w:val="center"/>
                    <w:rPr>
                      <w:rFonts w:hint="eastAsia"/>
                      <w:color w:val="auto"/>
                      <w:sz w:val="18"/>
                      <w:szCs w:val="18"/>
                    </w:rPr>
                  </w:pPr>
                  <w:r>
                    <w:rPr>
                      <w:rFonts w:hint="eastAsia"/>
                      <w:color w:val="auto"/>
                      <w:sz w:val="18"/>
                      <w:szCs w:val="18"/>
                    </w:rPr>
                    <w:t>地表水</w:t>
                  </w:r>
                </w:p>
              </w:tc>
              <w:tc>
                <w:tcPr>
                  <w:tcW w:w="6620" w:type="dxa"/>
                  <w:gridSpan w:val="18"/>
                  <w:noWrap w:val="0"/>
                  <w:vAlign w:val="center"/>
                </w:tcPr>
                <w:p w14:paraId="1B9795A4">
                  <w:pPr>
                    <w:spacing w:line="240" w:lineRule="atLeast"/>
                    <w:jc w:val="center"/>
                    <w:rPr>
                      <w:rFonts w:hint="eastAsia"/>
                      <w:color w:val="auto"/>
                      <w:sz w:val="18"/>
                      <w:szCs w:val="18"/>
                    </w:rPr>
                  </w:pPr>
                  <w:r>
                    <w:rPr>
                      <w:rFonts w:hint="eastAsia"/>
                      <w:color w:val="auto"/>
                      <w:sz w:val="18"/>
                      <w:szCs w:val="18"/>
                    </w:rPr>
                    <w:t>最近环境敏感目标长江，到达时间</w:t>
                  </w:r>
                  <w:r>
                    <w:rPr>
                      <w:rFonts w:hint="eastAsia"/>
                      <w:color w:val="auto"/>
                      <w:sz w:val="18"/>
                      <w:szCs w:val="18"/>
                      <w:u w:val="single"/>
                    </w:rPr>
                    <w:t xml:space="preserve">  /   </w:t>
                  </w:r>
                  <w:r>
                    <w:rPr>
                      <w:rFonts w:hint="eastAsia"/>
                      <w:color w:val="auto"/>
                      <w:sz w:val="18"/>
                      <w:szCs w:val="18"/>
                    </w:rPr>
                    <w:t>h</w:t>
                  </w:r>
                </w:p>
              </w:tc>
            </w:tr>
            <w:tr w14:paraId="0FCE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04E00296">
                  <w:pPr>
                    <w:spacing w:line="240" w:lineRule="atLeast"/>
                    <w:jc w:val="center"/>
                    <w:rPr>
                      <w:rFonts w:hint="eastAsia"/>
                      <w:color w:val="auto"/>
                      <w:sz w:val="18"/>
                      <w:szCs w:val="18"/>
                    </w:rPr>
                  </w:pPr>
                </w:p>
              </w:tc>
              <w:tc>
                <w:tcPr>
                  <w:tcW w:w="1554" w:type="dxa"/>
                  <w:vMerge w:val="restart"/>
                  <w:noWrap w:val="0"/>
                  <w:vAlign w:val="center"/>
                </w:tcPr>
                <w:p w14:paraId="0049C3F3">
                  <w:pPr>
                    <w:spacing w:line="240" w:lineRule="atLeast"/>
                    <w:jc w:val="center"/>
                    <w:rPr>
                      <w:rFonts w:hint="eastAsia"/>
                      <w:color w:val="auto"/>
                      <w:sz w:val="18"/>
                      <w:szCs w:val="18"/>
                    </w:rPr>
                  </w:pPr>
                  <w:r>
                    <w:rPr>
                      <w:rFonts w:hint="eastAsia"/>
                      <w:color w:val="auto"/>
                      <w:sz w:val="18"/>
                      <w:szCs w:val="18"/>
                    </w:rPr>
                    <w:t>地下水</w:t>
                  </w:r>
                </w:p>
              </w:tc>
              <w:tc>
                <w:tcPr>
                  <w:tcW w:w="6620" w:type="dxa"/>
                  <w:gridSpan w:val="18"/>
                  <w:noWrap w:val="0"/>
                  <w:vAlign w:val="center"/>
                </w:tcPr>
                <w:p w14:paraId="7699524E">
                  <w:pPr>
                    <w:spacing w:line="240" w:lineRule="atLeast"/>
                    <w:jc w:val="center"/>
                    <w:rPr>
                      <w:color w:val="auto"/>
                      <w:sz w:val="18"/>
                      <w:szCs w:val="18"/>
                    </w:rPr>
                  </w:pPr>
                  <w:r>
                    <w:rPr>
                      <w:rFonts w:hint="eastAsia"/>
                      <w:color w:val="auto"/>
                      <w:sz w:val="18"/>
                      <w:szCs w:val="18"/>
                    </w:rPr>
                    <w:t>下游厂区边界到达时间</w:t>
                  </w:r>
                  <w:r>
                    <w:rPr>
                      <w:rFonts w:hint="eastAsia"/>
                      <w:color w:val="auto"/>
                      <w:sz w:val="18"/>
                      <w:szCs w:val="18"/>
                      <w:u w:val="single"/>
                    </w:rPr>
                    <w:t xml:space="preserve"> /</w:t>
                  </w:r>
                </w:p>
              </w:tc>
            </w:tr>
            <w:tr w14:paraId="5DEB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noWrap w:val="0"/>
                  <w:vAlign w:val="center"/>
                </w:tcPr>
                <w:p w14:paraId="4AD82B43">
                  <w:pPr>
                    <w:spacing w:line="240" w:lineRule="atLeast"/>
                    <w:jc w:val="center"/>
                    <w:rPr>
                      <w:color w:val="auto"/>
                      <w:sz w:val="18"/>
                      <w:szCs w:val="18"/>
                    </w:rPr>
                  </w:pPr>
                </w:p>
              </w:tc>
              <w:tc>
                <w:tcPr>
                  <w:tcW w:w="1554" w:type="dxa"/>
                  <w:vMerge w:val="continue"/>
                  <w:noWrap w:val="0"/>
                  <w:vAlign w:val="center"/>
                </w:tcPr>
                <w:p w14:paraId="0F27DA37">
                  <w:pPr>
                    <w:spacing w:line="240" w:lineRule="atLeast"/>
                    <w:jc w:val="center"/>
                    <w:rPr>
                      <w:color w:val="auto"/>
                      <w:sz w:val="18"/>
                      <w:szCs w:val="18"/>
                    </w:rPr>
                  </w:pPr>
                </w:p>
              </w:tc>
              <w:tc>
                <w:tcPr>
                  <w:tcW w:w="6620" w:type="dxa"/>
                  <w:gridSpan w:val="18"/>
                  <w:noWrap w:val="0"/>
                  <w:vAlign w:val="center"/>
                </w:tcPr>
                <w:p w14:paraId="75CF8346">
                  <w:pPr>
                    <w:spacing w:line="240" w:lineRule="atLeast"/>
                    <w:jc w:val="center"/>
                    <w:rPr>
                      <w:rFonts w:hint="eastAsia"/>
                      <w:color w:val="auto"/>
                      <w:sz w:val="18"/>
                      <w:szCs w:val="18"/>
                    </w:rPr>
                  </w:pPr>
                  <w:r>
                    <w:rPr>
                      <w:rFonts w:hint="eastAsia"/>
                      <w:color w:val="auto"/>
                      <w:sz w:val="18"/>
                      <w:szCs w:val="18"/>
                    </w:rPr>
                    <w:t>最近环境敏感目标</w:t>
                  </w:r>
                  <w:r>
                    <w:rPr>
                      <w:rFonts w:hint="eastAsia"/>
                      <w:color w:val="auto"/>
                      <w:sz w:val="18"/>
                      <w:szCs w:val="18"/>
                      <w:u w:val="single"/>
                    </w:rPr>
                    <w:t>/</w:t>
                  </w:r>
                  <w:r>
                    <w:rPr>
                      <w:rFonts w:hint="eastAsia"/>
                      <w:color w:val="auto"/>
                      <w:sz w:val="18"/>
                      <w:szCs w:val="18"/>
                    </w:rPr>
                    <w:t>，到达时间</w:t>
                  </w:r>
                  <w:r>
                    <w:rPr>
                      <w:rFonts w:hint="eastAsia"/>
                      <w:color w:val="auto"/>
                      <w:sz w:val="18"/>
                      <w:szCs w:val="18"/>
                      <w:u w:val="single"/>
                    </w:rPr>
                    <w:t xml:space="preserve">   / </w:t>
                  </w:r>
                  <w:r>
                    <w:rPr>
                      <w:rFonts w:hint="eastAsia"/>
                      <w:color w:val="auto"/>
                      <w:sz w:val="18"/>
                      <w:szCs w:val="18"/>
                    </w:rPr>
                    <w:t>d</w:t>
                  </w:r>
                </w:p>
              </w:tc>
            </w:tr>
            <w:tr w14:paraId="5B0D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47744CEC">
                  <w:pPr>
                    <w:spacing w:line="240" w:lineRule="atLeast"/>
                    <w:jc w:val="center"/>
                    <w:rPr>
                      <w:rFonts w:hint="eastAsia"/>
                      <w:color w:val="auto"/>
                      <w:sz w:val="18"/>
                      <w:szCs w:val="18"/>
                    </w:rPr>
                  </w:pPr>
                  <w:r>
                    <w:rPr>
                      <w:rFonts w:hint="eastAsia"/>
                      <w:color w:val="auto"/>
                      <w:sz w:val="18"/>
                      <w:szCs w:val="18"/>
                    </w:rPr>
                    <w:t>重点风险防范措施</w:t>
                  </w:r>
                </w:p>
              </w:tc>
              <w:tc>
                <w:tcPr>
                  <w:tcW w:w="6620" w:type="dxa"/>
                  <w:gridSpan w:val="18"/>
                  <w:noWrap w:val="0"/>
                  <w:vAlign w:val="center"/>
                </w:tcPr>
                <w:p w14:paraId="3A256012">
                  <w:pPr>
                    <w:spacing w:line="240" w:lineRule="atLeast"/>
                    <w:jc w:val="center"/>
                    <w:rPr>
                      <w:color w:val="auto"/>
                      <w:sz w:val="18"/>
                      <w:szCs w:val="18"/>
                    </w:rPr>
                  </w:pPr>
                  <w:r>
                    <w:rPr>
                      <w:rFonts w:ascii="宋体" w:hAnsi="宋体" w:eastAsia="宋体" w:cs="宋体"/>
                      <w:b w:val="0"/>
                      <w:bCs w:val="0"/>
                      <w:color w:val="auto"/>
                      <w:sz w:val="20"/>
                      <w:szCs w:val="20"/>
                    </w:rPr>
                    <w:t>建设事故应急池</w:t>
                  </w:r>
                  <w:r>
                    <w:rPr>
                      <w:rFonts w:ascii="TimesNewRomanPSMT" w:hAnsi="TimesNewRomanPSMT" w:eastAsia="TimesNewRomanPSMT" w:cs="TimesNewRomanPSMT"/>
                      <w:b w:val="0"/>
                      <w:bCs w:val="0"/>
                      <w:color w:val="auto"/>
                      <w:sz w:val="20"/>
                      <w:szCs w:val="20"/>
                    </w:rPr>
                    <w:t>1</w:t>
                  </w:r>
                  <w:r>
                    <w:rPr>
                      <w:rFonts w:ascii="宋体" w:hAnsi="宋体" w:eastAsia="宋体" w:cs="宋体"/>
                      <w:b w:val="0"/>
                      <w:bCs w:val="0"/>
                      <w:color w:val="auto"/>
                      <w:sz w:val="20"/>
                      <w:szCs w:val="20"/>
                    </w:rPr>
                    <w:t>座，总有效容积</w:t>
                  </w:r>
                  <w:r>
                    <w:rPr>
                      <w:rFonts w:hint="eastAsia" w:ascii="宋体" w:hAnsi="宋体" w:eastAsia="宋体" w:cs="宋体"/>
                      <w:b w:val="0"/>
                      <w:bCs w:val="0"/>
                      <w:color w:val="auto"/>
                      <w:sz w:val="20"/>
                      <w:szCs w:val="20"/>
                      <w:lang w:val="en-US" w:eastAsia="zh-CN"/>
                    </w:rPr>
                    <w:t>300</w:t>
                  </w:r>
                  <w:r>
                    <w:rPr>
                      <w:rFonts w:hint="eastAsia" w:ascii="TimesNewRomanPSMT" w:hAnsi="TimesNewRomanPSMT" w:eastAsia="宋体" w:cs="TimesNewRomanPSMT"/>
                      <w:b w:val="0"/>
                      <w:bCs w:val="0"/>
                      <w:color w:val="auto"/>
                      <w:sz w:val="20"/>
                      <w:szCs w:val="20"/>
                      <w:lang w:val="en-US" w:eastAsia="zh-CN"/>
                    </w:rPr>
                    <w:t>m</w:t>
                  </w:r>
                  <w:r>
                    <w:rPr>
                      <w:rFonts w:hint="eastAsia" w:ascii="TimesNewRomanPSMT" w:hAnsi="TimesNewRomanPSMT" w:eastAsia="宋体" w:cs="TimesNewRomanPSMT"/>
                      <w:b w:val="0"/>
                      <w:bCs w:val="0"/>
                      <w:color w:val="auto"/>
                      <w:sz w:val="20"/>
                      <w:szCs w:val="20"/>
                      <w:vertAlign w:val="superscript"/>
                      <w:lang w:val="en-US" w:eastAsia="zh-CN"/>
                    </w:rPr>
                    <w:t>3</w:t>
                  </w:r>
                  <w:r>
                    <w:rPr>
                      <w:rFonts w:ascii="宋体" w:hAnsi="宋体" w:eastAsia="宋体" w:cs="宋体"/>
                      <w:b w:val="0"/>
                      <w:bCs w:val="0"/>
                      <w:color w:val="auto"/>
                      <w:sz w:val="20"/>
                      <w:szCs w:val="20"/>
                    </w:rPr>
                    <w:t>；配套建设事故水收集管网以及事故水切断阀事故水通过自流的方式进行收集；编制环境风险应急预案</w:t>
                  </w:r>
                </w:p>
              </w:tc>
            </w:tr>
            <w:tr w14:paraId="27F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gridSpan w:val="2"/>
                  <w:noWrap w:val="0"/>
                  <w:vAlign w:val="center"/>
                </w:tcPr>
                <w:p w14:paraId="03ABAB35">
                  <w:pPr>
                    <w:spacing w:line="240" w:lineRule="atLeast"/>
                    <w:jc w:val="center"/>
                    <w:rPr>
                      <w:rFonts w:hint="eastAsia"/>
                      <w:color w:val="auto"/>
                      <w:sz w:val="18"/>
                      <w:szCs w:val="18"/>
                    </w:rPr>
                  </w:pPr>
                  <w:r>
                    <w:rPr>
                      <w:rFonts w:hint="eastAsia"/>
                      <w:color w:val="auto"/>
                      <w:sz w:val="18"/>
                      <w:szCs w:val="18"/>
                    </w:rPr>
                    <w:t>评价结论与建议</w:t>
                  </w:r>
                </w:p>
              </w:tc>
              <w:tc>
                <w:tcPr>
                  <w:tcW w:w="6620" w:type="dxa"/>
                  <w:gridSpan w:val="18"/>
                  <w:noWrap w:val="0"/>
                  <w:vAlign w:val="center"/>
                </w:tcPr>
                <w:p w14:paraId="3F8B346A">
                  <w:pPr>
                    <w:spacing w:line="240" w:lineRule="atLeast"/>
                    <w:rPr>
                      <w:rFonts w:hint="eastAsia"/>
                      <w:color w:val="auto"/>
                      <w:sz w:val="18"/>
                      <w:szCs w:val="18"/>
                    </w:rPr>
                  </w:pPr>
                  <w:r>
                    <w:rPr>
                      <w:rFonts w:hint="eastAsia"/>
                      <w:color w:val="auto"/>
                      <w:sz w:val="18"/>
                      <w:szCs w:val="18"/>
                    </w:rPr>
                    <w:t>项目在认真落实各项环境风险防范、应急与减缓措施的基础上，可使风险事故对环境的危害得到有效控制，风险水平可接受。</w:t>
                  </w:r>
                </w:p>
              </w:tc>
            </w:tr>
            <w:tr w14:paraId="7C7A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gridSpan w:val="20"/>
                  <w:noWrap w:val="0"/>
                  <w:vAlign w:val="center"/>
                </w:tcPr>
                <w:p w14:paraId="77803741">
                  <w:pPr>
                    <w:spacing w:line="240" w:lineRule="atLeast"/>
                    <w:rPr>
                      <w:color w:val="auto"/>
                      <w:sz w:val="18"/>
                      <w:szCs w:val="18"/>
                    </w:rPr>
                  </w:pPr>
                  <w:r>
                    <w:rPr>
                      <w:rFonts w:hint="eastAsia"/>
                      <w:color w:val="auto"/>
                      <w:sz w:val="18"/>
                      <w:szCs w:val="18"/>
                    </w:rPr>
                    <w:t>注：“</w:t>
                  </w:r>
                  <w:r>
                    <w:rPr>
                      <w:color w:val="auto"/>
                      <w:sz w:val="18"/>
                      <w:szCs w:val="18"/>
                    </w:rPr>
                    <w:sym w:font="Wingdings 2" w:char="00A3"/>
                  </w:r>
                  <w:r>
                    <w:rPr>
                      <w:rFonts w:hint="eastAsia"/>
                      <w:color w:val="auto"/>
                      <w:sz w:val="18"/>
                      <w:szCs w:val="18"/>
                    </w:rPr>
                    <w:t>”为勾选项，“</w:t>
                  </w:r>
                  <w:r>
                    <w:rPr>
                      <w:rFonts w:hint="eastAsia" w:cs="宋体"/>
                      <w:color w:val="auto"/>
                      <w:sz w:val="18"/>
                      <w:szCs w:val="18"/>
                      <w:u w:val="single"/>
                    </w:rPr>
                    <w:t xml:space="preserve">     </w:t>
                  </w:r>
                  <w:r>
                    <w:rPr>
                      <w:rFonts w:hint="eastAsia"/>
                      <w:color w:val="auto"/>
                      <w:sz w:val="18"/>
                      <w:szCs w:val="18"/>
                    </w:rPr>
                    <w:t>”为填写项。</w:t>
                  </w:r>
                </w:p>
              </w:tc>
            </w:tr>
          </w:tbl>
          <w:p w14:paraId="076E3EF9">
            <w:pPr>
              <w:pStyle w:val="5"/>
              <w:numPr>
                <w:ilvl w:val="0"/>
                <w:numId w:val="0"/>
              </w:numPr>
              <w:ind w:leftChars="0"/>
              <w:rPr>
                <w:rFonts w:hint="eastAsia"/>
                <w:color w:val="auto"/>
                <w:lang w:val="en-US" w:eastAsia="zh-CN"/>
              </w:rPr>
            </w:pPr>
          </w:p>
        </w:tc>
      </w:tr>
    </w:tbl>
    <w:p w14:paraId="3B0A1508">
      <w:pPr>
        <w:pStyle w:val="138"/>
        <w:numPr>
          <w:ilvl w:val="0"/>
          <w:numId w:val="0"/>
        </w:numPr>
        <w:ind w:left="1417"/>
        <w:rPr>
          <w:color w:val="auto"/>
          <w:kern w:val="21"/>
        </w:rPr>
      </w:pPr>
      <w:r>
        <w:rPr>
          <w:color w:val="auto"/>
          <w:kern w:val="21"/>
        </w:rPr>
        <w:t xml:space="preserve"> </w:t>
      </w:r>
    </w:p>
    <w:p w14:paraId="1F452044">
      <w:pPr>
        <w:spacing w:line="360" w:lineRule="auto"/>
        <w:jc w:val="center"/>
        <w:outlineLvl w:val="0"/>
        <w:rPr>
          <w:rFonts w:hint="eastAsia"/>
          <w:color w:val="auto"/>
          <w:sz w:val="24"/>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80E0000" w:usb2="0000001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Segoe UI Emoji">
    <w:panose1 w:val="020B0502040204020203"/>
    <w:charset w:val="00"/>
    <w:family w:val="swiss"/>
    <w:pitch w:val="default"/>
    <w:sig w:usb0="00000001" w:usb1="02000000" w:usb2="08000000" w:usb3="00000000" w:csb0="0000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CIDFont + F3">
    <w:altName w:val="Segoe Print"/>
    <w:panose1 w:val="00000000000000000000"/>
    <w:charset w:val="00"/>
    <w:family w:val="auto"/>
    <w:pitch w:val="default"/>
    <w:sig w:usb0="00000000" w:usb1="00000000" w:usb2="00000000" w:usb3="00000000" w:csb0="00040001" w:csb1="00000000"/>
  </w:font>
  <w:font w:name="CIDFont + F5">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TimesNewRomanPS-ItalicMT">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3835D">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38827">
    <w:pPr>
      <w:pStyle w:val="23"/>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Style w:val="39"/>
        <w:rFonts w:ascii="宋体" w:hAnsi="宋体"/>
        <w:sz w:val="26"/>
        <w:szCs w:val="26"/>
      </w:rPr>
      <w:fldChar w:fldCharType="begin"/>
    </w:r>
    <w:r>
      <w:rPr>
        <w:rStyle w:val="39"/>
        <w:rFonts w:ascii="宋体" w:hAnsi="宋体"/>
        <w:sz w:val="26"/>
        <w:szCs w:val="26"/>
      </w:rPr>
      <w:instrText xml:space="preserve">PAGE  </w:instrText>
    </w:r>
    <w:r>
      <w:rPr>
        <w:rStyle w:val="39"/>
        <w:rFonts w:ascii="宋体" w:hAnsi="宋体"/>
        <w:sz w:val="26"/>
        <w:szCs w:val="26"/>
      </w:rPr>
      <w:fldChar w:fldCharType="separate"/>
    </w:r>
    <w:r>
      <w:rPr>
        <w:rStyle w:val="39"/>
        <w:rFonts w:ascii="宋体" w:hAnsi="宋体"/>
        <w:sz w:val="26"/>
        <w:szCs w:val="26"/>
        <w:lang/>
      </w:rPr>
      <w:t>28</w:t>
    </w:r>
    <w:r>
      <w:rPr>
        <w:rStyle w:val="39"/>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14:paraId="0156A9F1">
    <w:pPr>
      <w:pStyle w:val="2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46084">
    <w:pPr>
      <w:pStyle w:val="23"/>
      <w:framePr w:wrap="around" w:vAnchor="text" w:hAnchor="margin" w:xAlign="outside" w:y="1"/>
      <w:ind w:firstLine="560"/>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Style w:val="39"/>
        <w:rFonts w:ascii="宋体" w:hAnsi="宋体"/>
        <w:sz w:val="26"/>
        <w:szCs w:val="26"/>
      </w:rPr>
      <w:fldChar w:fldCharType="begin"/>
    </w:r>
    <w:r>
      <w:rPr>
        <w:rStyle w:val="39"/>
        <w:rFonts w:ascii="宋体" w:hAnsi="宋体"/>
        <w:sz w:val="26"/>
        <w:szCs w:val="26"/>
      </w:rPr>
      <w:instrText xml:space="preserve">PAGE  </w:instrText>
    </w:r>
    <w:r>
      <w:rPr>
        <w:rStyle w:val="39"/>
        <w:rFonts w:ascii="宋体" w:hAnsi="宋体"/>
        <w:sz w:val="26"/>
        <w:szCs w:val="26"/>
      </w:rPr>
      <w:fldChar w:fldCharType="separate"/>
    </w:r>
    <w:r>
      <w:rPr>
        <w:rStyle w:val="39"/>
        <w:rFonts w:ascii="宋体" w:hAnsi="宋体"/>
        <w:sz w:val="26"/>
        <w:szCs w:val="26"/>
        <w:lang/>
      </w:rPr>
      <w:t>63</w:t>
    </w:r>
    <w:r>
      <w:rPr>
        <w:rStyle w:val="39"/>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14:paraId="0ED285E1">
    <w:pPr>
      <w:pStyle w:val="23"/>
      <w:ind w:right="360" w:firstLine="360"/>
      <w:jc w:val="center"/>
    </w:pPr>
  </w:p>
  <w:p w14:paraId="056ABBBA"/>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D0FE8"/>
    <w:multiLevelType w:val="singleLevel"/>
    <w:tmpl w:val="8F3D0FE8"/>
    <w:lvl w:ilvl="0" w:tentative="0">
      <w:start w:val="3"/>
      <w:numFmt w:val="decimal"/>
      <w:suff w:val="nothing"/>
      <w:lvlText w:val="%1）"/>
      <w:lvlJc w:val="left"/>
    </w:lvl>
  </w:abstractNum>
  <w:abstractNum w:abstractNumId="1">
    <w:nsid w:val="A446F158"/>
    <w:multiLevelType w:val="singleLevel"/>
    <w:tmpl w:val="A446F158"/>
    <w:lvl w:ilvl="0" w:tentative="0">
      <w:start w:val="4"/>
      <w:numFmt w:val="decimal"/>
      <w:suff w:val="nothing"/>
      <w:lvlText w:val="%1、"/>
      <w:lvlJc w:val="left"/>
    </w:lvl>
  </w:abstractNum>
  <w:abstractNum w:abstractNumId="2">
    <w:nsid w:val="A6EC38AF"/>
    <w:multiLevelType w:val="singleLevel"/>
    <w:tmpl w:val="A6EC38AF"/>
    <w:lvl w:ilvl="0" w:tentative="0">
      <w:start w:val="2"/>
      <w:numFmt w:val="decimal"/>
      <w:suff w:val="nothing"/>
      <w:lvlText w:val="%1、"/>
      <w:lvlJc w:val="left"/>
    </w:lvl>
  </w:abstractNum>
  <w:abstractNum w:abstractNumId="3">
    <w:nsid w:val="0000000A"/>
    <w:multiLevelType w:val="multilevel"/>
    <w:tmpl w:val="0000000A"/>
    <w:lvl w:ilvl="0" w:tentative="0">
      <w:start w:val="1"/>
      <w:numFmt w:val="bullet"/>
      <w:pStyle w:val="12"/>
      <w:lvlText w:val=""/>
      <w:lvlJc w:val="left"/>
      <w:pPr>
        <w:tabs>
          <w:tab w:val="left" w:pos="927"/>
        </w:tabs>
        <w:ind w:left="927" w:hanging="360"/>
      </w:pPr>
      <w:rPr>
        <w:rFonts w:hint="default" w:ascii="Wingdings" w:hAnsi="Wingdings"/>
      </w:rPr>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4">
    <w:nsid w:val="130C698D"/>
    <w:multiLevelType w:val="multilevel"/>
    <w:tmpl w:val="130C698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5">
    <w:nsid w:val="7AF6102A"/>
    <w:multiLevelType w:val="multilevel"/>
    <w:tmpl w:val="7AF6102A"/>
    <w:lvl w:ilvl="0" w:tentative="0">
      <w:start w:val="1"/>
      <w:numFmt w:val="decimal"/>
      <w:pStyle w:val="1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A14947"/>
    <w:rsid w:val="000006E9"/>
    <w:rsid w:val="00000D26"/>
    <w:rsid w:val="000060B3"/>
    <w:rsid w:val="00006238"/>
    <w:rsid w:val="00013BEB"/>
    <w:rsid w:val="00014425"/>
    <w:rsid w:val="000158EB"/>
    <w:rsid w:val="0001698B"/>
    <w:rsid w:val="00016A6C"/>
    <w:rsid w:val="00021703"/>
    <w:rsid w:val="0002216A"/>
    <w:rsid w:val="00022A0D"/>
    <w:rsid w:val="0002351C"/>
    <w:rsid w:val="00023F2C"/>
    <w:rsid w:val="00024166"/>
    <w:rsid w:val="00024DE8"/>
    <w:rsid w:val="000277D2"/>
    <w:rsid w:val="00030298"/>
    <w:rsid w:val="000309D9"/>
    <w:rsid w:val="000317D4"/>
    <w:rsid w:val="000323D0"/>
    <w:rsid w:val="00032C98"/>
    <w:rsid w:val="00032EE2"/>
    <w:rsid w:val="00033AF2"/>
    <w:rsid w:val="000343B5"/>
    <w:rsid w:val="0003485A"/>
    <w:rsid w:val="00040C6E"/>
    <w:rsid w:val="00040EBB"/>
    <w:rsid w:val="00040F6C"/>
    <w:rsid w:val="000433C9"/>
    <w:rsid w:val="0004364B"/>
    <w:rsid w:val="00043B98"/>
    <w:rsid w:val="00043EAF"/>
    <w:rsid w:val="0004437D"/>
    <w:rsid w:val="000448A4"/>
    <w:rsid w:val="00045D5D"/>
    <w:rsid w:val="000464EC"/>
    <w:rsid w:val="00047E11"/>
    <w:rsid w:val="00050CE7"/>
    <w:rsid w:val="00051241"/>
    <w:rsid w:val="00052586"/>
    <w:rsid w:val="000531A5"/>
    <w:rsid w:val="00057218"/>
    <w:rsid w:val="00057874"/>
    <w:rsid w:val="000601A9"/>
    <w:rsid w:val="00060F21"/>
    <w:rsid w:val="00061B1F"/>
    <w:rsid w:val="00062158"/>
    <w:rsid w:val="00062508"/>
    <w:rsid w:val="0006274A"/>
    <w:rsid w:val="00064102"/>
    <w:rsid w:val="0006477D"/>
    <w:rsid w:val="00065387"/>
    <w:rsid w:val="000663EA"/>
    <w:rsid w:val="00067D77"/>
    <w:rsid w:val="00070214"/>
    <w:rsid w:val="0007188A"/>
    <w:rsid w:val="000729C0"/>
    <w:rsid w:val="000733C4"/>
    <w:rsid w:val="00073C24"/>
    <w:rsid w:val="00074783"/>
    <w:rsid w:val="00074E78"/>
    <w:rsid w:val="000755CE"/>
    <w:rsid w:val="000806E6"/>
    <w:rsid w:val="0008070B"/>
    <w:rsid w:val="000810AC"/>
    <w:rsid w:val="0008159B"/>
    <w:rsid w:val="00081A02"/>
    <w:rsid w:val="00082231"/>
    <w:rsid w:val="0008307C"/>
    <w:rsid w:val="000834C9"/>
    <w:rsid w:val="0008374D"/>
    <w:rsid w:val="00083F86"/>
    <w:rsid w:val="00085E3B"/>
    <w:rsid w:val="00086AB9"/>
    <w:rsid w:val="00087906"/>
    <w:rsid w:val="00090F7A"/>
    <w:rsid w:val="00091E22"/>
    <w:rsid w:val="00092D38"/>
    <w:rsid w:val="0009377B"/>
    <w:rsid w:val="00094C60"/>
    <w:rsid w:val="00095D09"/>
    <w:rsid w:val="000960DA"/>
    <w:rsid w:val="00097737"/>
    <w:rsid w:val="000A20C9"/>
    <w:rsid w:val="000A25A6"/>
    <w:rsid w:val="000A4451"/>
    <w:rsid w:val="000A7918"/>
    <w:rsid w:val="000B058F"/>
    <w:rsid w:val="000B3FF2"/>
    <w:rsid w:val="000B4185"/>
    <w:rsid w:val="000B4467"/>
    <w:rsid w:val="000B4877"/>
    <w:rsid w:val="000B4DB9"/>
    <w:rsid w:val="000B533D"/>
    <w:rsid w:val="000B67E0"/>
    <w:rsid w:val="000B7620"/>
    <w:rsid w:val="000C08AC"/>
    <w:rsid w:val="000C09AC"/>
    <w:rsid w:val="000C1B9E"/>
    <w:rsid w:val="000C50CF"/>
    <w:rsid w:val="000C5911"/>
    <w:rsid w:val="000C6257"/>
    <w:rsid w:val="000C6429"/>
    <w:rsid w:val="000C767F"/>
    <w:rsid w:val="000D0CCE"/>
    <w:rsid w:val="000D19DC"/>
    <w:rsid w:val="000D34DD"/>
    <w:rsid w:val="000D58AC"/>
    <w:rsid w:val="000D5A44"/>
    <w:rsid w:val="000D633F"/>
    <w:rsid w:val="000E1396"/>
    <w:rsid w:val="000E20FE"/>
    <w:rsid w:val="000E28FE"/>
    <w:rsid w:val="000E34E6"/>
    <w:rsid w:val="000E372D"/>
    <w:rsid w:val="000E3820"/>
    <w:rsid w:val="000E3EC3"/>
    <w:rsid w:val="000E3ED2"/>
    <w:rsid w:val="000E6249"/>
    <w:rsid w:val="000E6447"/>
    <w:rsid w:val="000E6F61"/>
    <w:rsid w:val="000F0143"/>
    <w:rsid w:val="000F2DAF"/>
    <w:rsid w:val="000F40C1"/>
    <w:rsid w:val="000F5099"/>
    <w:rsid w:val="000F544F"/>
    <w:rsid w:val="000F603C"/>
    <w:rsid w:val="001012B7"/>
    <w:rsid w:val="00101480"/>
    <w:rsid w:val="001018B7"/>
    <w:rsid w:val="00102D22"/>
    <w:rsid w:val="00103F9D"/>
    <w:rsid w:val="001053D6"/>
    <w:rsid w:val="00105920"/>
    <w:rsid w:val="00107098"/>
    <w:rsid w:val="00111ACE"/>
    <w:rsid w:val="00112675"/>
    <w:rsid w:val="001138FB"/>
    <w:rsid w:val="00114ED3"/>
    <w:rsid w:val="0011647A"/>
    <w:rsid w:val="00116E06"/>
    <w:rsid w:val="00117BD2"/>
    <w:rsid w:val="00117D00"/>
    <w:rsid w:val="001200E3"/>
    <w:rsid w:val="00121905"/>
    <w:rsid w:val="00122D58"/>
    <w:rsid w:val="001233A3"/>
    <w:rsid w:val="001249D5"/>
    <w:rsid w:val="00127F15"/>
    <w:rsid w:val="001305CB"/>
    <w:rsid w:val="00131E0F"/>
    <w:rsid w:val="00131F42"/>
    <w:rsid w:val="001324B9"/>
    <w:rsid w:val="0013515F"/>
    <w:rsid w:val="00135265"/>
    <w:rsid w:val="001357F1"/>
    <w:rsid w:val="00135FB2"/>
    <w:rsid w:val="00140FA8"/>
    <w:rsid w:val="00141347"/>
    <w:rsid w:val="001421CE"/>
    <w:rsid w:val="00142FEB"/>
    <w:rsid w:val="0014355D"/>
    <w:rsid w:val="00143A2D"/>
    <w:rsid w:val="001443CF"/>
    <w:rsid w:val="00145901"/>
    <w:rsid w:val="00145A41"/>
    <w:rsid w:val="00145BBC"/>
    <w:rsid w:val="00145C38"/>
    <w:rsid w:val="00146B28"/>
    <w:rsid w:val="001474E7"/>
    <w:rsid w:val="0014760A"/>
    <w:rsid w:val="00151675"/>
    <w:rsid w:val="001525BA"/>
    <w:rsid w:val="0015410F"/>
    <w:rsid w:val="00155035"/>
    <w:rsid w:val="00155249"/>
    <w:rsid w:val="00155518"/>
    <w:rsid w:val="00156F7D"/>
    <w:rsid w:val="001571E0"/>
    <w:rsid w:val="00157435"/>
    <w:rsid w:val="001603F8"/>
    <w:rsid w:val="001604D9"/>
    <w:rsid w:val="00161BD6"/>
    <w:rsid w:val="001635FE"/>
    <w:rsid w:val="00167DF6"/>
    <w:rsid w:val="0017115E"/>
    <w:rsid w:val="0017300F"/>
    <w:rsid w:val="0017439F"/>
    <w:rsid w:val="0017504D"/>
    <w:rsid w:val="00176465"/>
    <w:rsid w:val="0017671A"/>
    <w:rsid w:val="001772C9"/>
    <w:rsid w:val="00177422"/>
    <w:rsid w:val="00177605"/>
    <w:rsid w:val="0018061B"/>
    <w:rsid w:val="00180BFF"/>
    <w:rsid w:val="00180CB4"/>
    <w:rsid w:val="00181B68"/>
    <w:rsid w:val="00183E0B"/>
    <w:rsid w:val="00184590"/>
    <w:rsid w:val="00185F6A"/>
    <w:rsid w:val="00186B25"/>
    <w:rsid w:val="00187063"/>
    <w:rsid w:val="001870D1"/>
    <w:rsid w:val="0018781E"/>
    <w:rsid w:val="00190A58"/>
    <w:rsid w:val="00190D8A"/>
    <w:rsid w:val="0019262D"/>
    <w:rsid w:val="00193414"/>
    <w:rsid w:val="00196CFF"/>
    <w:rsid w:val="001A1349"/>
    <w:rsid w:val="001A1B35"/>
    <w:rsid w:val="001A24E7"/>
    <w:rsid w:val="001A29E6"/>
    <w:rsid w:val="001A47CF"/>
    <w:rsid w:val="001A4896"/>
    <w:rsid w:val="001A48A2"/>
    <w:rsid w:val="001A49FE"/>
    <w:rsid w:val="001A50BE"/>
    <w:rsid w:val="001A6F61"/>
    <w:rsid w:val="001B018B"/>
    <w:rsid w:val="001B1C32"/>
    <w:rsid w:val="001B441E"/>
    <w:rsid w:val="001B5EDE"/>
    <w:rsid w:val="001B72B8"/>
    <w:rsid w:val="001C69B3"/>
    <w:rsid w:val="001C7EF4"/>
    <w:rsid w:val="001D121D"/>
    <w:rsid w:val="001D1D3F"/>
    <w:rsid w:val="001D27D1"/>
    <w:rsid w:val="001D2E80"/>
    <w:rsid w:val="001D4EF9"/>
    <w:rsid w:val="001D5011"/>
    <w:rsid w:val="001D5595"/>
    <w:rsid w:val="001D72F6"/>
    <w:rsid w:val="001D7874"/>
    <w:rsid w:val="001D7F22"/>
    <w:rsid w:val="001E04EF"/>
    <w:rsid w:val="001E1B45"/>
    <w:rsid w:val="001E1EB8"/>
    <w:rsid w:val="001E21B4"/>
    <w:rsid w:val="001E2F42"/>
    <w:rsid w:val="001E3434"/>
    <w:rsid w:val="001E393F"/>
    <w:rsid w:val="001E3952"/>
    <w:rsid w:val="001E3C60"/>
    <w:rsid w:val="001E445D"/>
    <w:rsid w:val="001E47EB"/>
    <w:rsid w:val="001E488F"/>
    <w:rsid w:val="001F0AF5"/>
    <w:rsid w:val="001F0DE0"/>
    <w:rsid w:val="001F0F17"/>
    <w:rsid w:val="001F3347"/>
    <w:rsid w:val="001F35CE"/>
    <w:rsid w:val="001F3E7E"/>
    <w:rsid w:val="001F51DB"/>
    <w:rsid w:val="001F5F91"/>
    <w:rsid w:val="001F6929"/>
    <w:rsid w:val="001F69E4"/>
    <w:rsid w:val="001F71F7"/>
    <w:rsid w:val="002000B9"/>
    <w:rsid w:val="00200ADD"/>
    <w:rsid w:val="00200DEC"/>
    <w:rsid w:val="002024A4"/>
    <w:rsid w:val="0020317C"/>
    <w:rsid w:val="0020367C"/>
    <w:rsid w:val="002060C0"/>
    <w:rsid w:val="002061F9"/>
    <w:rsid w:val="00207429"/>
    <w:rsid w:val="00207C12"/>
    <w:rsid w:val="002125B4"/>
    <w:rsid w:val="002128A5"/>
    <w:rsid w:val="00212ED6"/>
    <w:rsid w:val="002155B8"/>
    <w:rsid w:val="002179A8"/>
    <w:rsid w:val="00221E7F"/>
    <w:rsid w:val="00222388"/>
    <w:rsid w:val="002225C3"/>
    <w:rsid w:val="002228C2"/>
    <w:rsid w:val="00223EC8"/>
    <w:rsid w:val="00224839"/>
    <w:rsid w:val="002249B2"/>
    <w:rsid w:val="00225689"/>
    <w:rsid w:val="00226292"/>
    <w:rsid w:val="00226574"/>
    <w:rsid w:val="0022685D"/>
    <w:rsid w:val="002278EC"/>
    <w:rsid w:val="002300A7"/>
    <w:rsid w:val="00230740"/>
    <w:rsid w:val="002308FB"/>
    <w:rsid w:val="002311F6"/>
    <w:rsid w:val="00231890"/>
    <w:rsid w:val="00232235"/>
    <w:rsid w:val="002325A5"/>
    <w:rsid w:val="0023280E"/>
    <w:rsid w:val="00232A5D"/>
    <w:rsid w:val="00234FB9"/>
    <w:rsid w:val="00235124"/>
    <w:rsid w:val="00235130"/>
    <w:rsid w:val="00235E2F"/>
    <w:rsid w:val="00236A1A"/>
    <w:rsid w:val="00236C9C"/>
    <w:rsid w:val="00236EF2"/>
    <w:rsid w:val="002374AE"/>
    <w:rsid w:val="002377D1"/>
    <w:rsid w:val="00242295"/>
    <w:rsid w:val="002429DD"/>
    <w:rsid w:val="00242A8E"/>
    <w:rsid w:val="002433D9"/>
    <w:rsid w:val="002435D3"/>
    <w:rsid w:val="00244539"/>
    <w:rsid w:val="00244FE7"/>
    <w:rsid w:val="00247B75"/>
    <w:rsid w:val="002506BC"/>
    <w:rsid w:val="00250FB6"/>
    <w:rsid w:val="00252308"/>
    <w:rsid w:val="00252544"/>
    <w:rsid w:val="00254345"/>
    <w:rsid w:val="00254950"/>
    <w:rsid w:val="00254A6A"/>
    <w:rsid w:val="00254D84"/>
    <w:rsid w:val="00255F1B"/>
    <w:rsid w:val="00256077"/>
    <w:rsid w:val="00256D88"/>
    <w:rsid w:val="002574BE"/>
    <w:rsid w:val="002575B6"/>
    <w:rsid w:val="00257F92"/>
    <w:rsid w:val="00261B0A"/>
    <w:rsid w:val="002633C9"/>
    <w:rsid w:val="00263847"/>
    <w:rsid w:val="00264557"/>
    <w:rsid w:val="00267F21"/>
    <w:rsid w:val="00273C99"/>
    <w:rsid w:val="002747C4"/>
    <w:rsid w:val="00274838"/>
    <w:rsid w:val="00275E28"/>
    <w:rsid w:val="0027691C"/>
    <w:rsid w:val="002800F8"/>
    <w:rsid w:val="002803B4"/>
    <w:rsid w:val="002805A6"/>
    <w:rsid w:val="002805AB"/>
    <w:rsid w:val="00282F4C"/>
    <w:rsid w:val="00283742"/>
    <w:rsid w:val="00283FB3"/>
    <w:rsid w:val="00284204"/>
    <w:rsid w:val="00291773"/>
    <w:rsid w:val="0029217A"/>
    <w:rsid w:val="00292A7B"/>
    <w:rsid w:val="00293B4E"/>
    <w:rsid w:val="002943DA"/>
    <w:rsid w:val="002971AB"/>
    <w:rsid w:val="002977FE"/>
    <w:rsid w:val="002A00B6"/>
    <w:rsid w:val="002A168C"/>
    <w:rsid w:val="002A37B2"/>
    <w:rsid w:val="002A3D19"/>
    <w:rsid w:val="002A3DC7"/>
    <w:rsid w:val="002A3E8D"/>
    <w:rsid w:val="002A4007"/>
    <w:rsid w:val="002A409A"/>
    <w:rsid w:val="002A46C0"/>
    <w:rsid w:val="002A5EE0"/>
    <w:rsid w:val="002A6696"/>
    <w:rsid w:val="002A7092"/>
    <w:rsid w:val="002B2575"/>
    <w:rsid w:val="002B30AB"/>
    <w:rsid w:val="002B4535"/>
    <w:rsid w:val="002B4620"/>
    <w:rsid w:val="002B49E2"/>
    <w:rsid w:val="002B4BDE"/>
    <w:rsid w:val="002B5D4E"/>
    <w:rsid w:val="002B64D9"/>
    <w:rsid w:val="002B7272"/>
    <w:rsid w:val="002B7B00"/>
    <w:rsid w:val="002B7C44"/>
    <w:rsid w:val="002C1E56"/>
    <w:rsid w:val="002C1FE3"/>
    <w:rsid w:val="002C2B17"/>
    <w:rsid w:val="002C39A9"/>
    <w:rsid w:val="002C3BBF"/>
    <w:rsid w:val="002C45E5"/>
    <w:rsid w:val="002C5F21"/>
    <w:rsid w:val="002C77B3"/>
    <w:rsid w:val="002C7869"/>
    <w:rsid w:val="002D0A28"/>
    <w:rsid w:val="002D0F21"/>
    <w:rsid w:val="002D1C75"/>
    <w:rsid w:val="002D2510"/>
    <w:rsid w:val="002D318B"/>
    <w:rsid w:val="002D3949"/>
    <w:rsid w:val="002D3DD0"/>
    <w:rsid w:val="002D40BA"/>
    <w:rsid w:val="002D53BC"/>
    <w:rsid w:val="002D6AF9"/>
    <w:rsid w:val="002D6B69"/>
    <w:rsid w:val="002E0543"/>
    <w:rsid w:val="002E09FB"/>
    <w:rsid w:val="002E1F3A"/>
    <w:rsid w:val="002E298A"/>
    <w:rsid w:val="002E2B60"/>
    <w:rsid w:val="002E3885"/>
    <w:rsid w:val="002E3ED6"/>
    <w:rsid w:val="002E455A"/>
    <w:rsid w:val="002E602E"/>
    <w:rsid w:val="002F033B"/>
    <w:rsid w:val="002F09E1"/>
    <w:rsid w:val="002F0C06"/>
    <w:rsid w:val="002F1004"/>
    <w:rsid w:val="002F1F45"/>
    <w:rsid w:val="002F310E"/>
    <w:rsid w:val="002F3164"/>
    <w:rsid w:val="002F3F75"/>
    <w:rsid w:val="002F479E"/>
    <w:rsid w:val="002F537E"/>
    <w:rsid w:val="002F55B5"/>
    <w:rsid w:val="00301978"/>
    <w:rsid w:val="0030226B"/>
    <w:rsid w:val="0030332C"/>
    <w:rsid w:val="003051C2"/>
    <w:rsid w:val="00305CE7"/>
    <w:rsid w:val="00305FB7"/>
    <w:rsid w:val="00306515"/>
    <w:rsid w:val="00307D11"/>
    <w:rsid w:val="003100E7"/>
    <w:rsid w:val="0031042F"/>
    <w:rsid w:val="003112D9"/>
    <w:rsid w:val="003113BD"/>
    <w:rsid w:val="00312296"/>
    <w:rsid w:val="003125D4"/>
    <w:rsid w:val="00312AB8"/>
    <w:rsid w:val="00312C89"/>
    <w:rsid w:val="00312F72"/>
    <w:rsid w:val="00313A43"/>
    <w:rsid w:val="00314F0E"/>
    <w:rsid w:val="00320386"/>
    <w:rsid w:val="003204EB"/>
    <w:rsid w:val="00320751"/>
    <w:rsid w:val="00320C54"/>
    <w:rsid w:val="00321458"/>
    <w:rsid w:val="00321D8E"/>
    <w:rsid w:val="00325928"/>
    <w:rsid w:val="00325A82"/>
    <w:rsid w:val="003263D2"/>
    <w:rsid w:val="00330101"/>
    <w:rsid w:val="00330669"/>
    <w:rsid w:val="00330BC5"/>
    <w:rsid w:val="00332489"/>
    <w:rsid w:val="00332863"/>
    <w:rsid w:val="003328AB"/>
    <w:rsid w:val="003352F9"/>
    <w:rsid w:val="00335709"/>
    <w:rsid w:val="00335D9D"/>
    <w:rsid w:val="003362BC"/>
    <w:rsid w:val="0033684D"/>
    <w:rsid w:val="003370AF"/>
    <w:rsid w:val="00337B42"/>
    <w:rsid w:val="00340D0F"/>
    <w:rsid w:val="00341B42"/>
    <w:rsid w:val="0034265A"/>
    <w:rsid w:val="003427E9"/>
    <w:rsid w:val="0034348F"/>
    <w:rsid w:val="00344102"/>
    <w:rsid w:val="0034492A"/>
    <w:rsid w:val="003449E6"/>
    <w:rsid w:val="00345D28"/>
    <w:rsid w:val="00347689"/>
    <w:rsid w:val="00347E70"/>
    <w:rsid w:val="003518B7"/>
    <w:rsid w:val="00351FB6"/>
    <w:rsid w:val="00352B1B"/>
    <w:rsid w:val="00352B47"/>
    <w:rsid w:val="00353EA3"/>
    <w:rsid w:val="003547A9"/>
    <w:rsid w:val="00355C69"/>
    <w:rsid w:val="00356653"/>
    <w:rsid w:val="0035743F"/>
    <w:rsid w:val="00357BE2"/>
    <w:rsid w:val="00360EB2"/>
    <w:rsid w:val="00361014"/>
    <w:rsid w:val="0036170C"/>
    <w:rsid w:val="003625D2"/>
    <w:rsid w:val="00366033"/>
    <w:rsid w:val="00366591"/>
    <w:rsid w:val="00366E0F"/>
    <w:rsid w:val="00367BF3"/>
    <w:rsid w:val="00370E60"/>
    <w:rsid w:val="003716D4"/>
    <w:rsid w:val="0037361F"/>
    <w:rsid w:val="003736E7"/>
    <w:rsid w:val="0037396C"/>
    <w:rsid w:val="00375214"/>
    <w:rsid w:val="0037593B"/>
    <w:rsid w:val="003764B9"/>
    <w:rsid w:val="003767AE"/>
    <w:rsid w:val="00377CEE"/>
    <w:rsid w:val="00377EDB"/>
    <w:rsid w:val="0038127A"/>
    <w:rsid w:val="00381A72"/>
    <w:rsid w:val="003825D2"/>
    <w:rsid w:val="00383CD0"/>
    <w:rsid w:val="00384676"/>
    <w:rsid w:val="003864EF"/>
    <w:rsid w:val="00387323"/>
    <w:rsid w:val="003875F6"/>
    <w:rsid w:val="00387A17"/>
    <w:rsid w:val="003903A2"/>
    <w:rsid w:val="00390857"/>
    <w:rsid w:val="00392466"/>
    <w:rsid w:val="00393D84"/>
    <w:rsid w:val="003940CD"/>
    <w:rsid w:val="00394661"/>
    <w:rsid w:val="00396681"/>
    <w:rsid w:val="00396AC3"/>
    <w:rsid w:val="00396D05"/>
    <w:rsid w:val="003A0BF0"/>
    <w:rsid w:val="003A3F19"/>
    <w:rsid w:val="003A4114"/>
    <w:rsid w:val="003A4A58"/>
    <w:rsid w:val="003A4BF3"/>
    <w:rsid w:val="003A4F76"/>
    <w:rsid w:val="003B16D5"/>
    <w:rsid w:val="003B213E"/>
    <w:rsid w:val="003B2151"/>
    <w:rsid w:val="003B3545"/>
    <w:rsid w:val="003B3D99"/>
    <w:rsid w:val="003B420D"/>
    <w:rsid w:val="003B4324"/>
    <w:rsid w:val="003B4989"/>
    <w:rsid w:val="003B55F2"/>
    <w:rsid w:val="003B7FF3"/>
    <w:rsid w:val="003C069E"/>
    <w:rsid w:val="003C2696"/>
    <w:rsid w:val="003C36F1"/>
    <w:rsid w:val="003C3D60"/>
    <w:rsid w:val="003C644F"/>
    <w:rsid w:val="003C6B14"/>
    <w:rsid w:val="003C6C16"/>
    <w:rsid w:val="003D2A0D"/>
    <w:rsid w:val="003D2A88"/>
    <w:rsid w:val="003D3734"/>
    <w:rsid w:val="003D3887"/>
    <w:rsid w:val="003D3AF0"/>
    <w:rsid w:val="003D3E22"/>
    <w:rsid w:val="003D6D6D"/>
    <w:rsid w:val="003D794D"/>
    <w:rsid w:val="003E3058"/>
    <w:rsid w:val="003E43E3"/>
    <w:rsid w:val="003E76A9"/>
    <w:rsid w:val="003E78B9"/>
    <w:rsid w:val="003F0809"/>
    <w:rsid w:val="003F1892"/>
    <w:rsid w:val="003F24B4"/>
    <w:rsid w:val="003F66C6"/>
    <w:rsid w:val="003F6A8C"/>
    <w:rsid w:val="003F7037"/>
    <w:rsid w:val="003F755C"/>
    <w:rsid w:val="003F76E5"/>
    <w:rsid w:val="004001CB"/>
    <w:rsid w:val="004005D7"/>
    <w:rsid w:val="00401E9F"/>
    <w:rsid w:val="00403703"/>
    <w:rsid w:val="00405FC2"/>
    <w:rsid w:val="0040627F"/>
    <w:rsid w:val="00406A8B"/>
    <w:rsid w:val="00406F01"/>
    <w:rsid w:val="00406FE0"/>
    <w:rsid w:val="0040790C"/>
    <w:rsid w:val="00411726"/>
    <w:rsid w:val="004117B1"/>
    <w:rsid w:val="00415198"/>
    <w:rsid w:val="0041606E"/>
    <w:rsid w:val="00416D50"/>
    <w:rsid w:val="00416FD5"/>
    <w:rsid w:val="00417772"/>
    <w:rsid w:val="00420CF2"/>
    <w:rsid w:val="00420E6A"/>
    <w:rsid w:val="00421AD7"/>
    <w:rsid w:val="004226E0"/>
    <w:rsid w:val="00424364"/>
    <w:rsid w:val="00425825"/>
    <w:rsid w:val="00425A9E"/>
    <w:rsid w:val="00426D6B"/>
    <w:rsid w:val="0043014B"/>
    <w:rsid w:val="00430A94"/>
    <w:rsid w:val="0043167A"/>
    <w:rsid w:val="00431E6C"/>
    <w:rsid w:val="00433CE7"/>
    <w:rsid w:val="00433F93"/>
    <w:rsid w:val="00434F41"/>
    <w:rsid w:val="00434FB5"/>
    <w:rsid w:val="00435064"/>
    <w:rsid w:val="00437B44"/>
    <w:rsid w:val="004411BF"/>
    <w:rsid w:val="0044452E"/>
    <w:rsid w:val="00445845"/>
    <w:rsid w:val="004469F5"/>
    <w:rsid w:val="004508AA"/>
    <w:rsid w:val="00450E24"/>
    <w:rsid w:val="00451E82"/>
    <w:rsid w:val="004520CF"/>
    <w:rsid w:val="00452738"/>
    <w:rsid w:val="00453BE4"/>
    <w:rsid w:val="00454281"/>
    <w:rsid w:val="004552F6"/>
    <w:rsid w:val="004553CF"/>
    <w:rsid w:val="004558C1"/>
    <w:rsid w:val="00456091"/>
    <w:rsid w:val="004561DE"/>
    <w:rsid w:val="00456434"/>
    <w:rsid w:val="0045673E"/>
    <w:rsid w:val="004603E4"/>
    <w:rsid w:val="00462D25"/>
    <w:rsid w:val="004639B3"/>
    <w:rsid w:val="00464F52"/>
    <w:rsid w:val="00466311"/>
    <w:rsid w:val="00466321"/>
    <w:rsid w:val="00466F16"/>
    <w:rsid w:val="004676F6"/>
    <w:rsid w:val="00470A49"/>
    <w:rsid w:val="00472317"/>
    <w:rsid w:val="00476A66"/>
    <w:rsid w:val="00477A6E"/>
    <w:rsid w:val="00481E94"/>
    <w:rsid w:val="00481FC7"/>
    <w:rsid w:val="00482FE9"/>
    <w:rsid w:val="00483477"/>
    <w:rsid w:val="004837BF"/>
    <w:rsid w:val="00483A88"/>
    <w:rsid w:val="00484318"/>
    <w:rsid w:val="0048435B"/>
    <w:rsid w:val="004846F0"/>
    <w:rsid w:val="00484B9B"/>
    <w:rsid w:val="004855F6"/>
    <w:rsid w:val="00485AF8"/>
    <w:rsid w:val="00485F47"/>
    <w:rsid w:val="0048661E"/>
    <w:rsid w:val="004870DF"/>
    <w:rsid w:val="0048738F"/>
    <w:rsid w:val="004919E4"/>
    <w:rsid w:val="00493E7A"/>
    <w:rsid w:val="0049428E"/>
    <w:rsid w:val="0049466B"/>
    <w:rsid w:val="00494670"/>
    <w:rsid w:val="00494A65"/>
    <w:rsid w:val="00495B0D"/>
    <w:rsid w:val="004965F4"/>
    <w:rsid w:val="00496863"/>
    <w:rsid w:val="0049759F"/>
    <w:rsid w:val="004977E7"/>
    <w:rsid w:val="004A08A0"/>
    <w:rsid w:val="004A2553"/>
    <w:rsid w:val="004A2F38"/>
    <w:rsid w:val="004A3823"/>
    <w:rsid w:val="004A456F"/>
    <w:rsid w:val="004A58BF"/>
    <w:rsid w:val="004A6726"/>
    <w:rsid w:val="004A77F9"/>
    <w:rsid w:val="004B0C8D"/>
    <w:rsid w:val="004B1A02"/>
    <w:rsid w:val="004B20CF"/>
    <w:rsid w:val="004B2373"/>
    <w:rsid w:val="004B5781"/>
    <w:rsid w:val="004B7809"/>
    <w:rsid w:val="004C082C"/>
    <w:rsid w:val="004C16A7"/>
    <w:rsid w:val="004C1FBA"/>
    <w:rsid w:val="004C20E3"/>
    <w:rsid w:val="004C6C11"/>
    <w:rsid w:val="004D11EB"/>
    <w:rsid w:val="004D15E2"/>
    <w:rsid w:val="004D2944"/>
    <w:rsid w:val="004D2A9E"/>
    <w:rsid w:val="004D456C"/>
    <w:rsid w:val="004D7EA0"/>
    <w:rsid w:val="004E2C4B"/>
    <w:rsid w:val="004E418B"/>
    <w:rsid w:val="004E4588"/>
    <w:rsid w:val="004E6946"/>
    <w:rsid w:val="004E7246"/>
    <w:rsid w:val="004F13F0"/>
    <w:rsid w:val="004F1AD8"/>
    <w:rsid w:val="004F325F"/>
    <w:rsid w:val="004F3DA8"/>
    <w:rsid w:val="00500F2B"/>
    <w:rsid w:val="005039CB"/>
    <w:rsid w:val="0050558F"/>
    <w:rsid w:val="005056A4"/>
    <w:rsid w:val="00506286"/>
    <w:rsid w:val="00510813"/>
    <w:rsid w:val="0051118C"/>
    <w:rsid w:val="00511990"/>
    <w:rsid w:val="00511DE0"/>
    <w:rsid w:val="00512DE9"/>
    <w:rsid w:val="00513AD9"/>
    <w:rsid w:val="00513D84"/>
    <w:rsid w:val="00514870"/>
    <w:rsid w:val="00514B9B"/>
    <w:rsid w:val="00514C87"/>
    <w:rsid w:val="00516F36"/>
    <w:rsid w:val="00517C49"/>
    <w:rsid w:val="00517F02"/>
    <w:rsid w:val="005206DB"/>
    <w:rsid w:val="00524303"/>
    <w:rsid w:val="005248A0"/>
    <w:rsid w:val="005258A2"/>
    <w:rsid w:val="00526873"/>
    <w:rsid w:val="00526E28"/>
    <w:rsid w:val="005303DE"/>
    <w:rsid w:val="00530BC0"/>
    <w:rsid w:val="00531715"/>
    <w:rsid w:val="00531E85"/>
    <w:rsid w:val="00536EFF"/>
    <w:rsid w:val="0054007F"/>
    <w:rsid w:val="005401AE"/>
    <w:rsid w:val="00540874"/>
    <w:rsid w:val="00541593"/>
    <w:rsid w:val="0054173C"/>
    <w:rsid w:val="00542E07"/>
    <w:rsid w:val="00545424"/>
    <w:rsid w:val="00545605"/>
    <w:rsid w:val="00546AB5"/>
    <w:rsid w:val="00546C2B"/>
    <w:rsid w:val="00547B4E"/>
    <w:rsid w:val="00547F13"/>
    <w:rsid w:val="005508D6"/>
    <w:rsid w:val="00551538"/>
    <w:rsid w:val="00552C10"/>
    <w:rsid w:val="00554A7B"/>
    <w:rsid w:val="0055572C"/>
    <w:rsid w:val="00556250"/>
    <w:rsid w:val="00560FE0"/>
    <w:rsid w:val="0056106A"/>
    <w:rsid w:val="005611EB"/>
    <w:rsid w:val="005613C0"/>
    <w:rsid w:val="00565FB0"/>
    <w:rsid w:val="0056619C"/>
    <w:rsid w:val="0056685E"/>
    <w:rsid w:val="00567086"/>
    <w:rsid w:val="00567F35"/>
    <w:rsid w:val="00570954"/>
    <w:rsid w:val="005711C8"/>
    <w:rsid w:val="00571422"/>
    <w:rsid w:val="005720AE"/>
    <w:rsid w:val="0057258E"/>
    <w:rsid w:val="00574041"/>
    <w:rsid w:val="00574343"/>
    <w:rsid w:val="0057524C"/>
    <w:rsid w:val="00576C73"/>
    <w:rsid w:val="00581DF5"/>
    <w:rsid w:val="0058232F"/>
    <w:rsid w:val="005838C7"/>
    <w:rsid w:val="00583AEB"/>
    <w:rsid w:val="00584260"/>
    <w:rsid w:val="0058628B"/>
    <w:rsid w:val="00590F75"/>
    <w:rsid w:val="00591207"/>
    <w:rsid w:val="00592E82"/>
    <w:rsid w:val="00593963"/>
    <w:rsid w:val="00593D2F"/>
    <w:rsid w:val="00594D77"/>
    <w:rsid w:val="0059525D"/>
    <w:rsid w:val="005969E4"/>
    <w:rsid w:val="0059704C"/>
    <w:rsid w:val="005971F0"/>
    <w:rsid w:val="005A06B7"/>
    <w:rsid w:val="005A1697"/>
    <w:rsid w:val="005A1759"/>
    <w:rsid w:val="005A1CEA"/>
    <w:rsid w:val="005A1E68"/>
    <w:rsid w:val="005A380C"/>
    <w:rsid w:val="005A4A5F"/>
    <w:rsid w:val="005A4B63"/>
    <w:rsid w:val="005A4BB0"/>
    <w:rsid w:val="005A4E06"/>
    <w:rsid w:val="005A5327"/>
    <w:rsid w:val="005A67AF"/>
    <w:rsid w:val="005A68A7"/>
    <w:rsid w:val="005A6C2B"/>
    <w:rsid w:val="005A7B09"/>
    <w:rsid w:val="005B0983"/>
    <w:rsid w:val="005B1668"/>
    <w:rsid w:val="005B3EE9"/>
    <w:rsid w:val="005B5AEF"/>
    <w:rsid w:val="005B6696"/>
    <w:rsid w:val="005B7216"/>
    <w:rsid w:val="005B779A"/>
    <w:rsid w:val="005B79B4"/>
    <w:rsid w:val="005C02A1"/>
    <w:rsid w:val="005C0A14"/>
    <w:rsid w:val="005C168D"/>
    <w:rsid w:val="005C29F2"/>
    <w:rsid w:val="005C3176"/>
    <w:rsid w:val="005C4DEA"/>
    <w:rsid w:val="005C5EED"/>
    <w:rsid w:val="005C617D"/>
    <w:rsid w:val="005C62B7"/>
    <w:rsid w:val="005C65C8"/>
    <w:rsid w:val="005C6B08"/>
    <w:rsid w:val="005C6C44"/>
    <w:rsid w:val="005C6C4D"/>
    <w:rsid w:val="005C6D3A"/>
    <w:rsid w:val="005C7DC5"/>
    <w:rsid w:val="005D10F4"/>
    <w:rsid w:val="005D21A7"/>
    <w:rsid w:val="005D36AB"/>
    <w:rsid w:val="005D3A34"/>
    <w:rsid w:val="005D6680"/>
    <w:rsid w:val="005D7957"/>
    <w:rsid w:val="005D7DC0"/>
    <w:rsid w:val="005E4C51"/>
    <w:rsid w:val="005E5D0E"/>
    <w:rsid w:val="005E7C9C"/>
    <w:rsid w:val="005F1035"/>
    <w:rsid w:val="005F3957"/>
    <w:rsid w:val="005F40DE"/>
    <w:rsid w:val="005F695F"/>
    <w:rsid w:val="005F77CB"/>
    <w:rsid w:val="00600D56"/>
    <w:rsid w:val="0060184C"/>
    <w:rsid w:val="00602006"/>
    <w:rsid w:val="00602EF4"/>
    <w:rsid w:val="00603E66"/>
    <w:rsid w:val="006056F4"/>
    <w:rsid w:val="00606051"/>
    <w:rsid w:val="00606326"/>
    <w:rsid w:val="0060686F"/>
    <w:rsid w:val="00606BC0"/>
    <w:rsid w:val="006110FD"/>
    <w:rsid w:val="00611658"/>
    <w:rsid w:val="00612704"/>
    <w:rsid w:val="0061456A"/>
    <w:rsid w:val="00615143"/>
    <w:rsid w:val="0061596F"/>
    <w:rsid w:val="00616EF1"/>
    <w:rsid w:val="00616FF9"/>
    <w:rsid w:val="00617CC3"/>
    <w:rsid w:val="00622428"/>
    <w:rsid w:val="00622970"/>
    <w:rsid w:val="00622B87"/>
    <w:rsid w:val="00626666"/>
    <w:rsid w:val="00626983"/>
    <w:rsid w:val="00627293"/>
    <w:rsid w:val="0063011C"/>
    <w:rsid w:val="0063026E"/>
    <w:rsid w:val="00630ADC"/>
    <w:rsid w:val="00632345"/>
    <w:rsid w:val="00632AFC"/>
    <w:rsid w:val="00632E22"/>
    <w:rsid w:val="006365E9"/>
    <w:rsid w:val="006377A6"/>
    <w:rsid w:val="00637A3D"/>
    <w:rsid w:val="006401AC"/>
    <w:rsid w:val="00640226"/>
    <w:rsid w:val="006407B2"/>
    <w:rsid w:val="006411EF"/>
    <w:rsid w:val="00641227"/>
    <w:rsid w:val="00641372"/>
    <w:rsid w:val="0064325A"/>
    <w:rsid w:val="006433AD"/>
    <w:rsid w:val="006435A3"/>
    <w:rsid w:val="00643765"/>
    <w:rsid w:val="00644747"/>
    <w:rsid w:val="00644DAB"/>
    <w:rsid w:val="00645305"/>
    <w:rsid w:val="0064589C"/>
    <w:rsid w:val="006460B7"/>
    <w:rsid w:val="00646B76"/>
    <w:rsid w:val="00647C0C"/>
    <w:rsid w:val="00652B9F"/>
    <w:rsid w:val="0065405C"/>
    <w:rsid w:val="00654CA0"/>
    <w:rsid w:val="00657617"/>
    <w:rsid w:val="00657A3E"/>
    <w:rsid w:val="00660A43"/>
    <w:rsid w:val="00662AFE"/>
    <w:rsid w:val="00664854"/>
    <w:rsid w:val="00665EF2"/>
    <w:rsid w:val="00665F8D"/>
    <w:rsid w:val="00671018"/>
    <w:rsid w:val="00672BB5"/>
    <w:rsid w:val="00673D64"/>
    <w:rsid w:val="006748B8"/>
    <w:rsid w:val="006757D7"/>
    <w:rsid w:val="00676425"/>
    <w:rsid w:val="006764C6"/>
    <w:rsid w:val="006775C3"/>
    <w:rsid w:val="006806C1"/>
    <w:rsid w:val="006810E6"/>
    <w:rsid w:val="006813D5"/>
    <w:rsid w:val="00682E29"/>
    <w:rsid w:val="00683FAF"/>
    <w:rsid w:val="00686751"/>
    <w:rsid w:val="00686C93"/>
    <w:rsid w:val="006905D7"/>
    <w:rsid w:val="006908F0"/>
    <w:rsid w:val="00690BBC"/>
    <w:rsid w:val="00690F9E"/>
    <w:rsid w:val="00691933"/>
    <w:rsid w:val="006923FE"/>
    <w:rsid w:val="0069290A"/>
    <w:rsid w:val="00694BB2"/>
    <w:rsid w:val="00695266"/>
    <w:rsid w:val="0069536A"/>
    <w:rsid w:val="0069636E"/>
    <w:rsid w:val="0069775A"/>
    <w:rsid w:val="00697813"/>
    <w:rsid w:val="006A16FE"/>
    <w:rsid w:val="006A2967"/>
    <w:rsid w:val="006A3309"/>
    <w:rsid w:val="006A3CD7"/>
    <w:rsid w:val="006A3EE8"/>
    <w:rsid w:val="006A5FC4"/>
    <w:rsid w:val="006A6E5E"/>
    <w:rsid w:val="006A7098"/>
    <w:rsid w:val="006A72BF"/>
    <w:rsid w:val="006A73F1"/>
    <w:rsid w:val="006B0380"/>
    <w:rsid w:val="006B03F2"/>
    <w:rsid w:val="006B10A4"/>
    <w:rsid w:val="006B19C5"/>
    <w:rsid w:val="006B24B8"/>
    <w:rsid w:val="006B34FB"/>
    <w:rsid w:val="006B37DC"/>
    <w:rsid w:val="006B4069"/>
    <w:rsid w:val="006B4F68"/>
    <w:rsid w:val="006C0544"/>
    <w:rsid w:val="006C0592"/>
    <w:rsid w:val="006C272E"/>
    <w:rsid w:val="006C2B51"/>
    <w:rsid w:val="006C5479"/>
    <w:rsid w:val="006C7509"/>
    <w:rsid w:val="006D13B5"/>
    <w:rsid w:val="006D1620"/>
    <w:rsid w:val="006D21A1"/>
    <w:rsid w:val="006D3395"/>
    <w:rsid w:val="006D4703"/>
    <w:rsid w:val="006D6A64"/>
    <w:rsid w:val="006E12FF"/>
    <w:rsid w:val="006E2C04"/>
    <w:rsid w:val="006E430B"/>
    <w:rsid w:val="006E50E2"/>
    <w:rsid w:val="006E607E"/>
    <w:rsid w:val="006E6419"/>
    <w:rsid w:val="006E6B89"/>
    <w:rsid w:val="006F028C"/>
    <w:rsid w:val="006F0BBE"/>
    <w:rsid w:val="006F2BD1"/>
    <w:rsid w:val="006F3EDE"/>
    <w:rsid w:val="006F498E"/>
    <w:rsid w:val="006F49D7"/>
    <w:rsid w:val="006F6917"/>
    <w:rsid w:val="006F6C55"/>
    <w:rsid w:val="006F7733"/>
    <w:rsid w:val="006F7921"/>
    <w:rsid w:val="00700007"/>
    <w:rsid w:val="0070148C"/>
    <w:rsid w:val="00701928"/>
    <w:rsid w:val="00701995"/>
    <w:rsid w:val="00703079"/>
    <w:rsid w:val="007055FD"/>
    <w:rsid w:val="00706258"/>
    <w:rsid w:val="00706280"/>
    <w:rsid w:val="00706C5D"/>
    <w:rsid w:val="00707B9D"/>
    <w:rsid w:val="007107B0"/>
    <w:rsid w:val="007134D8"/>
    <w:rsid w:val="00713D26"/>
    <w:rsid w:val="00715483"/>
    <w:rsid w:val="0071597D"/>
    <w:rsid w:val="007203A1"/>
    <w:rsid w:val="00720482"/>
    <w:rsid w:val="007232FA"/>
    <w:rsid w:val="00724E77"/>
    <w:rsid w:val="00726CA9"/>
    <w:rsid w:val="00731627"/>
    <w:rsid w:val="00731EEB"/>
    <w:rsid w:val="00732922"/>
    <w:rsid w:val="007331C9"/>
    <w:rsid w:val="00734833"/>
    <w:rsid w:val="00735808"/>
    <w:rsid w:val="00735AC6"/>
    <w:rsid w:val="007363A4"/>
    <w:rsid w:val="0073797F"/>
    <w:rsid w:val="00741968"/>
    <w:rsid w:val="00741E29"/>
    <w:rsid w:val="00742EE2"/>
    <w:rsid w:val="00743CC8"/>
    <w:rsid w:val="00743DCD"/>
    <w:rsid w:val="00743EC1"/>
    <w:rsid w:val="00744FA0"/>
    <w:rsid w:val="00746BB3"/>
    <w:rsid w:val="0075162E"/>
    <w:rsid w:val="00751BB5"/>
    <w:rsid w:val="00751E17"/>
    <w:rsid w:val="007523D5"/>
    <w:rsid w:val="007524CC"/>
    <w:rsid w:val="00754034"/>
    <w:rsid w:val="00754C97"/>
    <w:rsid w:val="00756556"/>
    <w:rsid w:val="007566CF"/>
    <w:rsid w:val="00757854"/>
    <w:rsid w:val="00760B6D"/>
    <w:rsid w:val="007618C4"/>
    <w:rsid w:val="00763A79"/>
    <w:rsid w:val="00767980"/>
    <w:rsid w:val="00770B19"/>
    <w:rsid w:val="007718BE"/>
    <w:rsid w:val="00771F1D"/>
    <w:rsid w:val="00772050"/>
    <w:rsid w:val="007730A7"/>
    <w:rsid w:val="0077463F"/>
    <w:rsid w:val="007800DC"/>
    <w:rsid w:val="00780156"/>
    <w:rsid w:val="00780358"/>
    <w:rsid w:val="007836EA"/>
    <w:rsid w:val="00784A27"/>
    <w:rsid w:val="00784CDA"/>
    <w:rsid w:val="00785906"/>
    <w:rsid w:val="0078718D"/>
    <w:rsid w:val="007900B2"/>
    <w:rsid w:val="007906C4"/>
    <w:rsid w:val="007940EA"/>
    <w:rsid w:val="007967E8"/>
    <w:rsid w:val="007971FE"/>
    <w:rsid w:val="007A004A"/>
    <w:rsid w:val="007A16DD"/>
    <w:rsid w:val="007A2132"/>
    <w:rsid w:val="007A2170"/>
    <w:rsid w:val="007A22BF"/>
    <w:rsid w:val="007A2AC8"/>
    <w:rsid w:val="007A2C54"/>
    <w:rsid w:val="007A2FE0"/>
    <w:rsid w:val="007A3060"/>
    <w:rsid w:val="007A3323"/>
    <w:rsid w:val="007A3845"/>
    <w:rsid w:val="007A4710"/>
    <w:rsid w:val="007A5A61"/>
    <w:rsid w:val="007A704C"/>
    <w:rsid w:val="007B0FE4"/>
    <w:rsid w:val="007B19F5"/>
    <w:rsid w:val="007B1A46"/>
    <w:rsid w:val="007B21B3"/>
    <w:rsid w:val="007B2F4B"/>
    <w:rsid w:val="007B2F68"/>
    <w:rsid w:val="007B3814"/>
    <w:rsid w:val="007B39E5"/>
    <w:rsid w:val="007B3DD0"/>
    <w:rsid w:val="007B58F3"/>
    <w:rsid w:val="007B72B8"/>
    <w:rsid w:val="007B7A58"/>
    <w:rsid w:val="007C20C3"/>
    <w:rsid w:val="007C21B5"/>
    <w:rsid w:val="007C45E6"/>
    <w:rsid w:val="007D1942"/>
    <w:rsid w:val="007D4731"/>
    <w:rsid w:val="007D50E8"/>
    <w:rsid w:val="007D5718"/>
    <w:rsid w:val="007D61ED"/>
    <w:rsid w:val="007E0567"/>
    <w:rsid w:val="007E0BF8"/>
    <w:rsid w:val="007E202F"/>
    <w:rsid w:val="007E4625"/>
    <w:rsid w:val="007E4693"/>
    <w:rsid w:val="007E4BD2"/>
    <w:rsid w:val="007E5B92"/>
    <w:rsid w:val="007E7F2B"/>
    <w:rsid w:val="007F20AC"/>
    <w:rsid w:val="007F30B2"/>
    <w:rsid w:val="007F335E"/>
    <w:rsid w:val="007F57FE"/>
    <w:rsid w:val="007F70A7"/>
    <w:rsid w:val="007F7687"/>
    <w:rsid w:val="00801393"/>
    <w:rsid w:val="00801C03"/>
    <w:rsid w:val="00802F88"/>
    <w:rsid w:val="00803567"/>
    <w:rsid w:val="00805706"/>
    <w:rsid w:val="00805BBF"/>
    <w:rsid w:val="00806DC8"/>
    <w:rsid w:val="00807E1A"/>
    <w:rsid w:val="00810557"/>
    <w:rsid w:val="008121E2"/>
    <w:rsid w:val="0081293E"/>
    <w:rsid w:val="00814964"/>
    <w:rsid w:val="00815465"/>
    <w:rsid w:val="00815C70"/>
    <w:rsid w:val="0081642C"/>
    <w:rsid w:val="00816ED8"/>
    <w:rsid w:val="00817E9A"/>
    <w:rsid w:val="00820A42"/>
    <w:rsid w:val="008214D2"/>
    <w:rsid w:val="00823420"/>
    <w:rsid w:val="00823B12"/>
    <w:rsid w:val="00823D2A"/>
    <w:rsid w:val="00823E6C"/>
    <w:rsid w:val="00824347"/>
    <w:rsid w:val="00824DC7"/>
    <w:rsid w:val="00825054"/>
    <w:rsid w:val="00825344"/>
    <w:rsid w:val="00825C30"/>
    <w:rsid w:val="00826685"/>
    <w:rsid w:val="00826B21"/>
    <w:rsid w:val="0082792B"/>
    <w:rsid w:val="00830124"/>
    <w:rsid w:val="008306BD"/>
    <w:rsid w:val="0083087E"/>
    <w:rsid w:val="00831A80"/>
    <w:rsid w:val="00831BD3"/>
    <w:rsid w:val="0083311B"/>
    <w:rsid w:val="00833743"/>
    <w:rsid w:val="008340A4"/>
    <w:rsid w:val="00834749"/>
    <w:rsid w:val="008354E8"/>
    <w:rsid w:val="008355D3"/>
    <w:rsid w:val="00835F7F"/>
    <w:rsid w:val="00840D2D"/>
    <w:rsid w:val="0084192E"/>
    <w:rsid w:val="00846B2A"/>
    <w:rsid w:val="0085168D"/>
    <w:rsid w:val="008520E0"/>
    <w:rsid w:val="00852887"/>
    <w:rsid w:val="008529AE"/>
    <w:rsid w:val="00852C3E"/>
    <w:rsid w:val="0085426C"/>
    <w:rsid w:val="008547C1"/>
    <w:rsid w:val="008547CD"/>
    <w:rsid w:val="00855C2D"/>
    <w:rsid w:val="00857499"/>
    <w:rsid w:val="00857BDA"/>
    <w:rsid w:val="00857E42"/>
    <w:rsid w:val="008601ED"/>
    <w:rsid w:val="00860ED1"/>
    <w:rsid w:val="0086498A"/>
    <w:rsid w:val="00865871"/>
    <w:rsid w:val="00866984"/>
    <w:rsid w:val="00866F76"/>
    <w:rsid w:val="008670F9"/>
    <w:rsid w:val="00867810"/>
    <w:rsid w:val="0087021C"/>
    <w:rsid w:val="0087135F"/>
    <w:rsid w:val="0087160E"/>
    <w:rsid w:val="00872D94"/>
    <w:rsid w:val="00873EF3"/>
    <w:rsid w:val="00874A0B"/>
    <w:rsid w:val="00875A2D"/>
    <w:rsid w:val="00875CAD"/>
    <w:rsid w:val="0087668F"/>
    <w:rsid w:val="00877810"/>
    <w:rsid w:val="00877FA4"/>
    <w:rsid w:val="00880364"/>
    <w:rsid w:val="008821B4"/>
    <w:rsid w:val="00882880"/>
    <w:rsid w:val="00882E64"/>
    <w:rsid w:val="00884229"/>
    <w:rsid w:val="008844D8"/>
    <w:rsid w:val="00884805"/>
    <w:rsid w:val="00891592"/>
    <w:rsid w:val="00891E9E"/>
    <w:rsid w:val="00894370"/>
    <w:rsid w:val="00896908"/>
    <w:rsid w:val="008975C0"/>
    <w:rsid w:val="008A00F4"/>
    <w:rsid w:val="008A2F68"/>
    <w:rsid w:val="008A313E"/>
    <w:rsid w:val="008A7EE0"/>
    <w:rsid w:val="008B08D7"/>
    <w:rsid w:val="008B1839"/>
    <w:rsid w:val="008B298E"/>
    <w:rsid w:val="008B4E02"/>
    <w:rsid w:val="008B4FA6"/>
    <w:rsid w:val="008B5282"/>
    <w:rsid w:val="008B52DB"/>
    <w:rsid w:val="008B67AF"/>
    <w:rsid w:val="008B6D39"/>
    <w:rsid w:val="008B7514"/>
    <w:rsid w:val="008B7546"/>
    <w:rsid w:val="008B7C17"/>
    <w:rsid w:val="008C096B"/>
    <w:rsid w:val="008C2D01"/>
    <w:rsid w:val="008C407A"/>
    <w:rsid w:val="008C40E6"/>
    <w:rsid w:val="008C4B66"/>
    <w:rsid w:val="008C4DD1"/>
    <w:rsid w:val="008C572C"/>
    <w:rsid w:val="008C7419"/>
    <w:rsid w:val="008C7829"/>
    <w:rsid w:val="008D0F7A"/>
    <w:rsid w:val="008D1649"/>
    <w:rsid w:val="008D56FB"/>
    <w:rsid w:val="008D62D9"/>
    <w:rsid w:val="008D65E2"/>
    <w:rsid w:val="008D68E4"/>
    <w:rsid w:val="008E0506"/>
    <w:rsid w:val="008E0582"/>
    <w:rsid w:val="008E0CFF"/>
    <w:rsid w:val="008E4262"/>
    <w:rsid w:val="008E5D6B"/>
    <w:rsid w:val="008E6467"/>
    <w:rsid w:val="008E76F0"/>
    <w:rsid w:val="008E7C1D"/>
    <w:rsid w:val="008F10EF"/>
    <w:rsid w:val="008F15FE"/>
    <w:rsid w:val="008F23FD"/>
    <w:rsid w:val="008F2D29"/>
    <w:rsid w:val="008F31AE"/>
    <w:rsid w:val="008F4588"/>
    <w:rsid w:val="008F499E"/>
    <w:rsid w:val="008F4B85"/>
    <w:rsid w:val="008F5187"/>
    <w:rsid w:val="008F60D8"/>
    <w:rsid w:val="008F6322"/>
    <w:rsid w:val="008F7AFE"/>
    <w:rsid w:val="009002DB"/>
    <w:rsid w:val="00902727"/>
    <w:rsid w:val="0090312B"/>
    <w:rsid w:val="00903D93"/>
    <w:rsid w:val="00906502"/>
    <w:rsid w:val="009070CC"/>
    <w:rsid w:val="00907109"/>
    <w:rsid w:val="00907599"/>
    <w:rsid w:val="009128A3"/>
    <w:rsid w:val="009144EB"/>
    <w:rsid w:val="009155D2"/>
    <w:rsid w:val="00915A71"/>
    <w:rsid w:val="00915E3F"/>
    <w:rsid w:val="0091689D"/>
    <w:rsid w:val="0091736D"/>
    <w:rsid w:val="009174BD"/>
    <w:rsid w:val="00923013"/>
    <w:rsid w:val="009246A9"/>
    <w:rsid w:val="0093037A"/>
    <w:rsid w:val="00931A40"/>
    <w:rsid w:val="0093290E"/>
    <w:rsid w:val="00932FDF"/>
    <w:rsid w:val="00933503"/>
    <w:rsid w:val="00933F51"/>
    <w:rsid w:val="00934892"/>
    <w:rsid w:val="00934C1E"/>
    <w:rsid w:val="0093507E"/>
    <w:rsid w:val="00936706"/>
    <w:rsid w:val="00936938"/>
    <w:rsid w:val="0093722D"/>
    <w:rsid w:val="00937E65"/>
    <w:rsid w:val="00940653"/>
    <w:rsid w:val="0094154C"/>
    <w:rsid w:val="0094154D"/>
    <w:rsid w:val="00941DB2"/>
    <w:rsid w:val="009423B3"/>
    <w:rsid w:val="009433F8"/>
    <w:rsid w:val="00943C3C"/>
    <w:rsid w:val="00944054"/>
    <w:rsid w:val="009447BC"/>
    <w:rsid w:val="00946C71"/>
    <w:rsid w:val="009475B1"/>
    <w:rsid w:val="00950F25"/>
    <w:rsid w:val="0095101C"/>
    <w:rsid w:val="0095155F"/>
    <w:rsid w:val="00952A58"/>
    <w:rsid w:val="00954232"/>
    <w:rsid w:val="00954429"/>
    <w:rsid w:val="009563B3"/>
    <w:rsid w:val="009563CE"/>
    <w:rsid w:val="0096003E"/>
    <w:rsid w:val="009604D1"/>
    <w:rsid w:val="00960CA0"/>
    <w:rsid w:val="00962843"/>
    <w:rsid w:val="009632A8"/>
    <w:rsid w:val="00966953"/>
    <w:rsid w:val="00966AFE"/>
    <w:rsid w:val="00970441"/>
    <w:rsid w:val="00970D0D"/>
    <w:rsid w:val="0097302E"/>
    <w:rsid w:val="00973206"/>
    <w:rsid w:val="00976328"/>
    <w:rsid w:val="0097680D"/>
    <w:rsid w:val="00976C82"/>
    <w:rsid w:val="009807C1"/>
    <w:rsid w:val="00980D46"/>
    <w:rsid w:val="00981922"/>
    <w:rsid w:val="00982438"/>
    <w:rsid w:val="0098325F"/>
    <w:rsid w:val="009834E3"/>
    <w:rsid w:val="0098391F"/>
    <w:rsid w:val="0098404C"/>
    <w:rsid w:val="00985283"/>
    <w:rsid w:val="00987E78"/>
    <w:rsid w:val="00990818"/>
    <w:rsid w:val="00993536"/>
    <w:rsid w:val="00994505"/>
    <w:rsid w:val="00995992"/>
    <w:rsid w:val="009A03E5"/>
    <w:rsid w:val="009A08DF"/>
    <w:rsid w:val="009A0F3B"/>
    <w:rsid w:val="009A10A6"/>
    <w:rsid w:val="009A1BB4"/>
    <w:rsid w:val="009A2270"/>
    <w:rsid w:val="009A2628"/>
    <w:rsid w:val="009A3200"/>
    <w:rsid w:val="009A3E9A"/>
    <w:rsid w:val="009A4C08"/>
    <w:rsid w:val="009A5253"/>
    <w:rsid w:val="009A54B2"/>
    <w:rsid w:val="009A5CCB"/>
    <w:rsid w:val="009A7BD7"/>
    <w:rsid w:val="009B0897"/>
    <w:rsid w:val="009B0F8B"/>
    <w:rsid w:val="009B12AC"/>
    <w:rsid w:val="009B13E4"/>
    <w:rsid w:val="009B1F60"/>
    <w:rsid w:val="009B511A"/>
    <w:rsid w:val="009B641B"/>
    <w:rsid w:val="009B6AC2"/>
    <w:rsid w:val="009B767A"/>
    <w:rsid w:val="009B7BD9"/>
    <w:rsid w:val="009C024C"/>
    <w:rsid w:val="009C1D82"/>
    <w:rsid w:val="009C3C8C"/>
    <w:rsid w:val="009C4537"/>
    <w:rsid w:val="009C51C1"/>
    <w:rsid w:val="009C51E8"/>
    <w:rsid w:val="009C70C3"/>
    <w:rsid w:val="009C7568"/>
    <w:rsid w:val="009C7DD5"/>
    <w:rsid w:val="009D03DC"/>
    <w:rsid w:val="009D0C03"/>
    <w:rsid w:val="009D3977"/>
    <w:rsid w:val="009D53E9"/>
    <w:rsid w:val="009D6951"/>
    <w:rsid w:val="009D7359"/>
    <w:rsid w:val="009E028B"/>
    <w:rsid w:val="009E1CDF"/>
    <w:rsid w:val="009E227D"/>
    <w:rsid w:val="009E259E"/>
    <w:rsid w:val="009E3F92"/>
    <w:rsid w:val="009E497A"/>
    <w:rsid w:val="009E5019"/>
    <w:rsid w:val="009E56C6"/>
    <w:rsid w:val="009E58F8"/>
    <w:rsid w:val="009E764C"/>
    <w:rsid w:val="009E7B7E"/>
    <w:rsid w:val="009F5FF4"/>
    <w:rsid w:val="009F6717"/>
    <w:rsid w:val="00A0080C"/>
    <w:rsid w:val="00A01080"/>
    <w:rsid w:val="00A0250C"/>
    <w:rsid w:val="00A04F1B"/>
    <w:rsid w:val="00A0501B"/>
    <w:rsid w:val="00A07424"/>
    <w:rsid w:val="00A1034D"/>
    <w:rsid w:val="00A14947"/>
    <w:rsid w:val="00A15C0E"/>
    <w:rsid w:val="00A16149"/>
    <w:rsid w:val="00A1629B"/>
    <w:rsid w:val="00A2008E"/>
    <w:rsid w:val="00A2044F"/>
    <w:rsid w:val="00A21FD5"/>
    <w:rsid w:val="00A23D11"/>
    <w:rsid w:val="00A241D6"/>
    <w:rsid w:val="00A26813"/>
    <w:rsid w:val="00A26C29"/>
    <w:rsid w:val="00A30281"/>
    <w:rsid w:val="00A314C6"/>
    <w:rsid w:val="00A3211A"/>
    <w:rsid w:val="00A32A83"/>
    <w:rsid w:val="00A3431B"/>
    <w:rsid w:val="00A35F22"/>
    <w:rsid w:val="00A3632F"/>
    <w:rsid w:val="00A368DB"/>
    <w:rsid w:val="00A36EE1"/>
    <w:rsid w:val="00A371DB"/>
    <w:rsid w:val="00A37678"/>
    <w:rsid w:val="00A41F69"/>
    <w:rsid w:val="00A423AA"/>
    <w:rsid w:val="00A43174"/>
    <w:rsid w:val="00A500FC"/>
    <w:rsid w:val="00A51024"/>
    <w:rsid w:val="00A51490"/>
    <w:rsid w:val="00A53135"/>
    <w:rsid w:val="00A53EC6"/>
    <w:rsid w:val="00A54024"/>
    <w:rsid w:val="00A555FC"/>
    <w:rsid w:val="00A55845"/>
    <w:rsid w:val="00A55B05"/>
    <w:rsid w:val="00A55C0F"/>
    <w:rsid w:val="00A56ECE"/>
    <w:rsid w:val="00A57173"/>
    <w:rsid w:val="00A579A2"/>
    <w:rsid w:val="00A57D74"/>
    <w:rsid w:val="00A57E74"/>
    <w:rsid w:val="00A60C04"/>
    <w:rsid w:val="00A61774"/>
    <w:rsid w:val="00A61F0B"/>
    <w:rsid w:val="00A62340"/>
    <w:rsid w:val="00A6262F"/>
    <w:rsid w:val="00A637C7"/>
    <w:rsid w:val="00A6441D"/>
    <w:rsid w:val="00A64CDA"/>
    <w:rsid w:val="00A65F49"/>
    <w:rsid w:val="00A66E66"/>
    <w:rsid w:val="00A67317"/>
    <w:rsid w:val="00A67C76"/>
    <w:rsid w:val="00A67CAA"/>
    <w:rsid w:val="00A71583"/>
    <w:rsid w:val="00A721A7"/>
    <w:rsid w:val="00A725B4"/>
    <w:rsid w:val="00A73710"/>
    <w:rsid w:val="00A73F76"/>
    <w:rsid w:val="00A74613"/>
    <w:rsid w:val="00A74D76"/>
    <w:rsid w:val="00A80AA9"/>
    <w:rsid w:val="00A828E7"/>
    <w:rsid w:val="00A85280"/>
    <w:rsid w:val="00A869CE"/>
    <w:rsid w:val="00A87005"/>
    <w:rsid w:val="00A8713F"/>
    <w:rsid w:val="00A909D3"/>
    <w:rsid w:val="00A90BA1"/>
    <w:rsid w:val="00A9214E"/>
    <w:rsid w:val="00A946CD"/>
    <w:rsid w:val="00A961A3"/>
    <w:rsid w:val="00A97A9A"/>
    <w:rsid w:val="00AA0671"/>
    <w:rsid w:val="00AA0847"/>
    <w:rsid w:val="00AA0EA8"/>
    <w:rsid w:val="00AA20B2"/>
    <w:rsid w:val="00AA2531"/>
    <w:rsid w:val="00AA65DB"/>
    <w:rsid w:val="00AA7CEF"/>
    <w:rsid w:val="00AB1380"/>
    <w:rsid w:val="00AB1E09"/>
    <w:rsid w:val="00AB352C"/>
    <w:rsid w:val="00AB4569"/>
    <w:rsid w:val="00AB4FFE"/>
    <w:rsid w:val="00AB5330"/>
    <w:rsid w:val="00AB5AA1"/>
    <w:rsid w:val="00AB65F5"/>
    <w:rsid w:val="00AB7747"/>
    <w:rsid w:val="00AC14CE"/>
    <w:rsid w:val="00AC2A56"/>
    <w:rsid w:val="00AC3B28"/>
    <w:rsid w:val="00AC4A70"/>
    <w:rsid w:val="00AC6B72"/>
    <w:rsid w:val="00AD0524"/>
    <w:rsid w:val="00AD055E"/>
    <w:rsid w:val="00AD2083"/>
    <w:rsid w:val="00AD47A7"/>
    <w:rsid w:val="00AD4C2B"/>
    <w:rsid w:val="00AD5223"/>
    <w:rsid w:val="00AD7425"/>
    <w:rsid w:val="00AE01AD"/>
    <w:rsid w:val="00AE2F8B"/>
    <w:rsid w:val="00AE3D62"/>
    <w:rsid w:val="00AE3E21"/>
    <w:rsid w:val="00AE4648"/>
    <w:rsid w:val="00AE4DEA"/>
    <w:rsid w:val="00AE63BA"/>
    <w:rsid w:val="00AE73C6"/>
    <w:rsid w:val="00AF0847"/>
    <w:rsid w:val="00AF0CBF"/>
    <w:rsid w:val="00AF11D7"/>
    <w:rsid w:val="00AF257F"/>
    <w:rsid w:val="00AF33CF"/>
    <w:rsid w:val="00AF4D50"/>
    <w:rsid w:val="00AF4F5D"/>
    <w:rsid w:val="00AF5205"/>
    <w:rsid w:val="00AF55E3"/>
    <w:rsid w:val="00AF5A5E"/>
    <w:rsid w:val="00AF6179"/>
    <w:rsid w:val="00AF7062"/>
    <w:rsid w:val="00AF7C9F"/>
    <w:rsid w:val="00B00186"/>
    <w:rsid w:val="00B01407"/>
    <w:rsid w:val="00B01E4D"/>
    <w:rsid w:val="00B02AE2"/>
    <w:rsid w:val="00B02B76"/>
    <w:rsid w:val="00B02F8E"/>
    <w:rsid w:val="00B047BA"/>
    <w:rsid w:val="00B04CFA"/>
    <w:rsid w:val="00B053CE"/>
    <w:rsid w:val="00B1295A"/>
    <w:rsid w:val="00B13151"/>
    <w:rsid w:val="00B145A7"/>
    <w:rsid w:val="00B155F8"/>
    <w:rsid w:val="00B178BB"/>
    <w:rsid w:val="00B2037E"/>
    <w:rsid w:val="00B20A45"/>
    <w:rsid w:val="00B22C5C"/>
    <w:rsid w:val="00B231A8"/>
    <w:rsid w:val="00B241C3"/>
    <w:rsid w:val="00B24F30"/>
    <w:rsid w:val="00B25836"/>
    <w:rsid w:val="00B26945"/>
    <w:rsid w:val="00B26C6F"/>
    <w:rsid w:val="00B30774"/>
    <w:rsid w:val="00B31A13"/>
    <w:rsid w:val="00B31ABF"/>
    <w:rsid w:val="00B324D4"/>
    <w:rsid w:val="00B33BE3"/>
    <w:rsid w:val="00B343F6"/>
    <w:rsid w:val="00B36623"/>
    <w:rsid w:val="00B4042F"/>
    <w:rsid w:val="00B42521"/>
    <w:rsid w:val="00B43245"/>
    <w:rsid w:val="00B44D9C"/>
    <w:rsid w:val="00B456E4"/>
    <w:rsid w:val="00B477FA"/>
    <w:rsid w:val="00B51320"/>
    <w:rsid w:val="00B52495"/>
    <w:rsid w:val="00B5375E"/>
    <w:rsid w:val="00B53B5D"/>
    <w:rsid w:val="00B57017"/>
    <w:rsid w:val="00B57396"/>
    <w:rsid w:val="00B6055E"/>
    <w:rsid w:val="00B60F4D"/>
    <w:rsid w:val="00B616AC"/>
    <w:rsid w:val="00B62066"/>
    <w:rsid w:val="00B6210D"/>
    <w:rsid w:val="00B630E7"/>
    <w:rsid w:val="00B6317D"/>
    <w:rsid w:val="00B63411"/>
    <w:rsid w:val="00B63A8E"/>
    <w:rsid w:val="00B640A4"/>
    <w:rsid w:val="00B649DB"/>
    <w:rsid w:val="00B64EE0"/>
    <w:rsid w:val="00B66590"/>
    <w:rsid w:val="00B7027E"/>
    <w:rsid w:val="00B70BEB"/>
    <w:rsid w:val="00B71455"/>
    <w:rsid w:val="00B717C0"/>
    <w:rsid w:val="00B7252F"/>
    <w:rsid w:val="00B72D4B"/>
    <w:rsid w:val="00B74537"/>
    <w:rsid w:val="00B74893"/>
    <w:rsid w:val="00B753EA"/>
    <w:rsid w:val="00B7723F"/>
    <w:rsid w:val="00B77D78"/>
    <w:rsid w:val="00B80534"/>
    <w:rsid w:val="00B80F95"/>
    <w:rsid w:val="00B8122C"/>
    <w:rsid w:val="00B82E49"/>
    <w:rsid w:val="00B8433C"/>
    <w:rsid w:val="00B84F06"/>
    <w:rsid w:val="00B8616F"/>
    <w:rsid w:val="00B87491"/>
    <w:rsid w:val="00B914D6"/>
    <w:rsid w:val="00B91835"/>
    <w:rsid w:val="00B932A8"/>
    <w:rsid w:val="00B93724"/>
    <w:rsid w:val="00B94197"/>
    <w:rsid w:val="00B94BD8"/>
    <w:rsid w:val="00B957AF"/>
    <w:rsid w:val="00B95F07"/>
    <w:rsid w:val="00B973B2"/>
    <w:rsid w:val="00BA1C82"/>
    <w:rsid w:val="00BA29C7"/>
    <w:rsid w:val="00BA29E9"/>
    <w:rsid w:val="00BA2B62"/>
    <w:rsid w:val="00BA2C4B"/>
    <w:rsid w:val="00BA38A7"/>
    <w:rsid w:val="00BA452B"/>
    <w:rsid w:val="00BA4798"/>
    <w:rsid w:val="00BA6291"/>
    <w:rsid w:val="00BA7142"/>
    <w:rsid w:val="00BB0CEB"/>
    <w:rsid w:val="00BB13F0"/>
    <w:rsid w:val="00BB1545"/>
    <w:rsid w:val="00BB237C"/>
    <w:rsid w:val="00BB288E"/>
    <w:rsid w:val="00BB2FF1"/>
    <w:rsid w:val="00BB41A3"/>
    <w:rsid w:val="00BB44B6"/>
    <w:rsid w:val="00BB546F"/>
    <w:rsid w:val="00BB6BBA"/>
    <w:rsid w:val="00BC09A7"/>
    <w:rsid w:val="00BC173A"/>
    <w:rsid w:val="00BC1853"/>
    <w:rsid w:val="00BC259E"/>
    <w:rsid w:val="00BC2964"/>
    <w:rsid w:val="00BC32DC"/>
    <w:rsid w:val="00BC35B6"/>
    <w:rsid w:val="00BC70EA"/>
    <w:rsid w:val="00BD1B51"/>
    <w:rsid w:val="00BD387F"/>
    <w:rsid w:val="00BD3E9B"/>
    <w:rsid w:val="00BD4596"/>
    <w:rsid w:val="00BD4BCD"/>
    <w:rsid w:val="00BD5944"/>
    <w:rsid w:val="00BD5BC3"/>
    <w:rsid w:val="00BD7155"/>
    <w:rsid w:val="00BE1405"/>
    <w:rsid w:val="00BE249C"/>
    <w:rsid w:val="00BE26F3"/>
    <w:rsid w:val="00BE312D"/>
    <w:rsid w:val="00BE3E5D"/>
    <w:rsid w:val="00BE510A"/>
    <w:rsid w:val="00BE56DB"/>
    <w:rsid w:val="00BE5842"/>
    <w:rsid w:val="00BE601D"/>
    <w:rsid w:val="00BE704D"/>
    <w:rsid w:val="00BF07E8"/>
    <w:rsid w:val="00BF1C20"/>
    <w:rsid w:val="00BF242C"/>
    <w:rsid w:val="00BF48B8"/>
    <w:rsid w:val="00BF59C5"/>
    <w:rsid w:val="00BF663C"/>
    <w:rsid w:val="00BF78CA"/>
    <w:rsid w:val="00C0367B"/>
    <w:rsid w:val="00C057F0"/>
    <w:rsid w:val="00C06A31"/>
    <w:rsid w:val="00C06E28"/>
    <w:rsid w:val="00C07796"/>
    <w:rsid w:val="00C10578"/>
    <w:rsid w:val="00C118FE"/>
    <w:rsid w:val="00C11E22"/>
    <w:rsid w:val="00C135BC"/>
    <w:rsid w:val="00C14F8D"/>
    <w:rsid w:val="00C15C95"/>
    <w:rsid w:val="00C1743C"/>
    <w:rsid w:val="00C174B0"/>
    <w:rsid w:val="00C210EF"/>
    <w:rsid w:val="00C213CF"/>
    <w:rsid w:val="00C21B5E"/>
    <w:rsid w:val="00C21C09"/>
    <w:rsid w:val="00C231D9"/>
    <w:rsid w:val="00C2436C"/>
    <w:rsid w:val="00C245DA"/>
    <w:rsid w:val="00C2516B"/>
    <w:rsid w:val="00C2596A"/>
    <w:rsid w:val="00C25B9C"/>
    <w:rsid w:val="00C26BC6"/>
    <w:rsid w:val="00C27537"/>
    <w:rsid w:val="00C27702"/>
    <w:rsid w:val="00C32821"/>
    <w:rsid w:val="00C328FE"/>
    <w:rsid w:val="00C33507"/>
    <w:rsid w:val="00C33A31"/>
    <w:rsid w:val="00C33B40"/>
    <w:rsid w:val="00C37EAF"/>
    <w:rsid w:val="00C419A0"/>
    <w:rsid w:val="00C42CB9"/>
    <w:rsid w:val="00C43D48"/>
    <w:rsid w:val="00C4409D"/>
    <w:rsid w:val="00C44E72"/>
    <w:rsid w:val="00C45A06"/>
    <w:rsid w:val="00C45D34"/>
    <w:rsid w:val="00C47C8C"/>
    <w:rsid w:val="00C47DC6"/>
    <w:rsid w:val="00C47E5B"/>
    <w:rsid w:val="00C5474D"/>
    <w:rsid w:val="00C5639B"/>
    <w:rsid w:val="00C564B4"/>
    <w:rsid w:val="00C57940"/>
    <w:rsid w:val="00C601EE"/>
    <w:rsid w:val="00C604C6"/>
    <w:rsid w:val="00C61E4B"/>
    <w:rsid w:val="00C64BFF"/>
    <w:rsid w:val="00C6564E"/>
    <w:rsid w:val="00C6572D"/>
    <w:rsid w:val="00C67BEE"/>
    <w:rsid w:val="00C704E9"/>
    <w:rsid w:val="00C70549"/>
    <w:rsid w:val="00C71772"/>
    <w:rsid w:val="00C7471D"/>
    <w:rsid w:val="00C74ABD"/>
    <w:rsid w:val="00C74D54"/>
    <w:rsid w:val="00C754E3"/>
    <w:rsid w:val="00C76314"/>
    <w:rsid w:val="00C763C9"/>
    <w:rsid w:val="00C76DE4"/>
    <w:rsid w:val="00C80057"/>
    <w:rsid w:val="00C8073E"/>
    <w:rsid w:val="00C81CF9"/>
    <w:rsid w:val="00C82232"/>
    <w:rsid w:val="00C826CB"/>
    <w:rsid w:val="00C82913"/>
    <w:rsid w:val="00C843C3"/>
    <w:rsid w:val="00C85D41"/>
    <w:rsid w:val="00C86FE4"/>
    <w:rsid w:val="00C870FA"/>
    <w:rsid w:val="00C91BF5"/>
    <w:rsid w:val="00C9545E"/>
    <w:rsid w:val="00C95EFA"/>
    <w:rsid w:val="00C972B1"/>
    <w:rsid w:val="00C9750E"/>
    <w:rsid w:val="00C97C36"/>
    <w:rsid w:val="00CA0D89"/>
    <w:rsid w:val="00CA16A4"/>
    <w:rsid w:val="00CA272D"/>
    <w:rsid w:val="00CA2C1F"/>
    <w:rsid w:val="00CA2CCE"/>
    <w:rsid w:val="00CA2D16"/>
    <w:rsid w:val="00CA43FD"/>
    <w:rsid w:val="00CA55E5"/>
    <w:rsid w:val="00CA6629"/>
    <w:rsid w:val="00CA7EF8"/>
    <w:rsid w:val="00CB1619"/>
    <w:rsid w:val="00CB56E6"/>
    <w:rsid w:val="00CB74DE"/>
    <w:rsid w:val="00CC164D"/>
    <w:rsid w:val="00CC218A"/>
    <w:rsid w:val="00CC4685"/>
    <w:rsid w:val="00CC489B"/>
    <w:rsid w:val="00CC6DE7"/>
    <w:rsid w:val="00CC73DD"/>
    <w:rsid w:val="00CC7A99"/>
    <w:rsid w:val="00CD0317"/>
    <w:rsid w:val="00CD042F"/>
    <w:rsid w:val="00CD06B4"/>
    <w:rsid w:val="00CD1C8F"/>
    <w:rsid w:val="00CD2456"/>
    <w:rsid w:val="00CD2BCD"/>
    <w:rsid w:val="00CD2D59"/>
    <w:rsid w:val="00CD3112"/>
    <w:rsid w:val="00CD3A4C"/>
    <w:rsid w:val="00CD6D4E"/>
    <w:rsid w:val="00CE07CD"/>
    <w:rsid w:val="00CE10E9"/>
    <w:rsid w:val="00CE2910"/>
    <w:rsid w:val="00CE3CDE"/>
    <w:rsid w:val="00CE5393"/>
    <w:rsid w:val="00CE6585"/>
    <w:rsid w:val="00CF1C30"/>
    <w:rsid w:val="00CF347B"/>
    <w:rsid w:val="00CF36BE"/>
    <w:rsid w:val="00CF3CB1"/>
    <w:rsid w:val="00CF6000"/>
    <w:rsid w:val="00D000DE"/>
    <w:rsid w:val="00D003F3"/>
    <w:rsid w:val="00D00B6C"/>
    <w:rsid w:val="00D02B1A"/>
    <w:rsid w:val="00D0364F"/>
    <w:rsid w:val="00D04AD5"/>
    <w:rsid w:val="00D053C5"/>
    <w:rsid w:val="00D0579E"/>
    <w:rsid w:val="00D06834"/>
    <w:rsid w:val="00D06B10"/>
    <w:rsid w:val="00D0727A"/>
    <w:rsid w:val="00D10F38"/>
    <w:rsid w:val="00D1297B"/>
    <w:rsid w:val="00D12A97"/>
    <w:rsid w:val="00D1300C"/>
    <w:rsid w:val="00D131AB"/>
    <w:rsid w:val="00D148E7"/>
    <w:rsid w:val="00D15510"/>
    <w:rsid w:val="00D17CAB"/>
    <w:rsid w:val="00D17FE9"/>
    <w:rsid w:val="00D2393B"/>
    <w:rsid w:val="00D250C2"/>
    <w:rsid w:val="00D26BF2"/>
    <w:rsid w:val="00D26D5C"/>
    <w:rsid w:val="00D308ED"/>
    <w:rsid w:val="00D31137"/>
    <w:rsid w:val="00D31A1B"/>
    <w:rsid w:val="00D3446A"/>
    <w:rsid w:val="00D36084"/>
    <w:rsid w:val="00D364EB"/>
    <w:rsid w:val="00D36D86"/>
    <w:rsid w:val="00D37CD7"/>
    <w:rsid w:val="00D4067F"/>
    <w:rsid w:val="00D41244"/>
    <w:rsid w:val="00D41C8B"/>
    <w:rsid w:val="00D42018"/>
    <w:rsid w:val="00D428AA"/>
    <w:rsid w:val="00D42A2B"/>
    <w:rsid w:val="00D434A5"/>
    <w:rsid w:val="00D44314"/>
    <w:rsid w:val="00D454B6"/>
    <w:rsid w:val="00D47D96"/>
    <w:rsid w:val="00D50A34"/>
    <w:rsid w:val="00D50D2A"/>
    <w:rsid w:val="00D50FBE"/>
    <w:rsid w:val="00D52865"/>
    <w:rsid w:val="00D53EFA"/>
    <w:rsid w:val="00D543B0"/>
    <w:rsid w:val="00D544B1"/>
    <w:rsid w:val="00D5712D"/>
    <w:rsid w:val="00D61097"/>
    <w:rsid w:val="00D62B63"/>
    <w:rsid w:val="00D641E6"/>
    <w:rsid w:val="00D6570D"/>
    <w:rsid w:val="00D702DC"/>
    <w:rsid w:val="00D716E9"/>
    <w:rsid w:val="00D71C8A"/>
    <w:rsid w:val="00D7277B"/>
    <w:rsid w:val="00D755EB"/>
    <w:rsid w:val="00D76619"/>
    <w:rsid w:val="00D77241"/>
    <w:rsid w:val="00D772E8"/>
    <w:rsid w:val="00D7779F"/>
    <w:rsid w:val="00D77F53"/>
    <w:rsid w:val="00D80E2B"/>
    <w:rsid w:val="00D81537"/>
    <w:rsid w:val="00D832AC"/>
    <w:rsid w:val="00D8484B"/>
    <w:rsid w:val="00D84D72"/>
    <w:rsid w:val="00D855F1"/>
    <w:rsid w:val="00D860CB"/>
    <w:rsid w:val="00D86672"/>
    <w:rsid w:val="00D869DF"/>
    <w:rsid w:val="00D86DB2"/>
    <w:rsid w:val="00D86EA6"/>
    <w:rsid w:val="00D87140"/>
    <w:rsid w:val="00D871C0"/>
    <w:rsid w:val="00D90B38"/>
    <w:rsid w:val="00D91644"/>
    <w:rsid w:val="00D939B2"/>
    <w:rsid w:val="00D943F7"/>
    <w:rsid w:val="00D94A7C"/>
    <w:rsid w:val="00D954AF"/>
    <w:rsid w:val="00D95896"/>
    <w:rsid w:val="00D965AF"/>
    <w:rsid w:val="00D965E5"/>
    <w:rsid w:val="00D976E8"/>
    <w:rsid w:val="00DA0A8C"/>
    <w:rsid w:val="00DA1EAB"/>
    <w:rsid w:val="00DA2DAA"/>
    <w:rsid w:val="00DA3720"/>
    <w:rsid w:val="00DA3D29"/>
    <w:rsid w:val="00DA5143"/>
    <w:rsid w:val="00DA53CA"/>
    <w:rsid w:val="00DA5FD6"/>
    <w:rsid w:val="00DA6263"/>
    <w:rsid w:val="00DA6AB8"/>
    <w:rsid w:val="00DA6E62"/>
    <w:rsid w:val="00DA7704"/>
    <w:rsid w:val="00DA7B66"/>
    <w:rsid w:val="00DB0042"/>
    <w:rsid w:val="00DB0361"/>
    <w:rsid w:val="00DB112C"/>
    <w:rsid w:val="00DB26A0"/>
    <w:rsid w:val="00DB2983"/>
    <w:rsid w:val="00DB3106"/>
    <w:rsid w:val="00DB3689"/>
    <w:rsid w:val="00DB3F07"/>
    <w:rsid w:val="00DB4487"/>
    <w:rsid w:val="00DB7DE5"/>
    <w:rsid w:val="00DC0C1C"/>
    <w:rsid w:val="00DC109A"/>
    <w:rsid w:val="00DC1257"/>
    <w:rsid w:val="00DC1579"/>
    <w:rsid w:val="00DC2238"/>
    <w:rsid w:val="00DC2A5C"/>
    <w:rsid w:val="00DC3DC0"/>
    <w:rsid w:val="00DC4C96"/>
    <w:rsid w:val="00DC5915"/>
    <w:rsid w:val="00DC5B2B"/>
    <w:rsid w:val="00DC6533"/>
    <w:rsid w:val="00DC673F"/>
    <w:rsid w:val="00DC743A"/>
    <w:rsid w:val="00DC7C9B"/>
    <w:rsid w:val="00DC7FE1"/>
    <w:rsid w:val="00DD0564"/>
    <w:rsid w:val="00DD0E94"/>
    <w:rsid w:val="00DD1A71"/>
    <w:rsid w:val="00DD22D0"/>
    <w:rsid w:val="00DD24F2"/>
    <w:rsid w:val="00DD2FDC"/>
    <w:rsid w:val="00DD318D"/>
    <w:rsid w:val="00DD3FD5"/>
    <w:rsid w:val="00DD423A"/>
    <w:rsid w:val="00DD43BF"/>
    <w:rsid w:val="00DD4EBA"/>
    <w:rsid w:val="00DD5E1E"/>
    <w:rsid w:val="00DD608F"/>
    <w:rsid w:val="00DD6C67"/>
    <w:rsid w:val="00DD6E99"/>
    <w:rsid w:val="00DD7395"/>
    <w:rsid w:val="00DE0018"/>
    <w:rsid w:val="00DE09E3"/>
    <w:rsid w:val="00DE0A42"/>
    <w:rsid w:val="00DE0C72"/>
    <w:rsid w:val="00DE3357"/>
    <w:rsid w:val="00DE4694"/>
    <w:rsid w:val="00DE64BA"/>
    <w:rsid w:val="00DE661B"/>
    <w:rsid w:val="00DE705D"/>
    <w:rsid w:val="00DE77FE"/>
    <w:rsid w:val="00DF2E12"/>
    <w:rsid w:val="00DF4227"/>
    <w:rsid w:val="00DF4443"/>
    <w:rsid w:val="00DF514A"/>
    <w:rsid w:val="00DF5560"/>
    <w:rsid w:val="00DF6690"/>
    <w:rsid w:val="00DF6804"/>
    <w:rsid w:val="00DF71CF"/>
    <w:rsid w:val="00DF730C"/>
    <w:rsid w:val="00DF7444"/>
    <w:rsid w:val="00E002BC"/>
    <w:rsid w:val="00E00C2A"/>
    <w:rsid w:val="00E02159"/>
    <w:rsid w:val="00E030F8"/>
    <w:rsid w:val="00E0358D"/>
    <w:rsid w:val="00E038D6"/>
    <w:rsid w:val="00E04323"/>
    <w:rsid w:val="00E070A2"/>
    <w:rsid w:val="00E079C5"/>
    <w:rsid w:val="00E101AF"/>
    <w:rsid w:val="00E12143"/>
    <w:rsid w:val="00E1334D"/>
    <w:rsid w:val="00E13497"/>
    <w:rsid w:val="00E1696F"/>
    <w:rsid w:val="00E210D3"/>
    <w:rsid w:val="00E21CC7"/>
    <w:rsid w:val="00E24C9A"/>
    <w:rsid w:val="00E25C88"/>
    <w:rsid w:val="00E26044"/>
    <w:rsid w:val="00E2656A"/>
    <w:rsid w:val="00E27A98"/>
    <w:rsid w:val="00E306E7"/>
    <w:rsid w:val="00E323CA"/>
    <w:rsid w:val="00E33887"/>
    <w:rsid w:val="00E34493"/>
    <w:rsid w:val="00E34735"/>
    <w:rsid w:val="00E37944"/>
    <w:rsid w:val="00E412D0"/>
    <w:rsid w:val="00E41490"/>
    <w:rsid w:val="00E4161C"/>
    <w:rsid w:val="00E42FFB"/>
    <w:rsid w:val="00E43A55"/>
    <w:rsid w:val="00E456B1"/>
    <w:rsid w:val="00E4664A"/>
    <w:rsid w:val="00E478A9"/>
    <w:rsid w:val="00E524E0"/>
    <w:rsid w:val="00E537CA"/>
    <w:rsid w:val="00E53C3F"/>
    <w:rsid w:val="00E56322"/>
    <w:rsid w:val="00E56E2B"/>
    <w:rsid w:val="00E56FB8"/>
    <w:rsid w:val="00E57348"/>
    <w:rsid w:val="00E60982"/>
    <w:rsid w:val="00E62C62"/>
    <w:rsid w:val="00E62FFC"/>
    <w:rsid w:val="00E65043"/>
    <w:rsid w:val="00E6526D"/>
    <w:rsid w:val="00E654C1"/>
    <w:rsid w:val="00E65D97"/>
    <w:rsid w:val="00E667EE"/>
    <w:rsid w:val="00E677FF"/>
    <w:rsid w:val="00E70E84"/>
    <w:rsid w:val="00E71736"/>
    <w:rsid w:val="00E72A5A"/>
    <w:rsid w:val="00E73354"/>
    <w:rsid w:val="00E74DBA"/>
    <w:rsid w:val="00E75EEB"/>
    <w:rsid w:val="00E7741A"/>
    <w:rsid w:val="00E7779D"/>
    <w:rsid w:val="00E8173D"/>
    <w:rsid w:val="00E82D5B"/>
    <w:rsid w:val="00E8347C"/>
    <w:rsid w:val="00E85FBE"/>
    <w:rsid w:val="00E8614F"/>
    <w:rsid w:val="00E9164D"/>
    <w:rsid w:val="00E9242D"/>
    <w:rsid w:val="00E9320E"/>
    <w:rsid w:val="00E936AE"/>
    <w:rsid w:val="00E93FF6"/>
    <w:rsid w:val="00E963AA"/>
    <w:rsid w:val="00E96579"/>
    <w:rsid w:val="00EA122F"/>
    <w:rsid w:val="00EA1E12"/>
    <w:rsid w:val="00EA3AFD"/>
    <w:rsid w:val="00EA3D7A"/>
    <w:rsid w:val="00EA3E15"/>
    <w:rsid w:val="00EA50A8"/>
    <w:rsid w:val="00EA6201"/>
    <w:rsid w:val="00EA651D"/>
    <w:rsid w:val="00EB15A4"/>
    <w:rsid w:val="00EB1671"/>
    <w:rsid w:val="00EB2A45"/>
    <w:rsid w:val="00EB3B9B"/>
    <w:rsid w:val="00EB5255"/>
    <w:rsid w:val="00EB5B52"/>
    <w:rsid w:val="00EB5B67"/>
    <w:rsid w:val="00EB5C47"/>
    <w:rsid w:val="00EB7B98"/>
    <w:rsid w:val="00EC01EE"/>
    <w:rsid w:val="00EC0639"/>
    <w:rsid w:val="00EC2D6C"/>
    <w:rsid w:val="00EC5854"/>
    <w:rsid w:val="00EC635F"/>
    <w:rsid w:val="00EC6D2F"/>
    <w:rsid w:val="00EC7976"/>
    <w:rsid w:val="00EC7A86"/>
    <w:rsid w:val="00ED0639"/>
    <w:rsid w:val="00ED08E1"/>
    <w:rsid w:val="00ED0981"/>
    <w:rsid w:val="00ED0CE3"/>
    <w:rsid w:val="00ED2075"/>
    <w:rsid w:val="00ED41D8"/>
    <w:rsid w:val="00ED5CCA"/>
    <w:rsid w:val="00ED74BC"/>
    <w:rsid w:val="00ED7780"/>
    <w:rsid w:val="00EE0D62"/>
    <w:rsid w:val="00EE0ECE"/>
    <w:rsid w:val="00EE2021"/>
    <w:rsid w:val="00EE2678"/>
    <w:rsid w:val="00EE4576"/>
    <w:rsid w:val="00EE5B36"/>
    <w:rsid w:val="00EE6651"/>
    <w:rsid w:val="00EF4755"/>
    <w:rsid w:val="00EF514C"/>
    <w:rsid w:val="00EF5E23"/>
    <w:rsid w:val="00EF7135"/>
    <w:rsid w:val="00EF7A42"/>
    <w:rsid w:val="00F013AC"/>
    <w:rsid w:val="00F02599"/>
    <w:rsid w:val="00F027DB"/>
    <w:rsid w:val="00F03A80"/>
    <w:rsid w:val="00F04FEA"/>
    <w:rsid w:val="00F1260E"/>
    <w:rsid w:val="00F12E10"/>
    <w:rsid w:val="00F1436C"/>
    <w:rsid w:val="00F14A7A"/>
    <w:rsid w:val="00F151D4"/>
    <w:rsid w:val="00F1713E"/>
    <w:rsid w:val="00F173C2"/>
    <w:rsid w:val="00F2053A"/>
    <w:rsid w:val="00F22063"/>
    <w:rsid w:val="00F22985"/>
    <w:rsid w:val="00F2316A"/>
    <w:rsid w:val="00F23584"/>
    <w:rsid w:val="00F23C5D"/>
    <w:rsid w:val="00F23C6B"/>
    <w:rsid w:val="00F2403F"/>
    <w:rsid w:val="00F27244"/>
    <w:rsid w:val="00F32FB9"/>
    <w:rsid w:val="00F3383E"/>
    <w:rsid w:val="00F34CC2"/>
    <w:rsid w:val="00F34E81"/>
    <w:rsid w:val="00F36DFE"/>
    <w:rsid w:val="00F36F60"/>
    <w:rsid w:val="00F376CC"/>
    <w:rsid w:val="00F40E98"/>
    <w:rsid w:val="00F40F27"/>
    <w:rsid w:val="00F41837"/>
    <w:rsid w:val="00F4446B"/>
    <w:rsid w:val="00F45433"/>
    <w:rsid w:val="00F465A7"/>
    <w:rsid w:val="00F47D30"/>
    <w:rsid w:val="00F50B7C"/>
    <w:rsid w:val="00F50C8A"/>
    <w:rsid w:val="00F5102F"/>
    <w:rsid w:val="00F5170F"/>
    <w:rsid w:val="00F52248"/>
    <w:rsid w:val="00F52F11"/>
    <w:rsid w:val="00F52F61"/>
    <w:rsid w:val="00F5394A"/>
    <w:rsid w:val="00F547F5"/>
    <w:rsid w:val="00F54BFE"/>
    <w:rsid w:val="00F54FB8"/>
    <w:rsid w:val="00F550E6"/>
    <w:rsid w:val="00F553DB"/>
    <w:rsid w:val="00F55E16"/>
    <w:rsid w:val="00F613DA"/>
    <w:rsid w:val="00F61C6C"/>
    <w:rsid w:val="00F62F0C"/>
    <w:rsid w:val="00F63009"/>
    <w:rsid w:val="00F63475"/>
    <w:rsid w:val="00F64241"/>
    <w:rsid w:val="00F64A3C"/>
    <w:rsid w:val="00F66A5A"/>
    <w:rsid w:val="00F67B6F"/>
    <w:rsid w:val="00F705B4"/>
    <w:rsid w:val="00F70DBC"/>
    <w:rsid w:val="00F740A5"/>
    <w:rsid w:val="00F74345"/>
    <w:rsid w:val="00F761E6"/>
    <w:rsid w:val="00F77ED7"/>
    <w:rsid w:val="00F80A0A"/>
    <w:rsid w:val="00F81B55"/>
    <w:rsid w:val="00F827AC"/>
    <w:rsid w:val="00F82B19"/>
    <w:rsid w:val="00F82D7D"/>
    <w:rsid w:val="00F83B7D"/>
    <w:rsid w:val="00F83C9E"/>
    <w:rsid w:val="00F85E2F"/>
    <w:rsid w:val="00F861FA"/>
    <w:rsid w:val="00F8715F"/>
    <w:rsid w:val="00F87524"/>
    <w:rsid w:val="00F877A7"/>
    <w:rsid w:val="00F878F7"/>
    <w:rsid w:val="00F87DFD"/>
    <w:rsid w:val="00F917F6"/>
    <w:rsid w:val="00F91C1F"/>
    <w:rsid w:val="00F9212D"/>
    <w:rsid w:val="00F9215E"/>
    <w:rsid w:val="00F92443"/>
    <w:rsid w:val="00F92D62"/>
    <w:rsid w:val="00F9300F"/>
    <w:rsid w:val="00F936AA"/>
    <w:rsid w:val="00F93A6A"/>
    <w:rsid w:val="00F94782"/>
    <w:rsid w:val="00F965DA"/>
    <w:rsid w:val="00F97A3E"/>
    <w:rsid w:val="00FA3C84"/>
    <w:rsid w:val="00FA406A"/>
    <w:rsid w:val="00FA65E9"/>
    <w:rsid w:val="00FB1FF7"/>
    <w:rsid w:val="00FB4FF9"/>
    <w:rsid w:val="00FB503A"/>
    <w:rsid w:val="00FB516C"/>
    <w:rsid w:val="00FB578F"/>
    <w:rsid w:val="00FB6F15"/>
    <w:rsid w:val="00FB7883"/>
    <w:rsid w:val="00FC03D0"/>
    <w:rsid w:val="00FC2C9D"/>
    <w:rsid w:val="00FC35A9"/>
    <w:rsid w:val="00FD0236"/>
    <w:rsid w:val="00FD0259"/>
    <w:rsid w:val="00FD0BA9"/>
    <w:rsid w:val="00FD10BE"/>
    <w:rsid w:val="00FD18F4"/>
    <w:rsid w:val="00FD28A4"/>
    <w:rsid w:val="00FD2D91"/>
    <w:rsid w:val="00FD36B4"/>
    <w:rsid w:val="00FD54DB"/>
    <w:rsid w:val="00FD619F"/>
    <w:rsid w:val="00FE01B8"/>
    <w:rsid w:val="00FE03F1"/>
    <w:rsid w:val="00FE1AA1"/>
    <w:rsid w:val="00FE1C30"/>
    <w:rsid w:val="00FE27F3"/>
    <w:rsid w:val="00FE28AC"/>
    <w:rsid w:val="00FE30D0"/>
    <w:rsid w:val="00FE32D9"/>
    <w:rsid w:val="00FE3B18"/>
    <w:rsid w:val="00FE675C"/>
    <w:rsid w:val="00FF0A2C"/>
    <w:rsid w:val="00FF3C11"/>
    <w:rsid w:val="00FF41CB"/>
    <w:rsid w:val="00FF6E9C"/>
    <w:rsid w:val="00FF721B"/>
    <w:rsid w:val="00FF7C8C"/>
    <w:rsid w:val="01290F7E"/>
    <w:rsid w:val="015D1E09"/>
    <w:rsid w:val="0192652E"/>
    <w:rsid w:val="01AF15A9"/>
    <w:rsid w:val="02697903"/>
    <w:rsid w:val="02C5286D"/>
    <w:rsid w:val="02F96569"/>
    <w:rsid w:val="03EA7B21"/>
    <w:rsid w:val="04294F27"/>
    <w:rsid w:val="04456F86"/>
    <w:rsid w:val="04CE63E3"/>
    <w:rsid w:val="04DF2056"/>
    <w:rsid w:val="04E13F01"/>
    <w:rsid w:val="055C30DB"/>
    <w:rsid w:val="05F83EAE"/>
    <w:rsid w:val="063E7D85"/>
    <w:rsid w:val="07293586"/>
    <w:rsid w:val="07295285"/>
    <w:rsid w:val="07571DAC"/>
    <w:rsid w:val="07636392"/>
    <w:rsid w:val="07770C56"/>
    <w:rsid w:val="092217DD"/>
    <w:rsid w:val="093A7294"/>
    <w:rsid w:val="094E5430"/>
    <w:rsid w:val="09EE1593"/>
    <w:rsid w:val="0A050305"/>
    <w:rsid w:val="0A263993"/>
    <w:rsid w:val="0A2D3AC2"/>
    <w:rsid w:val="0A816294"/>
    <w:rsid w:val="0AA755DF"/>
    <w:rsid w:val="0AB71ACD"/>
    <w:rsid w:val="0B120D44"/>
    <w:rsid w:val="0B723658"/>
    <w:rsid w:val="0BD27BF6"/>
    <w:rsid w:val="0C3B3C7D"/>
    <w:rsid w:val="0C436DA2"/>
    <w:rsid w:val="0C9F014E"/>
    <w:rsid w:val="0CAB2EAE"/>
    <w:rsid w:val="0CF068AA"/>
    <w:rsid w:val="0D621C7D"/>
    <w:rsid w:val="0E73034D"/>
    <w:rsid w:val="0F13775A"/>
    <w:rsid w:val="0F5A68DD"/>
    <w:rsid w:val="0F5F45FE"/>
    <w:rsid w:val="0F656EB3"/>
    <w:rsid w:val="0F6D7F82"/>
    <w:rsid w:val="0F916077"/>
    <w:rsid w:val="0F9A112B"/>
    <w:rsid w:val="106D2F64"/>
    <w:rsid w:val="107772F2"/>
    <w:rsid w:val="10B63710"/>
    <w:rsid w:val="10BF3E80"/>
    <w:rsid w:val="10F10820"/>
    <w:rsid w:val="111C2F7A"/>
    <w:rsid w:val="11665CA1"/>
    <w:rsid w:val="138C7281"/>
    <w:rsid w:val="13951726"/>
    <w:rsid w:val="14396509"/>
    <w:rsid w:val="14DD2C3C"/>
    <w:rsid w:val="157D1577"/>
    <w:rsid w:val="15B61475"/>
    <w:rsid w:val="16087E1D"/>
    <w:rsid w:val="176B54DC"/>
    <w:rsid w:val="176D709B"/>
    <w:rsid w:val="17701D14"/>
    <w:rsid w:val="17735226"/>
    <w:rsid w:val="189F624C"/>
    <w:rsid w:val="19306328"/>
    <w:rsid w:val="1A1C66C0"/>
    <w:rsid w:val="1A42393B"/>
    <w:rsid w:val="1AAD45DE"/>
    <w:rsid w:val="1B046F80"/>
    <w:rsid w:val="1B3267B5"/>
    <w:rsid w:val="1B40161D"/>
    <w:rsid w:val="1B441859"/>
    <w:rsid w:val="1B4B2131"/>
    <w:rsid w:val="1B6606B1"/>
    <w:rsid w:val="1C5E7925"/>
    <w:rsid w:val="1C6C4E6E"/>
    <w:rsid w:val="1CC87232"/>
    <w:rsid w:val="1CFD070F"/>
    <w:rsid w:val="1D250BC5"/>
    <w:rsid w:val="1D5F6196"/>
    <w:rsid w:val="1D6132A5"/>
    <w:rsid w:val="1D8E56D5"/>
    <w:rsid w:val="1E714261"/>
    <w:rsid w:val="1E7A43DA"/>
    <w:rsid w:val="1F271696"/>
    <w:rsid w:val="1FE7539E"/>
    <w:rsid w:val="20671BE0"/>
    <w:rsid w:val="20963CB8"/>
    <w:rsid w:val="20A81A1B"/>
    <w:rsid w:val="20B07FB6"/>
    <w:rsid w:val="20B646FB"/>
    <w:rsid w:val="213B74B1"/>
    <w:rsid w:val="215A2310"/>
    <w:rsid w:val="21DE318A"/>
    <w:rsid w:val="21EF5B80"/>
    <w:rsid w:val="2254540E"/>
    <w:rsid w:val="22576990"/>
    <w:rsid w:val="22F47480"/>
    <w:rsid w:val="23DD2953"/>
    <w:rsid w:val="23DE1C48"/>
    <w:rsid w:val="240210CD"/>
    <w:rsid w:val="24311FB5"/>
    <w:rsid w:val="249B0281"/>
    <w:rsid w:val="24BF09F7"/>
    <w:rsid w:val="2503422F"/>
    <w:rsid w:val="252D53FE"/>
    <w:rsid w:val="254D6046"/>
    <w:rsid w:val="25EB7E37"/>
    <w:rsid w:val="25EC2D81"/>
    <w:rsid w:val="277057A2"/>
    <w:rsid w:val="27FC58BA"/>
    <w:rsid w:val="29206EB8"/>
    <w:rsid w:val="29595666"/>
    <w:rsid w:val="29874881"/>
    <w:rsid w:val="299F2F19"/>
    <w:rsid w:val="29E325E0"/>
    <w:rsid w:val="2A452503"/>
    <w:rsid w:val="2B475B50"/>
    <w:rsid w:val="2BA936A8"/>
    <w:rsid w:val="2BE77904"/>
    <w:rsid w:val="2C315A5A"/>
    <w:rsid w:val="2C4B1C25"/>
    <w:rsid w:val="2C6D5A4A"/>
    <w:rsid w:val="2D9E56F5"/>
    <w:rsid w:val="2E5D1AEE"/>
    <w:rsid w:val="2E667F96"/>
    <w:rsid w:val="2E8226AB"/>
    <w:rsid w:val="2F2C2BEE"/>
    <w:rsid w:val="2FD065E6"/>
    <w:rsid w:val="2FD96870"/>
    <w:rsid w:val="304734C0"/>
    <w:rsid w:val="30580BC9"/>
    <w:rsid w:val="307F7AFA"/>
    <w:rsid w:val="30B52FF5"/>
    <w:rsid w:val="311E2ED7"/>
    <w:rsid w:val="315619EE"/>
    <w:rsid w:val="315C449C"/>
    <w:rsid w:val="31935693"/>
    <w:rsid w:val="31A73E07"/>
    <w:rsid w:val="31B82709"/>
    <w:rsid w:val="31D05482"/>
    <w:rsid w:val="32400B34"/>
    <w:rsid w:val="329E6876"/>
    <w:rsid w:val="32A5618E"/>
    <w:rsid w:val="32F333E9"/>
    <w:rsid w:val="333015F2"/>
    <w:rsid w:val="33424D51"/>
    <w:rsid w:val="334B6320"/>
    <w:rsid w:val="33D934D4"/>
    <w:rsid w:val="33F24FCD"/>
    <w:rsid w:val="33FE2F6A"/>
    <w:rsid w:val="340E07E5"/>
    <w:rsid w:val="34235BF7"/>
    <w:rsid w:val="343A0036"/>
    <w:rsid w:val="34AE4E51"/>
    <w:rsid w:val="35614F5E"/>
    <w:rsid w:val="358C5FA8"/>
    <w:rsid w:val="35C15DF1"/>
    <w:rsid w:val="36074A7F"/>
    <w:rsid w:val="360F4A75"/>
    <w:rsid w:val="36923549"/>
    <w:rsid w:val="36B75FBF"/>
    <w:rsid w:val="36BD0C45"/>
    <w:rsid w:val="374B2E2B"/>
    <w:rsid w:val="37D232A2"/>
    <w:rsid w:val="37E00298"/>
    <w:rsid w:val="38B302F9"/>
    <w:rsid w:val="38D11145"/>
    <w:rsid w:val="38F12CD3"/>
    <w:rsid w:val="38F94775"/>
    <w:rsid w:val="392971ED"/>
    <w:rsid w:val="39325651"/>
    <w:rsid w:val="39C45C5E"/>
    <w:rsid w:val="3A872856"/>
    <w:rsid w:val="3B3763D1"/>
    <w:rsid w:val="3C2D6C4E"/>
    <w:rsid w:val="3C2F6E1E"/>
    <w:rsid w:val="3C4F64BA"/>
    <w:rsid w:val="3CBD0327"/>
    <w:rsid w:val="3CDA245A"/>
    <w:rsid w:val="3D1E06B7"/>
    <w:rsid w:val="3D312EC6"/>
    <w:rsid w:val="3EDA0523"/>
    <w:rsid w:val="3F966A76"/>
    <w:rsid w:val="407A6407"/>
    <w:rsid w:val="407F636E"/>
    <w:rsid w:val="41057007"/>
    <w:rsid w:val="41D01A44"/>
    <w:rsid w:val="4200449D"/>
    <w:rsid w:val="42141B12"/>
    <w:rsid w:val="423A3BCC"/>
    <w:rsid w:val="424E57D2"/>
    <w:rsid w:val="428A193E"/>
    <w:rsid w:val="42B26C49"/>
    <w:rsid w:val="433A6FE6"/>
    <w:rsid w:val="43480868"/>
    <w:rsid w:val="4350713C"/>
    <w:rsid w:val="436653E0"/>
    <w:rsid w:val="43C4431A"/>
    <w:rsid w:val="44932477"/>
    <w:rsid w:val="44A7472F"/>
    <w:rsid w:val="44B951CC"/>
    <w:rsid w:val="44CD14E0"/>
    <w:rsid w:val="44F20B0B"/>
    <w:rsid w:val="45264951"/>
    <w:rsid w:val="452E5F4C"/>
    <w:rsid w:val="45612018"/>
    <w:rsid w:val="458946E9"/>
    <w:rsid w:val="45A47C0E"/>
    <w:rsid w:val="45D70594"/>
    <w:rsid w:val="460F48B7"/>
    <w:rsid w:val="46577FD6"/>
    <w:rsid w:val="46A9372C"/>
    <w:rsid w:val="46D955A7"/>
    <w:rsid w:val="47133957"/>
    <w:rsid w:val="47911B1A"/>
    <w:rsid w:val="47A07E0C"/>
    <w:rsid w:val="4870272E"/>
    <w:rsid w:val="49064E04"/>
    <w:rsid w:val="49210FA0"/>
    <w:rsid w:val="49DC7715"/>
    <w:rsid w:val="49EA57AC"/>
    <w:rsid w:val="4A023139"/>
    <w:rsid w:val="4A7B576F"/>
    <w:rsid w:val="4A950E2B"/>
    <w:rsid w:val="4AA743C5"/>
    <w:rsid w:val="4AF561A9"/>
    <w:rsid w:val="4BCD234C"/>
    <w:rsid w:val="4BD5286C"/>
    <w:rsid w:val="4C4A0649"/>
    <w:rsid w:val="4C7E5ECA"/>
    <w:rsid w:val="4C876AA5"/>
    <w:rsid w:val="4D0E00FB"/>
    <w:rsid w:val="4D176606"/>
    <w:rsid w:val="4DEC4FB0"/>
    <w:rsid w:val="4E075D8A"/>
    <w:rsid w:val="4E2344C1"/>
    <w:rsid w:val="4EC00FAD"/>
    <w:rsid w:val="4ECD5026"/>
    <w:rsid w:val="4F287683"/>
    <w:rsid w:val="4F9843DC"/>
    <w:rsid w:val="4FBF3D7B"/>
    <w:rsid w:val="4FC62A8C"/>
    <w:rsid w:val="4FC87A4E"/>
    <w:rsid w:val="4FE20F0D"/>
    <w:rsid w:val="4FE51552"/>
    <w:rsid w:val="50504C4B"/>
    <w:rsid w:val="509C6E7C"/>
    <w:rsid w:val="50CD2CDB"/>
    <w:rsid w:val="510968EA"/>
    <w:rsid w:val="5162104E"/>
    <w:rsid w:val="53233749"/>
    <w:rsid w:val="537F7C8D"/>
    <w:rsid w:val="53A039CC"/>
    <w:rsid w:val="53A1505A"/>
    <w:rsid w:val="53DF5F65"/>
    <w:rsid w:val="54063E08"/>
    <w:rsid w:val="543437E8"/>
    <w:rsid w:val="54F73313"/>
    <w:rsid w:val="54F80955"/>
    <w:rsid w:val="553F6848"/>
    <w:rsid w:val="555170A7"/>
    <w:rsid w:val="55667A04"/>
    <w:rsid w:val="5587536D"/>
    <w:rsid w:val="559B174B"/>
    <w:rsid w:val="55CE0CF4"/>
    <w:rsid w:val="560C0536"/>
    <w:rsid w:val="563F3789"/>
    <w:rsid w:val="56B22A9C"/>
    <w:rsid w:val="56C8580D"/>
    <w:rsid w:val="57B72A76"/>
    <w:rsid w:val="57C3426C"/>
    <w:rsid w:val="57CE1F93"/>
    <w:rsid w:val="582C415B"/>
    <w:rsid w:val="588743D1"/>
    <w:rsid w:val="5887701A"/>
    <w:rsid w:val="58A42C00"/>
    <w:rsid w:val="59C0439F"/>
    <w:rsid w:val="59EC5950"/>
    <w:rsid w:val="5ABE2233"/>
    <w:rsid w:val="5B791466"/>
    <w:rsid w:val="5BDF5D95"/>
    <w:rsid w:val="5BFE7528"/>
    <w:rsid w:val="5C316064"/>
    <w:rsid w:val="5CBC2C8A"/>
    <w:rsid w:val="5DD279F0"/>
    <w:rsid w:val="5E2467F1"/>
    <w:rsid w:val="5E510478"/>
    <w:rsid w:val="5F1A2B43"/>
    <w:rsid w:val="5F443DDF"/>
    <w:rsid w:val="5F4F7C99"/>
    <w:rsid w:val="5FB32469"/>
    <w:rsid w:val="5FB837BB"/>
    <w:rsid w:val="60C6301A"/>
    <w:rsid w:val="60CC405A"/>
    <w:rsid w:val="616C2767"/>
    <w:rsid w:val="61E215D8"/>
    <w:rsid w:val="621B3775"/>
    <w:rsid w:val="62364782"/>
    <w:rsid w:val="62593D9F"/>
    <w:rsid w:val="6394356A"/>
    <w:rsid w:val="63C61B2C"/>
    <w:rsid w:val="63D40BE9"/>
    <w:rsid w:val="64102431"/>
    <w:rsid w:val="641A1D17"/>
    <w:rsid w:val="64A5243A"/>
    <w:rsid w:val="64F531DE"/>
    <w:rsid w:val="65373578"/>
    <w:rsid w:val="667411A7"/>
    <w:rsid w:val="668C4743"/>
    <w:rsid w:val="671F124A"/>
    <w:rsid w:val="6770495C"/>
    <w:rsid w:val="677A33C6"/>
    <w:rsid w:val="67C9107F"/>
    <w:rsid w:val="681F6961"/>
    <w:rsid w:val="68610A2F"/>
    <w:rsid w:val="68805514"/>
    <w:rsid w:val="69004577"/>
    <w:rsid w:val="69316E2F"/>
    <w:rsid w:val="694E2071"/>
    <w:rsid w:val="69766163"/>
    <w:rsid w:val="697A3B33"/>
    <w:rsid w:val="69D44760"/>
    <w:rsid w:val="6A06671A"/>
    <w:rsid w:val="6A520EC7"/>
    <w:rsid w:val="6A8127CE"/>
    <w:rsid w:val="6AF87E20"/>
    <w:rsid w:val="6B322639"/>
    <w:rsid w:val="6C636C38"/>
    <w:rsid w:val="6C8E319F"/>
    <w:rsid w:val="6D335A86"/>
    <w:rsid w:val="6D6455C0"/>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9D1EAA"/>
    <w:rsid w:val="73C51AD5"/>
    <w:rsid w:val="73D45189"/>
    <w:rsid w:val="73D7055F"/>
    <w:rsid w:val="73F150D7"/>
    <w:rsid w:val="741E793C"/>
    <w:rsid w:val="745E3944"/>
    <w:rsid w:val="75051A20"/>
    <w:rsid w:val="75DB4343"/>
    <w:rsid w:val="76225F59"/>
    <w:rsid w:val="7635099D"/>
    <w:rsid w:val="77762421"/>
    <w:rsid w:val="77792BBC"/>
    <w:rsid w:val="77B56B1F"/>
    <w:rsid w:val="780F09F4"/>
    <w:rsid w:val="78A90480"/>
    <w:rsid w:val="7A1D5E9F"/>
    <w:rsid w:val="7A364017"/>
    <w:rsid w:val="7A8265E1"/>
    <w:rsid w:val="7B13622C"/>
    <w:rsid w:val="7B5472B9"/>
    <w:rsid w:val="7B686D42"/>
    <w:rsid w:val="7B841746"/>
    <w:rsid w:val="7C6C5AC7"/>
    <w:rsid w:val="7CC6544B"/>
    <w:rsid w:val="7CCD0331"/>
    <w:rsid w:val="7D0239FF"/>
    <w:rsid w:val="7D5E40CD"/>
    <w:rsid w:val="7D68175F"/>
    <w:rsid w:val="7D9C4D9B"/>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39" w:semiHidden="0" w:name="toc 1" w:locked="1"/>
    <w:lsdException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name="Balloon Text"/>
    <w:lsdException w:qFormat="1" w:unhideWhenUsed="0" w:uiPriority="0" w:semiHidden="0" w:name="Table Grid"/>
    <w:lsdException w:unhideWhenUsed="0" w:uiPriority="0" w:semiHidden="0" w:name="Table Theme" w:locked="1"/>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99"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locked/>
    <w:uiPriority w:val="99"/>
    <w:pPr>
      <w:keepNext/>
      <w:numPr>
        <w:ilvl w:val="0"/>
        <w:numId w:val="1"/>
      </w:numPr>
      <w:overflowPunct w:val="0"/>
      <w:snapToGrid w:val="0"/>
      <w:spacing w:before="120" w:after="160" w:line="259" w:lineRule="auto"/>
      <w:outlineLvl w:val="0"/>
    </w:pPr>
    <w:rPr>
      <w:rFonts w:eastAsia="黑体"/>
      <w:b/>
      <w:bCs/>
      <w:color w:val="000000"/>
      <w:kern w:val="44"/>
      <w:sz w:val="30"/>
      <w:szCs w:val="30"/>
    </w:rPr>
  </w:style>
  <w:style w:type="paragraph" w:styleId="3">
    <w:name w:val="heading 2"/>
    <w:basedOn w:val="1"/>
    <w:next w:val="1"/>
    <w:link w:val="44"/>
    <w:qFormat/>
    <w:locked/>
    <w:uiPriority w:val="0"/>
    <w:pPr>
      <w:keepNext/>
      <w:keepLines/>
      <w:numPr>
        <w:ilvl w:val="1"/>
        <w:numId w:val="1"/>
      </w:numPr>
      <w:spacing w:line="360" w:lineRule="auto"/>
      <w:ind w:left="0" w:firstLine="0"/>
      <w:outlineLvl w:val="1"/>
    </w:pPr>
    <w:rPr>
      <w:b/>
      <w:bCs/>
      <w:sz w:val="28"/>
      <w:szCs w:val="28"/>
    </w:rPr>
  </w:style>
  <w:style w:type="paragraph" w:styleId="4">
    <w:name w:val="heading 3"/>
    <w:basedOn w:val="1"/>
    <w:next w:val="1"/>
    <w:link w:val="45"/>
    <w:qFormat/>
    <w:locked/>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6"/>
    <w:qFormat/>
    <w:locked/>
    <w:uiPriority w:val="0"/>
    <w:pPr>
      <w:keepNext/>
      <w:keepLines/>
      <w:numPr>
        <w:ilvl w:val="3"/>
        <w:numId w:val="1"/>
      </w:numPr>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47"/>
    <w:qFormat/>
    <w:locked/>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8"/>
    <w:qFormat/>
    <w:locked/>
    <w:uiPriority w:val="0"/>
    <w:pPr>
      <w:keepNext/>
      <w:keepLines/>
      <w:numPr>
        <w:ilvl w:val="5"/>
        <w:numId w:val="1"/>
      </w:numPr>
      <w:spacing w:before="240" w:after="64" w:line="320" w:lineRule="auto"/>
      <w:outlineLvl w:val="5"/>
    </w:pPr>
    <w:rPr>
      <w:rFonts w:ascii="等线 Light" w:hAnsi="等线 Light" w:eastAsia="等线 Light"/>
      <w:b/>
      <w:bCs/>
      <w:sz w:val="24"/>
    </w:rPr>
  </w:style>
  <w:style w:type="paragraph" w:styleId="8">
    <w:name w:val="heading 7"/>
    <w:basedOn w:val="1"/>
    <w:next w:val="1"/>
    <w:link w:val="49"/>
    <w:qFormat/>
    <w:locked/>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50"/>
    <w:qFormat/>
    <w:locked/>
    <w:uiPriority w:val="0"/>
    <w:pPr>
      <w:keepNext/>
      <w:keepLines/>
      <w:numPr>
        <w:ilvl w:val="7"/>
        <w:numId w:val="1"/>
      </w:numPr>
      <w:spacing w:before="240" w:after="64" w:line="320" w:lineRule="auto"/>
      <w:outlineLvl w:val="7"/>
    </w:pPr>
    <w:rPr>
      <w:rFonts w:ascii="等线 Light" w:hAnsi="等线 Light" w:eastAsia="等线 Light"/>
      <w:sz w:val="24"/>
    </w:rPr>
  </w:style>
  <w:style w:type="paragraph" w:styleId="10">
    <w:name w:val="heading 9"/>
    <w:basedOn w:val="1"/>
    <w:next w:val="1"/>
    <w:link w:val="51"/>
    <w:qFormat/>
    <w:locked/>
    <w:uiPriority w:val="0"/>
    <w:pPr>
      <w:keepNext/>
      <w:keepLines/>
      <w:numPr>
        <w:ilvl w:val="8"/>
        <w:numId w:val="1"/>
      </w:numPr>
      <w:spacing w:before="240" w:after="64" w:line="320" w:lineRule="auto"/>
      <w:outlineLvl w:val="8"/>
    </w:pPr>
    <w:rPr>
      <w:rFonts w:ascii="等线 Light" w:hAnsi="等线 Light" w:eastAsia="等线 Light"/>
      <w:szCs w:val="21"/>
    </w:rPr>
  </w:style>
  <w:style w:type="character" w:default="1" w:styleId="37">
    <w:name w:val="Default Paragraph Font"/>
    <w:semiHidden/>
    <w:uiPriority w:val="0"/>
  </w:style>
  <w:style w:type="table" w:default="1" w:styleId="35">
    <w:name w:val="Normal Table"/>
    <w:semiHidden/>
    <w:uiPriority w:val="0"/>
    <w:tblPr>
      <w:tblStyle w:val="35"/>
      <w:tblCellMar>
        <w:top w:w="0" w:type="dxa"/>
        <w:left w:w="108" w:type="dxa"/>
        <w:bottom w:w="0" w:type="dxa"/>
        <w:right w:w="108" w:type="dxa"/>
      </w:tblCellMar>
    </w:tblPr>
  </w:style>
  <w:style w:type="paragraph" w:styleId="11">
    <w:name w:val="Normal Indent"/>
    <w:basedOn w:val="1"/>
    <w:qFormat/>
    <w:locked/>
    <w:uiPriority w:val="0"/>
    <w:pPr>
      <w:ind w:firstLine="200" w:firstLineChars="200"/>
    </w:pPr>
    <w:rPr>
      <w:sz w:val="28"/>
      <w:szCs w:val="20"/>
    </w:rPr>
  </w:style>
  <w:style w:type="paragraph" w:styleId="12">
    <w:name w:val="List Bullet"/>
    <w:basedOn w:val="1"/>
    <w:locked/>
    <w:uiPriority w:val="0"/>
    <w:pPr>
      <w:numPr>
        <w:ilvl w:val="0"/>
        <w:numId w:val="2"/>
      </w:numPr>
      <w:tabs>
        <w:tab w:val="left" w:pos="360"/>
      </w:tabs>
    </w:pPr>
    <w:rPr>
      <w:rFonts w:ascii="Calibri" w:hAnsi="Calibri"/>
      <w:szCs w:val="20"/>
    </w:rPr>
  </w:style>
  <w:style w:type="paragraph" w:styleId="13">
    <w:name w:val="Document Map"/>
    <w:basedOn w:val="1"/>
    <w:link w:val="52"/>
    <w:locked/>
    <w:uiPriority w:val="0"/>
    <w:rPr>
      <w:rFonts w:ascii="Microsoft YaHei UI" w:eastAsia="Microsoft YaHei UI"/>
      <w:sz w:val="18"/>
      <w:szCs w:val="18"/>
    </w:rPr>
  </w:style>
  <w:style w:type="paragraph" w:styleId="14">
    <w:name w:val="annotation text"/>
    <w:basedOn w:val="1"/>
    <w:link w:val="53"/>
    <w:uiPriority w:val="0"/>
    <w:pPr>
      <w:jc w:val="left"/>
    </w:pPr>
    <w:rPr>
      <w:kern w:val="0"/>
      <w:sz w:val="24"/>
      <w:szCs w:val="20"/>
    </w:rPr>
  </w:style>
  <w:style w:type="paragraph" w:styleId="15">
    <w:name w:val="Salutation"/>
    <w:basedOn w:val="1"/>
    <w:next w:val="1"/>
    <w:link w:val="54"/>
    <w:qFormat/>
    <w:locked/>
    <w:uiPriority w:val="0"/>
    <w:rPr>
      <w:b/>
      <w:bCs/>
    </w:rPr>
  </w:style>
  <w:style w:type="paragraph" w:styleId="16">
    <w:name w:val="Body Text"/>
    <w:basedOn w:val="1"/>
    <w:next w:val="1"/>
    <w:link w:val="55"/>
    <w:qFormat/>
    <w:uiPriority w:val="0"/>
    <w:pPr>
      <w:widowControl/>
      <w:snapToGrid w:val="0"/>
      <w:spacing w:before="60" w:after="160" w:line="259" w:lineRule="auto"/>
      <w:ind w:right="113"/>
    </w:pPr>
    <w:rPr>
      <w:kern w:val="0"/>
      <w:sz w:val="18"/>
      <w:szCs w:val="20"/>
    </w:rPr>
  </w:style>
  <w:style w:type="paragraph" w:styleId="17">
    <w:name w:val="Body Text Indent"/>
    <w:basedOn w:val="1"/>
    <w:link w:val="56"/>
    <w:uiPriority w:val="0"/>
    <w:pPr>
      <w:spacing w:after="120"/>
      <w:ind w:left="420" w:leftChars="200"/>
    </w:pPr>
    <w:rPr>
      <w:kern w:val="0"/>
      <w:sz w:val="24"/>
      <w:szCs w:val="20"/>
    </w:rPr>
  </w:style>
  <w:style w:type="paragraph" w:styleId="18">
    <w:name w:val="Plain Text"/>
    <w:basedOn w:val="1"/>
    <w:next w:val="15"/>
    <w:qFormat/>
    <w:locked/>
    <w:uiPriority w:val="0"/>
    <w:pPr>
      <w:spacing w:line="480" w:lineRule="exact"/>
      <w:ind w:firstLine="480" w:firstLineChars="200"/>
    </w:pPr>
    <w:rPr>
      <w:rFonts w:ascii="Times New Roman" w:hAnsi="Times New Roman" w:cs="Times New Roman"/>
      <w:sz w:val="24"/>
    </w:rPr>
  </w:style>
  <w:style w:type="paragraph" w:styleId="19">
    <w:name w:val="List Bullet 5"/>
    <w:basedOn w:val="1"/>
    <w:locked/>
    <w:uiPriority w:val="0"/>
    <w:pPr>
      <w:numPr>
        <w:ilvl w:val="0"/>
        <w:numId w:val="3"/>
      </w:numPr>
      <w:tabs>
        <w:tab w:val="left" w:pos="2040"/>
      </w:tabs>
    </w:pPr>
  </w:style>
  <w:style w:type="paragraph" w:styleId="20">
    <w:name w:val="Date"/>
    <w:basedOn w:val="1"/>
    <w:next w:val="1"/>
    <w:link w:val="57"/>
    <w:uiPriority w:val="0"/>
    <w:pPr>
      <w:ind w:left="100" w:leftChars="2500"/>
    </w:pPr>
    <w:rPr>
      <w:kern w:val="0"/>
      <w:sz w:val="24"/>
      <w:szCs w:val="20"/>
    </w:rPr>
  </w:style>
  <w:style w:type="paragraph" w:styleId="21">
    <w:name w:val="Body Text Indent 2"/>
    <w:basedOn w:val="1"/>
    <w:link w:val="58"/>
    <w:qFormat/>
    <w:locked/>
    <w:uiPriority w:val="0"/>
    <w:pPr>
      <w:spacing w:line="500" w:lineRule="exact"/>
      <w:ind w:firstLine="556"/>
    </w:pPr>
    <w:rPr>
      <w:bCs/>
      <w:sz w:val="28"/>
    </w:rPr>
  </w:style>
  <w:style w:type="paragraph" w:styleId="22">
    <w:name w:val="Balloon Text"/>
    <w:basedOn w:val="1"/>
    <w:link w:val="59"/>
    <w:semiHidden/>
    <w:uiPriority w:val="0"/>
    <w:rPr>
      <w:kern w:val="0"/>
      <w:sz w:val="18"/>
      <w:szCs w:val="20"/>
    </w:rPr>
  </w:style>
  <w:style w:type="paragraph" w:styleId="23">
    <w:name w:val="footer"/>
    <w:basedOn w:val="1"/>
    <w:link w:val="60"/>
    <w:uiPriority w:val="99"/>
    <w:pPr>
      <w:tabs>
        <w:tab w:val="center" w:pos="4153"/>
        <w:tab w:val="right" w:pos="8306"/>
      </w:tabs>
      <w:snapToGrid w:val="0"/>
      <w:jc w:val="left"/>
    </w:pPr>
    <w:rPr>
      <w:kern w:val="0"/>
      <w:sz w:val="18"/>
      <w:szCs w:val="20"/>
    </w:rPr>
  </w:style>
  <w:style w:type="paragraph" w:styleId="24">
    <w:name w:val="header"/>
    <w:basedOn w:val="1"/>
    <w:link w:val="61"/>
    <w:uiPriority w:val="0"/>
    <w:pPr>
      <w:pBdr>
        <w:bottom w:val="single" w:color="auto" w:sz="6" w:space="1"/>
      </w:pBdr>
      <w:tabs>
        <w:tab w:val="center" w:pos="4153"/>
        <w:tab w:val="right" w:pos="8306"/>
      </w:tabs>
      <w:snapToGrid w:val="0"/>
      <w:jc w:val="center"/>
    </w:pPr>
    <w:rPr>
      <w:kern w:val="0"/>
      <w:sz w:val="18"/>
      <w:szCs w:val="20"/>
    </w:rPr>
  </w:style>
  <w:style w:type="paragraph" w:styleId="25">
    <w:name w:val="Subtitle"/>
    <w:basedOn w:val="1"/>
    <w:link w:val="62"/>
    <w:qFormat/>
    <w:locked/>
    <w:uiPriority w:val="0"/>
    <w:pPr>
      <w:widowControl/>
      <w:ind w:left="1080" w:hanging="1080"/>
    </w:pPr>
    <w:rPr>
      <w:rFonts w:ascii="宋体" w:hAnsi="Courier New"/>
      <w:szCs w:val="21"/>
    </w:rPr>
  </w:style>
  <w:style w:type="paragraph" w:styleId="26">
    <w:name w:val="List"/>
    <w:basedOn w:val="1"/>
    <w:locked/>
    <w:uiPriority w:val="0"/>
    <w:pPr>
      <w:spacing w:line="360" w:lineRule="exact"/>
      <w:jc w:val="center"/>
    </w:pPr>
    <w:rPr>
      <w:rFonts w:ascii="仿宋_GB2312" w:hAnsi="Calibri" w:eastAsia="仿宋_GB2312"/>
      <w:sz w:val="24"/>
      <w:szCs w:val="20"/>
    </w:rPr>
  </w:style>
  <w:style w:type="paragraph" w:styleId="27">
    <w:name w:val="Body Text Indent 3"/>
    <w:basedOn w:val="1"/>
    <w:link w:val="63"/>
    <w:qFormat/>
    <w:locked/>
    <w:uiPriority w:val="0"/>
    <w:pPr>
      <w:spacing w:line="360" w:lineRule="auto"/>
      <w:ind w:firstLine="555"/>
    </w:pPr>
    <w:rPr>
      <w:bCs/>
      <w:sz w:val="28"/>
    </w:rPr>
  </w:style>
  <w:style w:type="paragraph" w:styleId="28">
    <w:name w:val="table of figures"/>
    <w:basedOn w:val="1"/>
    <w:next w:val="1"/>
    <w:locked/>
    <w:uiPriority w:val="0"/>
    <w:pPr>
      <w:ind w:leftChars="200" w:hanging="200" w:hangingChars="200"/>
    </w:pPr>
  </w:style>
  <w:style w:type="paragraph" w:styleId="29">
    <w:name w:val="Body Text 2"/>
    <w:basedOn w:val="1"/>
    <w:link w:val="64"/>
    <w:qFormat/>
    <w:locked/>
    <w:uiPriority w:val="0"/>
    <w:pPr>
      <w:spacing w:after="120" w:line="480" w:lineRule="auto"/>
    </w:pPr>
  </w:style>
  <w:style w:type="paragraph" w:styleId="30">
    <w:name w:val="Normal (Web)"/>
    <w:basedOn w:val="1"/>
    <w:link w:val="65"/>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link w:val="66"/>
    <w:qFormat/>
    <w:locked/>
    <w:uiPriority w:val="0"/>
    <w:pPr>
      <w:spacing w:before="240" w:after="60"/>
      <w:jc w:val="center"/>
      <w:outlineLvl w:val="0"/>
    </w:pPr>
    <w:rPr>
      <w:rFonts w:ascii="等线 Light" w:hAnsi="等线 Light"/>
      <w:b/>
      <w:bCs/>
      <w:sz w:val="32"/>
      <w:szCs w:val="32"/>
    </w:rPr>
  </w:style>
  <w:style w:type="paragraph" w:styleId="32">
    <w:name w:val="annotation subject"/>
    <w:basedOn w:val="14"/>
    <w:next w:val="14"/>
    <w:link w:val="67"/>
    <w:semiHidden/>
    <w:uiPriority w:val="0"/>
    <w:rPr>
      <w:b/>
      <w:kern w:val="2"/>
    </w:rPr>
  </w:style>
  <w:style w:type="paragraph" w:styleId="33">
    <w:name w:val="Body Text First Indent"/>
    <w:basedOn w:val="16"/>
    <w:link w:val="68"/>
    <w:qFormat/>
    <w:locked/>
    <w:uiPriority w:val="0"/>
    <w:pPr>
      <w:widowControl w:val="0"/>
      <w:snapToGrid/>
      <w:spacing w:before="0" w:after="120" w:line="240" w:lineRule="auto"/>
      <w:ind w:right="0" w:firstLine="420" w:firstLineChars="100"/>
    </w:pPr>
    <w:rPr>
      <w:kern w:val="2"/>
      <w:sz w:val="21"/>
    </w:rPr>
  </w:style>
  <w:style w:type="paragraph" w:styleId="34">
    <w:name w:val="Body Text First Indent 2"/>
    <w:basedOn w:val="17"/>
    <w:next w:val="1"/>
    <w:link w:val="69"/>
    <w:unhideWhenUsed/>
    <w:qFormat/>
    <w:locked/>
    <w:uiPriority w:val="0"/>
    <w:pPr>
      <w:spacing w:after="0" w:line="480" w:lineRule="exact"/>
      <w:ind w:left="0" w:leftChars="0" w:firstLine="420" w:firstLineChars="200"/>
    </w:pPr>
    <w:rPr>
      <w:b/>
      <w:sz w:val="28"/>
    </w:rPr>
  </w:style>
  <w:style w:type="table" w:styleId="36">
    <w:name w:val="Table Grid"/>
    <w:basedOn w:val="35"/>
    <w:qFormat/>
    <w:uiPriority w:val="0"/>
    <w:rPr>
      <w:lang w:val="en-US" w:eastAsia="zh-CN" w:bidi="ar-SA"/>
    </w:r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locked/>
    <w:uiPriority w:val="0"/>
  </w:style>
  <w:style w:type="character" w:styleId="40">
    <w:name w:val="Emphasis"/>
    <w:qFormat/>
    <w:locked/>
    <w:uiPriority w:val="0"/>
  </w:style>
  <w:style w:type="character" w:styleId="41">
    <w:name w:val="Hyperlink"/>
    <w:locked/>
    <w:uiPriority w:val="0"/>
    <w:rPr>
      <w:color w:val="0000FF"/>
      <w:u w:val="single"/>
    </w:rPr>
  </w:style>
  <w:style w:type="character" w:styleId="42">
    <w:name w:val="annotation reference"/>
    <w:qFormat/>
    <w:uiPriority w:val="0"/>
    <w:rPr>
      <w:sz w:val="21"/>
    </w:rPr>
  </w:style>
  <w:style w:type="character" w:styleId="43">
    <w:name w:val="HTML Keyboard"/>
    <w:locked/>
    <w:uiPriority w:val="0"/>
    <w:rPr>
      <w:rFonts w:ascii="monospace" w:hAnsi="monospace" w:eastAsia="monospace" w:cs="monospace"/>
      <w:sz w:val="21"/>
      <w:szCs w:val="21"/>
    </w:rPr>
  </w:style>
  <w:style w:type="character" w:customStyle="1" w:styleId="44">
    <w:name w:val="标题 2 字符"/>
    <w:link w:val="3"/>
    <w:uiPriority w:val="0"/>
    <w:rPr>
      <w:b/>
      <w:bCs/>
      <w:kern w:val="2"/>
      <w:sz w:val="28"/>
      <w:szCs w:val="28"/>
    </w:rPr>
  </w:style>
  <w:style w:type="character" w:customStyle="1" w:styleId="45">
    <w:name w:val="标题 3 字符"/>
    <w:link w:val="4"/>
    <w:uiPriority w:val="0"/>
    <w:rPr>
      <w:b/>
      <w:bCs/>
      <w:kern w:val="2"/>
      <w:sz w:val="32"/>
      <w:szCs w:val="32"/>
    </w:rPr>
  </w:style>
  <w:style w:type="character" w:customStyle="1" w:styleId="46">
    <w:name w:val="标题 4 字符"/>
    <w:link w:val="5"/>
    <w:semiHidden/>
    <w:uiPriority w:val="0"/>
    <w:rPr>
      <w:rFonts w:ascii="等线 Light" w:hAnsi="等线 Light" w:eastAsia="等线 Light" w:cs="Times New Roman"/>
      <w:b/>
      <w:bCs/>
      <w:kern w:val="2"/>
      <w:sz w:val="28"/>
      <w:szCs w:val="28"/>
    </w:rPr>
  </w:style>
  <w:style w:type="character" w:customStyle="1" w:styleId="47">
    <w:name w:val="标题 5 字符"/>
    <w:link w:val="6"/>
    <w:semiHidden/>
    <w:uiPriority w:val="0"/>
    <w:rPr>
      <w:b/>
      <w:bCs/>
      <w:kern w:val="2"/>
      <w:sz w:val="28"/>
      <w:szCs w:val="28"/>
    </w:rPr>
  </w:style>
  <w:style w:type="character" w:customStyle="1" w:styleId="48">
    <w:name w:val="标题 6 字符"/>
    <w:link w:val="7"/>
    <w:semiHidden/>
    <w:uiPriority w:val="0"/>
    <w:rPr>
      <w:rFonts w:ascii="等线 Light" w:hAnsi="等线 Light" w:eastAsia="等线 Light" w:cs="Times New Roman"/>
      <w:b/>
      <w:bCs/>
      <w:kern w:val="2"/>
      <w:sz w:val="24"/>
      <w:szCs w:val="24"/>
    </w:rPr>
  </w:style>
  <w:style w:type="character" w:customStyle="1" w:styleId="49">
    <w:name w:val="标题 7 字符"/>
    <w:link w:val="8"/>
    <w:semiHidden/>
    <w:uiPriority w:val="0"/>
    <w:rPr>
      <w:b/>
      <w:bCs/>
      <w:kern w:val="2"/>
      <w:sz w:val="24"/>
      <w:szCs w:val="24"/>
    </w:rPr>
  </w:style>
  <w:style w:type="character" w:customStyle="1" w:styleId="50">
    <w:name w:val="标题 8 字符"/>
    <w:link w:val="9"/>
    <w:semiHidden/>
    <w:uiPriority w:val="0"/>
    <w:rPr>
      <w:rFonts w:ascii="等线 Light" w:hAnsi="等线 Light" w:eastAsia="等线 Light" w:cs="Times New Roman"/>
      <w:kern w:val="2"/>
      <w:sz w:val="24"/>
      <w:szCs w:val="24"/>
    </w:rPr>
  </w:style>
  <w:style w:type="character" w:customStyle="1" w:styleId="51">
    <w:name w:val="标题 9 字符"/>
    <w:link w:val="10"/>
    <w:semiHidden/>
    <w:uiPriority w:val="0"/>
    <w:rPr>
      <w:rFonts w:ascii="等线 Light" w:hAnsi="等线 Light" w:eastAsia="等线 Light" w:cs="Times New Roman"/>
      <w:kern w:val="2"/>
      <w:sz w:val="21"/>
      <w:szCs w:val="21"/>
    </w:rPr>
  </w:style>
  <w:style w:type="character" w:customStyle="1" w:styleId="52">
    <w:name w:val="文档结构图 字符"/>
    <w:link w:val="13"/>
    <w:uiPriority w:val="0"/>
    <w:rPr>
      <w:rFonts w:ascii="Microsoft YaHei UI" w:eastAsia="Microsoft YaHei UI"/>
      <w:kern w:val="2"/>
      <w:sz w:val="18"/>
      <w:szCs w:val="18"/>
    </w:rPr>
  </w:style>
  <w:style w:type="character" w:customStyle="1" w:styleId="53">
    <w:name w:val="批注文字 字符"/>
    <w:link w:val="14"/>
    <w:locked/>
    <w:uiPriority w:val="0"/>
    <w:rPr>
      <w:rFonts w:ascii="Times New Roman" w:hAnsi="Times New Roman" w:eastAsia="宋体"/>
      <w:sz w:val="24"/>
    </w:rPr>
  </w:style>
  <w:style w:type="character" w:customStyle="1" w:styleId="54">
    <w:name w:val="称呼 字符"/>
    <w:link w:val="15"/>
    <w:uiPriority w:val="0"/>
    <w:rPr>
      <w:b/>
      <w:bCs/>
      <w:kern w:val="2"/>
      <w:sz w:val="21"/>
      <w:szCs w:val="24"/>
    </w:rPr>
  </w:style>
  <w:style w:type="character" w:customStyle="1" w:styleId="55">
    <w:name w:val="正文文本 字符"/>
    <w:link w:val="16"/>
    <w:qFormat/>
    <w:locked/>
    <w:uiPriority w:val="0"/>
    <w:rPr>
      <w:sz w:val="18"/>
    </w:rPr>
  </w:style>
  <w:style w:type="character" w:customStyle="1" w:styleId="56">
    <w:name w:val="正文文本缩进 字符"/>
    <w:link w:val="17"/>
    <w:semiHidden/>
    <w:locked/>
    <w:uiPriority w:val="0"/>
    <w:rPr>
      <w:rFonts w:ascii="Times New Roman" w:hAnsi="Times New Roman" w:eastAsia="宋体"/>
      <w:sz w:val="24"/>
    </w:rPr>
  </w:style>
  <w:style w:type="character" w:customStyle="1" w:styleId="57">
    <w:name w:val="日期 字符1"/>
    <w:link w:val="20"/>
    <w:locked/>
    <w:uiPriority w:val="0"/>
    <w:rPr>
      <w:rFonts w:ascii="Times New Roman" w:hAnsi="Times New Roman" w:eastAsia="宋体"/>
      <w:sz w:val="24"/>
    </w:rPr>
  </w:style>
  <w:style w:type="character" w:customStyle="1" w:styleId="58">
    <w:name w:val="正文文本缩进 2 字符"/>
    <w:link w:val="21"/>
    <w:uiPriority w:val="0"/>
    <w:rPr>
      <w:bCs/>
      <w:kern w:val="2"/>
      <w:sz w:val="28"/>
      <w:szCs w:val="24"/>
    </w:rPr>
  </w:style>
  <w:style w:type="character" w:customStyle="1" w:styleId="59">
    <w:name w:val="批注框文本 字符"/>
    <w:link w:val="22"/>
    <w:semiHidden/>
    <w:locked/>
    <w:uiPriority w:val="0"/>
    <w:rPr>
      <w:rFonts w:ascii="Times New Roman" w:hAnsi="Times New Roman" w:eastAsia="宋体"/>
      <w:sz w:val="18"/>
    </w:rPr>
  </w:style>
  <w:style w:type="character" w:customStyle="1" w:styleId="60">
    <w:name w:val="页脚 字符1"/>
    <w:link w:val="23"/>
    <w:locked/>
    <w:uiPriority w:val="99"/>
    <w:rPr>
      <w:sz w:val="18"/>
    </w:rPr>
  </w:style>
  <w:style w:type="character" w:customStyle="1" w:styleId="61">
    <w:name w:val="页眉 字符"/>
    <w:link w:val="24"/>
    <w:locked/>
    <w:uiPriority w:val="0"/>
    <w:rPr>
      <w:sz w:val="18"/>
    </w:rPr>
  </w:style>
  <w:style w:type="character" w:customStyle="1" w:styleId="62">
    <w:name w:val="副标题 字符"/>
    <w:link w:val="25"/>
    <w:uiPriority w:val="0"/>
    <w:rPr>
      <w:rFonts w:ascii="宋体" w:hAnsi="Courier New"/>
      <w:kern w:val="2"/>
      <w:sz w:val="21"/>
      <w:szCs w:val="21"/>
    </w:rPr>
  </w:style>
  <w:style w:type="character" w:customStyle="1" w:styleId="63">
    <w:name w:val="正文文本缩进 3 字符"/>
    <w:link w:val="27"/>
    <w:uiPriority w:val="0"/>
    <w:rPr>
      <w:bCs/>
      <w:kern w:val="2"/>
      <w:sz w:val="28"/>
      <w:szCs w:val="24"/>
    </w:rPr>
  </w:style>
  <w:style w:type="character" w:customStyle="1" w:styleId="64">
    <w:name w:val="正文文本 2 字符"/>
    <w:link w:val="29"/>
    <w:uiPriority w:val="0"/>
    <w:rPr>
      <w:kern w:val="2"/>
      <w:sz w:val="21"/>
      <w:szCs w:val="24"/>
    </w:rPr>
  </w:style>
  <w:style w:type="character" w:customStyle="1" w:styleId="65">
    <w:name w:val="普通(网站) 字符"/>
    <w:link w:val="30"/>
    <w:locked/>
    <w:uiPriority w:val="0"/>
    <w:rPr>
      <w:rFonts w:ascii="宋体" w:hAnsi="宋体" w:eastAsia="宋体"/>
      <w:sz w:val="24"/>
    </w:rPr>
  </w:style>
  <w:style w:type="character" w:customStyle="1" w:styleId="66">
    <w:name w:val="标题 字符"/>
    <w:link w:val="31"/>
    <w:qFormat/>
    <w:uiPriority w:val="0"/>
    <w:rPr>
      <w:rFonts w:ascii="等线 Light" w:hAnsi="等线 Light" w:cs="Times New Roman"/>
      <w:b/>
      <w:bCs/>
      <w:kern w:val="2"/>
      <w:sz w:val="32"/>
      <w:szCs w:val="32"/>
    </w:rPr>
  </w:style>
  <w:style w:type="character" w:customStyle="1" w:styleId="67">
    <w:name w:val="批注主题 字符"/>
    <w:link w:val="32"/>
    <w:semiHidden/>
    <w:locked/>
    <w:uiPriority w:val="0"/>
    <w:rPr>
      <w:rFonts w:ascii="Times New Roman" w:hAnsi="Times New Roman" w:eastAsia="宋体"/>
      <w:b/>
      <w:kern w:val="2"/>
      <w:sz w:val="24"/>
    </w:rPr>
  </w:style>
  <w:style w:type="character" w:customStyle="1" w:styleId="68">
    <w:name w:val="正文文本首行缩进 字符"/>
    <w:link w:val="33"/>
    <w:uiPriority w:val="0"/>
    <w:rPr>
      <w:kern w:val="2"/>
      <w:sz w:val="21"/>
    </w:rPr>
  </w:style>
  <w:style w:type="character" w:customStyle="1" w:styleId="69">
    <w:name w:val="正文文本首行缩进 2 字符"/>
    <w:link w:val="34"/>
    <w:uiPriority w:val="0"/>
    <w:rPr>
      <w:rFonts w:ascii="Times New Roman" w:hAnsi="Times New Roman" w:eastAsia="宋体"/>
      <w:b/>
      <w:sz w:val="28"/>
    </w:rPr>
  </w:style>
  <w:style w:type="character" w:customStyle="1" w:styleId="70">
    <w:name w:val="页脚 字符"/>
    <w:uiPriority w:val="99"/>
  </w:style>
  <w:style w:type="character" w:customStyle="1" w:styleId="71">
    <w:name w:val="正文文本 字符1"/>
    <w:semiHidden/>
    <w:uiPriority w:val="0"/>
    <w:rPr>
      <w:rFonts w:ascii="Times New Roman" w:hAnsi="Times New Roman" w:eastAsia="宋体"/>
      <w:sz w:val="24"/>
    </w:rPr>
  </w:style>
  <w:style w:type="character" w:customStyle="1" w:styleId="72">
    <w:name w:val="表格 Char"/>
    <w:aliases w:val="四号 Char1,特点 Char1,Body Text(ch) Char1,缩进 Char1,ALT+Z Char1,正文标准 Char1,首行缩进 Char1,正文2 Char1,正文（首行缩进两字）1 Char1,正文（首行缩进两字） Char3,Normal Indent Char1,Alt+X Char1,文字缩进 Char1,表格文字 Char1,段1 Char1,正文不缩进 Char1,特点 Char2,普通文字 Char1,普通文字 Char Char Char Char"/>
    <w:link w:val="73"/>
    <w:qFormat/>
    <w:locked/>
    <w:uiPriority w:val="0"/>
    <w:rPr>
      <w:sz w:val="21"/>
    </w:rPr>
  </w:style>
  <w:style w:type="paragraph" w:customStyle="1" w:styleId="73">
    <w:name w:val="表格"/>
    <w:basedOn w:val="74"/>
    <w:next w:val="1"/>
    <w:link w:val="72"/>
    <w:qFormat/>
    <w:uiPriority w:val="0"/>
    <w:pPr>
      <w:adjustRightInd w:val="0"/>
      <w:snapToGrid w:val="0"/>
      <w:spacing w:before="24" w:beforeLines="10" w:after="24" w:afterLines="10" w:line="259" w:lineRule="auto"/>
      <w:jc w:val="center"/>
    </w:pPr>
    <w:rPr>
      <w:kern w:val="0"/>
      <w:szCs w:val="20"/>
    </w:rPr>
  </w:style>
  <w:style w:type="paragraph" w:customStyle="1" w:styleId="74">
    <w:name w:val="表格式"/>
    <w:basedOn w:val="26"/>
    <w:qFormat/>
    <w:uiPriority w:val="0"/>
    <w:pPr>
      <w:spacing w:before="156" w:beforeLines="50" w:after="156" w:afterLines="50" w:line="240" w:lineRule="exact"/>
      <w:jc w:val="center"/>
    </w:pPr>
    <w:rPr>
      <w:rFonts w:ascii="Times New Roman" w:hAnsi="Times New Roman" w:eastAsia="宋体" w:cs="Times New Roman"/>
      <w:color w:val="000000"/>
      <w:szCs w:val="21"/>
    </w:rPr>
  </w:style>
  <w:style w:type="character" w:customStyle="1" w:styleId="75">
    <w:name w:val="日期 字符"/>
    <w:semiHidden/>
    <w:uiPriority w:val="0"/>
    <w:rPr>
      <w:rFonts w:ascii="Times New Roman" w:hAnsi="Times New Roman" w:eastAsia="宋体"/>
      <w:sz w:val="24"/>
    </w:rPr>
  </w:style>
  <w:style w:type="character" w:customStyle="1" w:styleId="76">
    <w:name w:val="批注文字 字符1"/>
    <w:semiHidden/>
    <w:uiPriority w:val="0"/>
    <w:rPr>
      <w:rFonts w:ascii="Times New Roman" w:hAnsi="Times New Roman" w:eastAsia="宋体"/>
      <w:sz w:val="24"/>
    </w:rPr>
  </w:style>
  <w:style w:type="paragraph" w:customStyle="1" w:styleId="77">
    <w:name w:val="正文_10"/>
    <w:uiPriority w:val="0"/>
    <w:pPr>
      <w:widowControl w:val="0"/>
      <w:jc w:val="both"/>
    </w:pPr>
    <w:rPr>
      <w:kern w:val="2"/>
      <w:sz w:val="21"/>
      <w:szCs w:val="22"/>
      <w:lang w:val="en-US" w:eastAsia="zh-CN" w:bidi="ar-SA"/>
    </w:rPr>
  </w:style>
  <w:style w:type="paragraph" w:customStyle="1" w:styleId="78">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79">
    <w:name w:val="环评表格 Char"/>
    <w:link w:val="80"/>
    <w:qFormat/>
    <w:uiPriority w:val="0"/>
    <w:rPr>
      <w:sz w:val="21"/>
    </w:rPr>
  </w:style>
  <w:style w:type="paragraph" w:customStyle="1" w:styleId="80">
    <w:name w:val="环评表格"/>
    <w:basedOn w:val="1"/>
    <w:link w:val="79"/>
    <w:qFormat/>
    <w:uiPriority w:val="0"/>
    <w:pPr>
      <w:jc w:val="center"/>
    </w:pPr>
    <w:rPr>
      <w:kern w:val="0"/>
      <w:szCs w:val="20"/>
    </w:rPr>
  </w:style>
  <w:style w:type="paragraph" w:customStyle="1" w:styleId="81">
    <w:name w:val="表格标题"/>
    <w:basedOn w:val="16"/>
    <w:next w:val="82"/>
    <w:qFormat/>
    <w:uiPriority w:val="0"/>
    <w:pPr>
      <w:adjustRightInd w:val="0"/>
      <w:snapToGrid w:val="0"/>
      <w:spacing w:line="360" w:lineRule="auto"/>
      <w:ind w:firstLine="422" w:firstLineChars="200"/>
      <w:jc w:val="center"/>
    </w:pPr>
    <w:rPr>
      <w:rFonts w:ascii="宋体" w:hAnsi="宋体" w:cs="宋体"/>
      <w:b/>
      <w:szCs w:val="21"/>
    </w:rPr>
  </w:style>
  <w:style w:type="paragraph" w:customStyle="1" w:styleId="82">
    <w:name w:val="表格内容"/>
    <w:basedOn w:val="1"/>
    <w:next w:val="1"/>
    <w:link w:val="83"/>
    <w:qFormat/>
    <w:uiPriority w:val="0"/>
    <w:pPr>
      <w:overflowPunct w:val="0"/>
      <w:adjustRightInd w:val="0"/>
      <w:spacing w:before="40" w:after="60" w:line="200" w:lineRule="atLeast"/>
      <w:textAlignment w:val="baseline"/>
    </w:pPr>
    <w:rPr>
      <w:rFonts w:ascii="Arial" w:hAnsi="Arial" w:eastAsia="仿宋_GB2312"/>
      <w:kern w:val="0"/>
      <w:sz w:val="24"/>
      <w:szCs w:val="20"/>
      <w:lang/>
    </w:rPr>
  </w:style>
  <w:style w:type="character" w:customStyle="1" w:styleId="83">
    <w:name w:val="表格内容 Char"/>
    <w:link w:val="82"/>
    <w:uiPriority w:val="0"/>
    <w:rPr>
      <w:rFonts w:ascii="Arial" w:hAnsi="Arial" w:eastAsia="仿宋_GB2312"/>
      <w:sz w:val="24"/>
      <w:lang/>
    </w:rPr>
  </w:style>
  <w:style w:type="paragraph" w:customStyle="1" w:styleId="84">
    <w:name w:val="正式文本"/>
    <w:basedOn w:val="1"/>
    <w:link w:val="85"/>
    <w:qFormat/>
    <w:uiPriority w:val="0"/>
    <w:pPr>
      <w:adjustRightInd w:val="0"/>
      <w:snapToGrid w:val="0"/>
      <w:spacing w:line="360" w:lineRule="auto"/>
      <w:ind w:firstLine="420" w:firstLineChars="200"/>
      <w:jc w:val="left"/>
    </w:pPr>
    <w:rPr>
      <w:bCs/>
      <w:szCs w:val="21"/>
    </w:rPr>
  </w:style>
  <w:style w:type="character" w:customStyle="1" w:styleId="85">
    <w:name w:val="正式文本 字符"/>
    <w:link w:val="84"/>
    <w:uiPriority w:val="0"/>
    <w:rPr>
      <w:bCs/>
      <w:kern w:val="2"/>
      <w:sz w:val="21"/>
      <w:szCs w:val="21"/>
    </w:rPr>
  </w:style>
  <w:style w:type="paragraph" w:customStyle="1" w:styleId="86">
    <w:name w:val="表标题"/>
    <w:basedOn w:val="1"/>
    <w:qFormat/>
    <w:uiPriority w:val="0"/>
    <w:pPr>
      <w:spacing w:line="360" w:lineRule="auto"/>
      <w:jc w:val="center"/>
    </w:pPr>
    <w:rPr>
      <w:b/>
      <w:bCs/>
      <w:szCs w:val="22"/>
    </w:rPr>
  </w:style>
  <w:style w:type="paragraph" w:customStyle="1" w:styleId="87">
    <w:name w:val="正文_8"/>
    <w:qFormat/>
    <w:uiPriority w:val="0"/>
    <w:pPr>
      <w:widowControl w:val="0"/>
      <w:jc w:val="both"/>
    </w:pPr>
    <w:rPr>
      <w:rFonts w:ascii="Calibri" w:hAnsi="Calibri"/>
      <w:kern w:val="2"/>
      <w:sz w:val="21"/>
      <w:lang w:val="en-US" w:eastAsia="zh-CN" w:bidi="ar-SA"/>
    </w:rPr>
  </w:style>
  <w:style w:type="paragraph" w:customStyle="1" w:styleId="88">
    <w:name w:val="标题2"/>
    <w:basedOn w:val="3"/>
    <w:link w:val="89"/>
    <w:qFormat/>
    <w:uiPriority w:val="0"/>
    <w:pPr>
      <w:spacing w:before="120" w:after="120"/>
      <w:jc w:val="left"/>
    </w:pPr>
  </w:style>
  <w:style w:type="character" w:customStyle="1" w:styleId="89">
    <w:name w:val="标题2 字符"/>
    <w:link w:val="88"/>
    <w:uiPriority w:val="0"/>
    <w:rPr>
      <w:b/>
      <w:bCs/>
      <w:kern w:val="2"/>
      <w:sz w:val="28"/>
      <w:szCs w:val="28"/>
    </w:rPr>
  </w:style>
  <w:style w:type="paragraph" w:customStyle="1" w:styleId="90">
    <w:name w:val="标题3"/>
    <w:basedOn w:val="4"/>
    <w:link w:val="91"/>
    <w:qFormat/>
    <w:uiPriority w:val="0"/>
    <w:pPr>
      <w:spacing w:before="0" w:after="0" w:line="360" w:lineRule="auto"/>
      <w:ind w:left="0" w:firstLine="0"/>
    </w:pPr>
    <w:rPr>
      <w:kern w:val="24"/>
      <w:sz w:val="24"/>
      <w:szCs w:val="24"/>
    </w:rPr>
  </w:style>
  <w:style w:type="character" w:customStyle="1" w:styleId="91">
    <w:name w:val="标题3 字符"/>
    <w:link w:val="90"/>
    <w:uiPriority w:val="0"/>
    <w:rPr>
      <w:b/>
      <w:bCs/>
      <w:kern w:val="24"/>
      <w:sz w:val="24"/>
      <w:szCs w:val="24"/>
    </w:rPr>
  </w:style>
  <w:style w:type="paragraph" w:customStyle="1" w:styleId="92">
    <w:name w:val="表格文字"/>
    <w:basedOn w:val="16"/>
    <w:qFormat/>
    <w:uiPriority w:val="0"/>
    <w:pPr>
      <w:widowControl w:val="0"/>
      <w:snapToGrid/>
      <w:spacing w:before="0" w:after="0" w:line="320" w:lineRule="exact"/>
      <w:ind w:right="0"/>
      <w:jc w:val="center"/>
    </w:pPr>
    <w:rPr>
      <w:rFonts w:ascii="宋体"/>
      <w:kern w:val="2"/>
      <w:sz w:val="21"/>
    </w:rPr>
  </w:style>
  <w:style w:type="paragraph" w:customStyle="1" w:styleId="93">
    <w:name w:val="正文_9"/>
    <w:qFormat/>
    <w:uiPriority w:val="0"/>
    <w:pPr>
      <w:widowControl w:val="0"/>
      <w:jc w:val="both"/>
    </w:pPr>
    <w:rPr>
      <w:rFonts w:ascii="Calibri" w:hAnsi="Calibri"/>
      <w:kern w:val="2"/>
      <w:sz w:val="21"/>
      <w:lang w:val="en-US" w:eastAsia="zh-CN" w:bidi="ar-SA"/>
    </w:rPr>
  </w:style>
  <w:style w:type="paragraph" w:customStyle="1" w:styleId="94">
    <w:name w:val="正文_13"/>
    <w:qFormat/>
    <w:uiPriority w:val="0"/>
    <w:pPr>
      <w:widowControl w:val="0"/>
      <w:jc w:val="both"/>
    </w:pPr>
    <w:rPr>
      <w:rFonts w:ascii="Calibri" w:hAnsi="Calibri"/>
      <w:kern w:val="2"/>
      <w:sz w:val="21"/>
      <w:lang w:val="en-US" w:eastAsia="zh-CN" w:bidi="ar-SA"/>
    </w:rPr>
  </w:style>
  <w:style w:type="paragraph" w:customStyle="1" w:styleId="95">
    <w:name w:val="正文_21"/>
    <w:qFormat/>
    <w:uiPriority w:val="0"/>
    <w:pPr>
      <w:widowControl w:val="0"/>
      <w:jc w:val="both"/>
    </w:pPr>
    <w:rPr>
      <w:rFonts w:ascii="Calibri" w:hAnsi="Calibri"/>
      <w:kern w:val="2"/>
      <w:sz w:val="21"/>
      <w:lang w:val="en-US" w:eastAsia="zh-CN" w:bidi="ar-SA"/>
    </w:rPr>
  </w:style>
  <w:style w:type="paragraph" w:customStyle="1" w:styleId="96">
    <w:name w:val="默认段落字体 Para Char Char Char Char Char Char Char Char Char Char Char Char Char1 Char"/>
    <w:basedOn w:val="13"/>
    <w:qFormat/>
    <w:uiPriority w:val="0"/>
    <w:pPr>
      <w:shd w:val="clear" w:color="auto" w:fill="000080"/>
    </w:pPr>
    <w:rPr>
      <w:rFonts w:ascii="Tahoma" w:hAnsi="Tahoma" w:eastAsia="宋体"/>
      <w:sz w:val="24"/>
      <w:szCs w:val="24"/>
    </w:rPr>
  </w:style>
  <w:style w:type="character" w:styleId="97">
    <w:name w:val=""/>
    <w:unhideWhenUsed/>
    <w:uiPriority w:val="99"/>
    <w:rPr>
      <w:color w:val="605E5C"/>
      <w:shd w:val="clear" w:color="auto" w:fill="E1DFDD"/>
    </w:rPr>
  </w:style>
  <w:style w:type="paragraph" w:customStyle="1" w:styleId="98">
    <w:name w:val="4正文 Char"/>
    <w:basedOn w:val="1"/>
    <w:qFormat/>
    <w:uiPriority w:val="0"/>
    <w:pPr>
      <w:spacing w:line="360" w:lineRule="auto"/>
      <w:ind w:firstLine="480" w:firstLineChars="200"/>
    </w:pPr>
    <w:rPr>
      <w:sz w:val="24"/>
      <w:szCs w:val="20"/>
      <w:lang w:val="zh-CN"/>
    </w:rPr>
  </w:style>
  <w:style w:type="character" w:customStyle="1" w:styleId="99">
    <w:name w:val="样式2 Char Char"/>
    <w:link w:val="100"/>
    <w:qFormat/>
    <w:uiPriority w:val="0"/>
    <w:rPr>
      <w:rFonts w:eastAsia="黑体"/>
      <w:b/>
      <w:sz w:val="30"/>
      <w:szCs w:val="24"/>
    </w:rPr>
  </w:style>
  <w:style w:type="paragraph" w:customStyle="1" w:styleId="100">
    <w:name w:val="样式2"/>
    <w:basedOn w:val="1"/>
    <w:link w:val="99"/>
    <w:qFormat/>
    <w:uiPriority w:val="0"/>
    <w:pPr>
      <w:jc w:val="left"/>
    </w:pPr>
    <w:rPr>
      <w:rFonts w:eastAsia="黑体"/>
      <w:b/>
      <w:kern w:val="0"/>
      <w:sz w:val="30"/>
    </w:rPr>
  </w:style>
  <w:style w:type="paragraph" w:customStyle="1" w:styleId="101">
    <w:name w:val="正文01"/>
    <w:basedOn w:val="1"/>
    <w:qFormat/>
    <w:uiPriority w:val="0"/>
    <w:pPr>
      <w:widowControl/>
      <w:spacing w:line="460" w:lineRule="exact"/>
      <w:jc w:val="left"/>
    </w:pPr>
    <w:rPr>
      <w:rFonts w:ascii="Calibri" w:hAnsi="Calibri"/>
      <w:kern w:val="0"/>
      <w:sz w:val="24"/>
      <w:lang w:eastAsia="en-US" w:bidi="en-US"/>
    </w:rPr>
  </w:style>
  <w:style w:type="paragraph" w:customStyle="1" w:styleId="102">
    <w:name w:val="环评-表格内容"/>
    <w:basedOn w:val="1"/>
    <w:next w:val="1"/>
    <w:qFormat/>
    <w:uiPriority w:val="0"/>
    <w:pPr>
      <w:jc w:val="center"/>
    </w:pPr>
  </w:style>
  <w:style w:type="paragraph" w:customStyle="1" w:styleId="103">
    <w:name w:val="中文报告书样式"/>
    <w:basedOn w:val="1"/>
    <w:qFormat/>
    <w:uiPriority w:val="0"/>
    <w:pPr>
      <w:adjustRightInd w:val="0"/>
      <w:spacing w:line="480" w:lineRule="atLeast"/>
      <w:ind w:firstLine="482"/>
      <w:textAlignment w:val="baseline"/>
    </w:pPr>
    <w:rPr>
      <w:kern w:val="24"/>
      <w:sz w:val="24"/>
    </w:rPr>
  </w:style>
  <w:style w:type="paragraph" w:customStyle="1" w:styleId="104">
    <w:name w:val="样式35"/>
    <w:basedOn w:val="1"/>
    <w:uiPriority w:val="0"/>
    <w:pPr>
      <w:adjustRightInd w:val="0"/>
      <w:spacing w:line="312" w:lineRule="auto"/>
      <w:ind w:firstLine="567"/>
    </w:pPr>
    <w:rPr>
      <w:rFonts w:ascii="宋体"/>
      <w:kern w:val="0"/>
      <w:sz w:val="28"/>
    </w:rPr>
  </w:style>
  <w:style w:type="paragraph" w:customStyle="1" w:styleId="105">
    <w:name w:val="4表格内正文"/>
    <w:basedOn w:val="106"/>
    <w:qFormat/>
    <w:uiPriority w:val="0"/>
    <w:pPr>
      <w:spacing w:line="240" w:lineRule="auto"/>
      <w:ind w:firstLine="0" w:firstLineChars="0"/>
      <w:jc w:val="center"/>
    </w:pPr>
  </w:style>
  <w:style w:type="paragraph" w:customStyle="1" w:styleId="106">
    <w:name w:val="4正文格式"/>
    <w:basedOn w:val="1"/>
    <w:qFormat/>
    <w:uiPriority w:val="0"/>
    <w:pPr>
      <w:spacing w:line="360" w:lineRule="auto"/>
      <w:ind w:firstLine="200" w:firstLineChars="200"/>
      <w:jc w:val="left"/>
    </w:pPr>
  </w:style>
  <w:style w:type="paragraph" w:customStyle="1" w:styleId="107">
    <w:name w:val="1-正文"/>
    <w:basedOn w:val="1"/>
    <w:uiPriority w:val="0"/>
    <w:pPr>
      <w:spacing w:after="60" w:line="360" w:lineRule="auto"/>
      <w:ind w:firstLine="200" w:firstLineChars="200"/>
    </w:pPr>
    <w:rPr>
      <w:sz w:val="24"/>
      <w:szCs w:val="20"/>
    </w:rPr>
  </w:style>
  <w:style w:type="paragraph" w:customStyle="1" w:styleId="108">
    <w:name w:val="1正文段落"/>
    <w:basedOn w:val="1"/>
    <w:link w:val="109"/>
    <w:qFormat/>
    <w:uiPriority w:val="0"/>
    <w:pPr>
      <w:adjustRightInd w:val="0"/>
      <w:snapToGrid w:val="0"/>
      <w:spacing w:line="360" w:lineRule="auto"/>
      <w:ind w:firstLine="480" w:firstLineChars="200"/>
      <w:jc w:val="left"/>
    </w:pPr>
    <w:rPr>
      <w:kern w:val="0"/>
      <w:sz w:val="24"/>
    </w:rPr>
  </w:style>
  <w:style w:type="character" w:customStyle="1" w:styleId="109">
    <w:name w:val="1正文段落 Char"/>
    <w:link w:val="108"/>
    <w:qFormat/>
    <w:uiPriority w:val="0"/>
    <w:rPr>
      <w:snapToGrid/>
      <w:sz w:val="24"/>
      <w:szCs w:val="24"/>
    </w:rPr>
  </w:style>
  <w:style w:type="paragraph" w:customStyle="1" w:styleId="110">
    <w:name w:val="正文 首行缩进:  2 字符"/>
    <w:basedOn w:val="1"/>
    <w:qFormat/>
    <w:uiPriority w:val="99"/>
    <w:pPr>
      <w:ind w:firstLine="579" w:firstLineChars="200"/>
    </w:pPr>
    <w:rPr>
      <w:rFonts w:eastAsia="等线" w:cs="宋体"/>
      <w:szCs w:val="20"/>
    </w:rPr>
  </w:style>
  <w:style w:type="paragraph" w:customStyle="1" w:styleId="111">
    <w:name w:val="报告表正文"/>
    <w:basedOn w:val="1"/>
    <w:uiPriority w:val="0"/>
    <w:pPr>
      <w:adjustRightInd w:val="0"/>
      <w:spacing w:line="312" w:lineRule="auto"/>
      <w:ind w:left="113" w:right="113" w:firstLine="482"/>
      <w:jc w:val="left"/>
      <w:textAlignment w:val="baseline"/>
    </w:pPr>
    <w:rPr>
      <w:kern w:val="0"/>
      <w:sz w:val="24"/>
      <w:szCs w:val="20"/>
    </w:rPr>
  </w:style>
  <w:style w:type="paragraph" w:styleId="112">
    <w:name w:val="List Paragraph"/>
    <w:basedOn w:val="1"/>
    <w:qFormat/>
    <w:uiPriority w:val="99"/>
    <w:pPr>
      <w:ind w:left="231" w:right="268" w:firstLine="600"/>
    </w:pPr>
    <w:rPr>
      <w:rFonts w:ascii="仿宋" w:hAnsi="仿宋" w:eastAsia="仿宋" w:cs="仿宋"/>
      <w:lang w:val="zh-CN" w:bidi="zh-CN"/>
    </w:rPr>
  </w:style>
  <w:style w:type="paragraph" w:customStyle="1" w:styleId="113">
    <w:name w:val="图表标题"/>
    <w:next w:val="1"/>
    <w:qFormat/>
    <w:uiPriority w:val="0"/>
    <w:pPr>
      <w:spacing w:line="360" w:lineRule="auto"/>
      <w:jc w:val="center"/>
    </w:pPr>
    <w:rPr>
      <w:b/>
      <w:kern w:val="2"/>
      <w:sz w:val="24"/>
      <w:szCs w:val="24"/>
      <w:lang w:val="en-US" w:eastAsia="zh-CN" w:bidi="ar-SA"/>
    </w:rPr>
  </w:style>
  <w:style w:type="paragraph" w:customStyle="1" w:styleId="114">
    <w:name w:val="文本"/>
    <w:basedOn w:val="1"/>
    <w:qFormat/>
    <w:uiPriority w:val="0"/>
    <w:pPr>
      <w:adjustRightInd w:val="0"/>
      <w:snapToGrid w:val="0"/>
      <w:spacing w:line="360" w:lineRule="auto"/>
      <w:ind w:firstLine="1446" w:firstLineChars="200"/>
    </w:pPr>
    <w:rPr>
      <w:sz w:val="24"/>
    </w:rPr>
  </w:style>
  <w:style w:type="paragraph" w:customStyle="1" w:styleId="115">
    <w:name w:val="表格1"/>
    <w:qFormat/>
    <w:uiPriority w:val="0"/>
    <w:pPr>
      <w:widowControl w:val="0"/>
      <w:adjustRightInd w:val="0"/>
      <w:spacing w:line="360" w:lineRule="auto"/>
      <w:jc w:val="center"/>
      <w:textAlignment w:val="baseline"/>
    </w:pPr>
    <w:rPr>
      <w:rFonts w:ascii="宋体" w:hAnsi="宋体"/>
      <w:sz w:val="24"/>
      <w:szCs w:val="24"/>
      <w:lang w:val="en-US" w:eastAsia="zh-CN" w:bidi="ar-SA"/>
    </w:rPr>
  </w:style>
  <w:style w:type="paragraph" w:customStyle="1" w:styleId="116">
    <w:name w:val="序号标题"/>
    <w:next w:val="117"/>
    <w:qFormat/>
    <w:uiPriority w:val="0"/>
    <w:pPr>
      <w:spacing w:line="360" w:lineRule="auto"/>
      <w:ind w:firstLine="723" w:firstLineChars="200"/>
    </w:pPr>
    <w:rPr>
      <w:rFonts w:cs="宋体"/>
      <w:b/>
      <w:sz w:val="24"/>
      <w:szCs w:val="24"/>
      <w:lang w:val="en-US" w:eastAsia="zh-CN" w:bidi="ar-SA"/>
    </w:rPr>
  </w:style>
  <w:style w:type="paragraph" w:customStyle="1" w:styleId="117">
    <w:name w:val="报告正文"/>
    <w:qFormat/>
    <w:uiPriority w:val="0"/>
    <w:pPr>
      <w:spacing w:line="360" w:lineRule="auto"/>
      <w:ind w:firstLine="723" w:firstLineChars="200"/>
    </w:pPr>
    <w:rPr>
      <w:rFonts w:cs="宋体"/>
      <w:sz w:val="24"/>
      <w:szCs w:val="24"/>
      <w:lang w:val="en-US" w:eastAsia="zh-CN" w:bidi="ar-SA"/>
    </w:rPr>
  </w:style>
  <w:style w:type="paragraph" w:customStyle="1" w:styleId="118">
    <w:name w:val="图表"/>
    <w:basedOn w:val="1"/>
    <w:qFormat/>
    <w:uiPriority w:val="0"/>
    <w:pPr>
      <w:adjustRightInd w:val="0"/>
      <w:snapToGrid w:val="0"/>
      <w:jc w:val="center"/>
    </w:pPr>
    <w:rPr>
      <w:color w:val="000000"/>
      <w:szCs w:val="22"/>
      <w:lang w:val="zh-CN"/>
    </w:rPr>
  </w:style>
  <w:style w:type="paragraph" w:customStyle="1" w:styleId="119">
    <w:name w:val="表头"/>
    <w:basedOn w:val="114"/>
    <w:next w:val="1"/>
    <w:qFormat/>
    <w:uiPriority w:val="0"/>
    <w:pPr>
      <w:spacing w:line="240" w:lineRule="auto"/>
      <w:jc w:val="center"/>
    </w:pPr>
    <w:rPr>
      <w:rFonts w:eastAsia="黑体"/>
      <w:sz w:val="21"/>
    </w:rPr>
  </w:style>
  <w:style w:type="paragraph" w:customStyle="1" w:styleId="120">
    <w:name w:val="1级标题"/>
    <w:basedOn w:val="2"/>
    <w:qFormat/>
    <w:uiPriority w:val="0"/>
    <w:pPr>
      <w:keepNext w:val="0"/>
      <w:numPr>
        <w:ilvl w:val="0"/>
        <w:numId w:val="0"/>
      </w:numPr>
      <w:overflowPunct/>
      <w:snapToGrid/>
      <w:spacing w:before="0" w:after="0" w:line="360" w:lineRule="auto"/>
      <w:jc w:val="center"/>
    </w:pPr>
    <w:rPr>
      <w:rFonts w:ascii="黑体"/>
      <w:color w:val="auto"/>
    </w:rPr>
  </w:style>
  <w:style w:type="paragraph" w:customStyle="1" w:styleId="121">
    <w:name w:val="正文修改"/>
    <w:basedOn w:val="1"/>
    <w:qFormat/>
    <w:uiPriority w:val="0"/>
    <w:pPr>
      <w:spacing w:line="360" w:lineRule="auto"/>
      <w:ind w:firstLine="480" w:firstLineChars="200"/>
    </w:pPr>
    <w:rPr>
      <w:rFonts w:cs="宋体"/>
      <w:kern w:val="0"/>
      <w:sz w:val="24"/>
      <w:szCs w:val="20"/>
    </w:rPr>
  </w:style>
  <w:style w:type="paragraph" w:customStyle="1" w:styleId="122">
    <w:name w:val="正文首行缩进1"/>
    <w:basedOn w:val="16"/>
    <w:qFormat/>
    <w:uiPriority w:val="0"/>
    <w:pPr>
      <w:ind w:firstLine="420" w:firstLineChars="100"/>
    </w:pPr>
    <w:rPr>
      <w:lang w:val="en-US" w:eastAsia="zh-CN"/>
    </w:rPr>
  </w:style>
  <w:style w:type="paragraph" w:customStyle="1" w:styleId="123">
    <w:name w:val="1 正文"/>
    <w:basedOn w:val="1"/>
    <w:qFormat/>
    <w:uiPriority w:val="0"/>
    <w:pPr>
      <w:adjustRightInd w:val="0"/>
      <w:snapToGrid w:val="0"/>
      <w:spacing w:line="360" w:lineRule="auto"/>
      <w:ind w:firstLine="200" w:firstLineChars="200"/>
    </w:pPr>
    <w:rPr>
      <w:kern w:val="0"/>
      <w:sz w:val="24"/>
      <w:szCs w:val="20"/>
    </w:rPr>
  </w:style>
  <w:style w:type="paragraph" w:customStyle="1" w:styleId="124">
    <w:name w:val="小标题"/>
    <w:basedOn w:val="1"/>
    <w:qFormat/>
    <w:uiPriority w:val="0"/>
    <w:pPr>
      <w:adjustRightInd w:val="0"/>
      <w:snapToGrid w:val="0"/>
      <w:spacing w:line="360" w:lineRule="auto"/>
    </w:pPr>
    <w:rPr>
      <w:b/>
      <w:sz w:val="24"/>
    </w:rPr>
  </w:style>
  <w:style w:type="paragraph" w:customStyle="1" w:styleId="125">
    <w:name w:val="表名"/>
    <w:basedOn w:val="1"/>
    <w:qFormat/>
    <w:uiPriority w:val="0"/>
    <w:pPr>
      <w:spacing w:line="360" w:lineRule="auto"/>
      <w:jc w:val="center"/>
    </w:pPr>
    <w:rPr>
      <w:rFonts w:ascii="黑体" w:hAnsi="宋体" w:eastAsia="黑体"/>
      <w:sz w:val="18"/>
      <w:szCs w:val="20"/>
    </w:rPr>
  </w:style>
  <w:style w:type="paragraph" w:customStyle="1" w:styleId="126">
    <w:name w:val="列出段落3"/>
    <w:basedOn w:val="1"/>
    <w:unhideWhenUsed/>
    <w:qFormat/>
    <w:uiPriority w:val="99"/>
    <w:pPr>
      <w:ind w:firstLine="420" w:firstLineChars="200"/>
    </w:pPr>
    <w:rPr>
      <w:b/>
      <w:sz w:val="24"/>
      <w:szCs w:val="20"/>
    </w:rPr>
  </w:style>
  <w:style w:type="paragraph" w:customStyle="1" w:styleId="127">
    <w:name w:val="表格内"/>
    <w:basedOn w:val="1"/>
    <w:uiPriority w:val="0"/>
    <w:pPr>
      <w:jc w:val="center"/>
    </w:pPr>
  </w:style>
  <w:style w:type="paragraph" w:customStyle="1" w:styleId="128">
    <w:name w:val="图表文字"/>
    <w:basedOn w:val="1"/>
    <w:qFormat/>
    <w:uiPriority w:val="0"/>
    <w:pPr>
      <w:spacing w:line="300" w:lineRule="exact"/>
      <w:jc w:val="center"/>
    </w:pPr>
    <w:rPr>
      <w:bCs/>
      <w:szCs w:val="20"/>
    </w:rPr>
  </w:style>
  <w:style w:type="paragraph" w:customStyle="1" w:styleId="129">
    <w:name w:val="默认段落字体 Para Char Char Char Char Char Char Char Char Char Char"/>
    <w:basedOn w:val="33"/>
    <w:next w:val="33"/>
    <w:qFormat/>
    <w:uiPriority w:val="0"/>
    <w:pPr>
      <w:tabs>
        <w:tab w:val="left" w:pos="360"/>
        <w:tab w:val="left" w:pos="900"/>
      </w:tabs>
      <w:spacing w:before="120"/>
      <w:ind w:left="542" w:leftChars="-12" w:firstLine="200" w:firstLineChars="200"/>
      <w:jc w:val="left"/>
    </w:pPr>
    <w:rPr>
      <w:rFonts w:ascii="Arial" w:hAnsi="Arial"/>
      <w:b/>
      <w:sz w:val="32"/>
    </w:rPr>
  </w:style>
  <w:style w:type="character" w:customStyle="1" w:styleId="130">
    <w:name w:val="xl22 Char Char"/>
    <w:link w:val="131"/>
    <w:uiPriority w:val="0"/>
    <w:rPr>
      <w:sz w:val="24"/>
      <w:szCs w:val="24"/>
    </w:rPr>
  </w:style>
  <w:style w:type="paragraph" w:customStyle="1" w:styleId="131">
    <w:name w:val="xl22"/>
    <w:basedOn w:val="1"/>
    <w:link w:val="130"/>
    <w:uiPriority w:val="0"/>
    <w:pPr>
      <w:widowControl/>
      <w:spacing w:before="100" w:after="100"/>
      <w:jc w:val="center"/>
    </w:pPr>
    <w:rPr>
      <w:kern w:val="0"/>
      <w:sz w:val="24"/>
    </w:rPr>
  </w:style>
  <w:style w:type="paragraph" w:customStyle="1" w:styleId="132">
    <w:name w:val="0正文内容"/>
    <w:basedOn w:val="1"/>
    <w:qFormat/>
    <w:uiPriority w:val="0"/>
    <w:pPr>
      <w:widowControl/>
      <w:spacing w:line="360" w:lineRule="auto"/>
      <w:ind w:firstLine="480" w:firstLineChars="200"/>
    </w:pPr>
    <w:rPr>
      <w:kern w:val="0"/>
      <w:sz w:val="24"/>
      <w:szCs w:val="32"/>
    </w:rPr>
  </w:style>
  <w:style w:type="character" w:customStyle="1" w:styleId="133">
    <w:name w:val="批注文字 Char"/>
    <w:uiPriority w:val="0"/>
    <w:rPr>
      <w:kern w:val="2"/>
      <w:sz w:val="21"/>
    </w:rPr>
  </w:style>
  <w:style w:type="paragraph" w:customStyle="1" w:styleId="134">
    <w:name w:val="Table Paragraph"/>
    <w:basedOn w:val="1"/>
    <w:qFormat/>
    <w:uiPriority w:val="0"/>
    <w:pPr>
      <w:autoSpaceDE w:val="0"/>
      <w:autoSpaceDN w:val="0"/>
      <w:adjustRightInd w:val="0"/>
      <w:jc w:val="left"/>
    </w:pPr>
    <w:rPr>
      <w:kern w:val="0"/>
      <w:sz w:val="24"/>
    </w:rPr>
  </w:style>
  <w:style w:type="paragraph" w:customStyle="1" w:styleId="135">
    <w:name w:val="WPS Plain"/>
    <w:qFormat/>
    <w:uiPriority w:val="0"/>
    <w:rPr>
      <w:rFonts w:ascii="Calibri" w:hAnsi="Calibri" w:eastAsia="Calibri"/>
      <w:sz w:val="21"/>
      <w:szCs w:val="22"/>
      <w:lang w:val="en-US" w:eastAsia="zh-CN" w:bidi="ar-SA"/>
    </w:rPr>
  </w:style>
  <w:style w:type="paragraph" w:customStyle="1" w:styleId="136">
    <w:name w:val="验收正文编辑（首缩）"/>
    <w:basedOn w:val="1"/>
    <w:link w:val="137"/>
    <w:qFormat/>
    <w:uiPriority w:val="0"/>
    <w:pPr>
      <w:snapToGrid w:val="0"/>
      <w:spacing w:line="360" w:lineRule="auto"/>
      <w:ind w:firstLine="1446" w:firstLineChars="200"/>
      <w:jc w:val="left"/>
    </w:pPr>
  </w:style>
  <w:style w:type="character" w:customStyle="1" w:styleId="137">
    <w:name w:val="验收正文编辑（首缩） Char"/>
    <w:link w:val="136"/>
    <w:qFormat/>
    <w:uiPriority w:val="0"/>
    <w:rPr>
      <w:kern w:val="2"/>
      <w:sz w:val="21"/>
      <w:szCs w:val="24"/>
    </w:rPr>
  </w:style>
  <w:style w:type="paragraph" w:customStyle="1" w:styleId="138">
    <w:name w:val="Default"/>
    <w:basedOn w:val="88"/>
    <w:next w:val="104"/>
    <w:qFormat/>
    <w:uiPriority w:val="0"/>
    <w:pPr>
      <w:autoSpaceDE w:val="0"/>
      <w:autoSpaceDN w:val="0"/>
      <w:adjustRightInd w:val="0"/>
    </w:pPr>
    <w:rPr>
      <w:rFonts w:ascii="宋体" w:hAnsi="Times New Roman" w:eastAsia="宋体"/>
      <w:color w:val="000000"/>
      <w:sz w:val="24"/>
      <w:szCs w:val="24"/>
    </w:rPr>
  </w:style>
  <w:style w:type="paragraph" w:customStyle="1" w:styleId="139">
    <w:name w:val="1正文"/>
    <w:basedOn w:val="1"/>
    <w:qFormat/>
    <w:uiPriority w:val="0"/>
    <w:pPr>
      <w:widowControl/>
      <w:spacing w:line="360" w:lineRule="auto"/>
      <w:ind w:firstLine="200" w:firstLineChars="200"/>
    </w:pPr>
    <w:rPr>
      <w:kern w:val="0"/>
      <w:sz w:val="24"/>
      <w:szCs w:val="20"/>
      <w:lang w:val="en-GB"/>
    </w:rPr>
  </w:style>
  <w:style w:type="paragraph" w:customStyle="1" w:styleId="140">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141">
    <w:name w:val="A正文"/>
    <w:basedOn w:val="1"/>
    <w:qFormat/>
    <w:uiPriority w:val="0"/>
    <w:pPr>
      <w:snapToGrid w:val="0"/>
      <w:spacing w:line="500" w:lineRule="exact"/>
      <w:ind w:firstLine="480"/>
    </w:pPr>
    <w:rPr>
      <w:sz w:val="24"/>
    </w:rPr>
  </w:style>
  <w:style w:type="character" w:customStyle="1" w:styleId="142">
    <w:name w:val="fontstyle01"/>
    <w:qFormat/>
    <w:uiPriority w:val="0"/>
    <w:rPr>
      <w:rFonts w:hint="eastAsia" w:ascii="宋体" w:hAnsi="宋体" w:eastAsia="宋体"/>
      <w:color w:val="000000"/>
      <w:sz w:val="24"/>
      <w:szCs w:val="24"/>
    </w:rPr>
  </w:style>
  <w:style w:type="paragraph" w:customStyle="1" w:styleId="143">
    <w:name w:val="正文内容"/>
    <w:basedOn w:val="1"/>
    <w:uiPriority w:val="0"/>
    <w:pPr>
      <w:spacing w:line="360" w:lineRule="auto"/>
      <w:ind w:firstLine="480" w:firstLineChars="200"/>
    </w:pPr>
    <w:rPr>
      <w:kern w:val="0"/>
      <w:sz w:val="24"/>
    </w:rPr>
  </w:style>
  <w:style w:type="paragraph" w:customStyle="1" w:styleId="144">
    <w:name w:val="表格内容4.12"/>
    <w:basedOn w:val="1"/>
    <w:qFormat/>
    <w:uiPriority w:val="0"/>
    <w:pPr>
      <w:spacing w:line="240" w:lineRule="auto"/>
      <w:ind w:firstLine="0" w:firstLineChars="0"/>
      <w:jc w:val="center"/>
    </w:pPr>
    <w:rPr>
      <w:sz w:val="21"/>
      <w:szCs w:val="21"/>
    </w:rPr>
  </w:style>
  <w:style w:type="table" w:customStyle="1" w:styleId="145">
    <w:name w:val="MFS表格"/>
    <w:basedOn w:val="35"/>
    <w:qFormat/>
    <w:uiPriority w:val="0"/>
    <w:pPr>
      <w:widowControl w:val="0"/>
      <w:snapToGrid w:val="0"/>
      <w:jc w:val="center"/>
    </w:pPr>
    <w:rPr>
      <w:sz w:val="18"/>
    </w:rPr>
    <w:tblPr>
      <w:tblStyle w:val="35"/>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tblPr>
        <w:tblStyle w:val="35"/>
      </w:tblPr>
      <w:tcPr>
        <w:tcBorders>
          <w:top w:val="nil"/>
          <w:left w:val="single" w:color="008000" w:sz="6" w:space="0"/>
          <w:bottom w:val="nil"/>
          <w:right w:val="nil"/>
          <w:insideH w:val="nil"/>
          <w:insideV w:val="nil"/>
          <w:tl2br w:val="nil"/>
          <w:tr2bl w:val="nil"/>
        </w:tcBorders>
      </w:tcPr>
    </w:tblStylePr>
    <w:tblStylePr w:type="lastRow">
      <w:tblPr>
        <w:tblStyle w:val="35"/>
      </w:tblPr>
      <w:tcPr>
        <w:tcBorders>
          <w:top w:val="single" w:color="008000" w:sz="6" w:space="0"/>
          <w:left w:val="nil"/>
          <w:bottom w:val="nil"/>
          <w:right w:val="nil"/>
          <w:insideH w:val="nil"/>
          <w:insideV w:val="nil"/>
          <w:tl2br w:val="nil"/>
          <w:tr2bl w:val="nil"/>
        </w:tcBorders>
      </w:tcPr>
    </w:tblStylePr>
  </w:style>
  <w:style w:type="paragraph" w:customStyle="1" w:styleId="146">
    <w:name w:val="表格文本 五号 居中 单倍行距"/>
    <w:basedOn w:val="1"/>
    <w:qFormat/>
    <w:uiPriority w:val="0"/>
    <w:pPr>
      <w:keepNext/>
      <w:adjustRightInd w:val="0"/>
      <w:snapToGrid w:val="0"/>
      <w:jc w:val="center"/>
      <w:textAlignment w:val="baseline"/>
    </w:pPr>
    <w:rPr>
      <w:rFonts w:cs="宋体"/>
      <w:sz w:val="18"/>
      <w:szCs w:val="18"/>
    </w:rPr>
  </w:style>
  <w:style w:type="paragraph" w:customStyle="1" w:styleId="147">
    <w:name w:val="表内文字"/>
    <w:basedOn w:val="1"/>
    <w:qFormat/>
    <w:uiPriority w:val="0"/>
    <w:pPr>
      <w:adjustRightInd w:val="0"/>
      <w:snapToGrid w:val="0"/>
      <w:spacing w:line="240" w:lineRule="auto"/>
      <w:ind w:firstLine="0" w:firstLineChars="0"/>
      <w:jc w:val="center"/>
    </w:pPr>
    <w:rPr>
      <w:rFonts w:hint="eastAsia"/>
      <w:sz w:val="21"/>
    </w:rPr>
  </w:style>
  <w:style w:type="paragraph" w:customStyle="1" w:styleId="148">
    <w:name w:val="正文－1.5行距－段后6磅"/>
    <w:basedOn w:val="1"/>
    <w:qFormat/>
    <w:uiPriority w:val="0"/>
    <w:pPr>
      <w:spacing w:after="120" w:line="360" w:lineRule="auto"/>
      <w:ind w:firstLine="200" w:firstLineChars="200"/>
    </w:pPr>
    <w:rPr>
      <w:rFonts w:ascii="Calibri" w:hAnsi="Calibri"/>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18377</Words>
  <Characters>19384</Characters>
  <Lines>377</Lines>
  <Paragraphs>106</Paragraphs>
  <TotalTime>17</TotalTime>
  <ScaleCrop>false</ScaleCrop>
  <LinksUpToDate>false</LinksUpToDate>
  <CharactersWithSpaces>19478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2024-02-20T23:54:00Z</dcterms:created>
  <dc:creator>flame8899</dc:creator>
  <cp:lastModifiedBy>陈苗</cp:lastModifiedBy>
  <cp:lastPrinted>2022-07-26T15:15:00Z</cp:lastPrinted>
  <dcterms:modified xsi:type="dcterms:W3CDTF">2024-11-22T05:59:19Z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092529C2BBFA49B8A2DFB53C279433AA_13</vt:lpwstr>
  </property>
</Properties>
</file>