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104D">
      <w:pPr>
        <w:keepNext w:val="0"/>
        <w:keepLines w:val="0"/>
        <w:pageBreakBefore w:val="0"/>
        <w:kinsoku/>
        <w:overflowPunct/>
        <w:autoSpaceDE/>
        <w:autoSpaceDN/>
        <w:bidi w:val="0"/>
        <w:spacing w:line="560" w:lineRule="exact"/>
        <w:jc w:val="right"/>
        <w:textAlignment w:val="auto"/>
        <w:rPr>
          <w:rFonts w:ascii="华文楷体" w:hAnsi="华文楷体" w:eastAsia="华文楷体"/>
          <w:b/>
          <w:position w:val="18"/>
          <w:sz w:val="28"/>
          <w:szCs w:val="28"/>
        </w:rPr>
      </w:pPr>
    </w:p>
    <w:p w14:paraId="73E727CE">
      <w:pPr>
        <w:keepNext w:val="0"/>
        <w:keepLines w:val="0"/>
        <w:pageBreakBefore w:val="0"/>
        <w:kinsoku/>
        <w:overflowPunct/>
        <w:autoSpaceDE/>
        <w:autoSpaceDN/>
        <w:bidi w:val="0"/>
        <w:spacing w:line="560" w:lineRule="exact"/>
        <w:jc w:val="both"/>
        <w:textAlignment w:val="auto"/>
        <w:rPr>
          <w:rFonts w:ascii="华文楷体" w:hAnsi="华文楷体" w:eastAsia="华文楷体"/>
          <w:b/>
          <w:position w:val="18"/>
          <w:sz w:val="28"/>
          <w:szCs w:val="28"/>
        </w:rPr>
      </w:pPr>
    </w:p>
    <w:p w14:paraId="294F6E07">
      <w:pPr>
        <w:pStyle w:val="4"/>
        <w:keepNext w:val="0"/>
        <w:keepLines w:val="0"/>
        <w:pageBreakBefore w:val="0"/>
        <w:kinsoku/>
        <w:overflowPunct/>
        <w:autoSpaceDE/>
        <w:autoSpaceDN/>
        <w:bidi w:val="0"/>
        <w:spacing w:line="560" w:lineRule="exact"/>
        <w:textAlignment w:val="auto"/>
        <w:rPr>
          <w:rFonts w:ascii="微软雅黑" w:hAnsi="仿宋" w:eastAsia="微软雅黑"/>
          <w:b w:val="0"/>
          <w:szCs w:val="44"/>
        </w:rPr>
      </w:pPr>
    </w:p>
    <w:p w14:paraId="35AF07B0">
      <w:pPr>
        <w:pStyle w:val="4"/>
        <w:keepNext w:val="0"/>
        <w:keepLines w:val="0"/>
        <w:pageBreakBefore w:val="0"/>
        <w:kinsoku/>
        <w:overflowPunct/>
        <w:autoSpaceDE/>
        <w:autoSpaceDN/>
        <w:bidi w:val="0"/>
        <w:spacing w:line="560" w:lineRule="exact"/>
        <w:textAlignment w:val="auto"/>
        <w:rPr>
          <w:rFonts w:ascii="微软雅黑" w:hAnsi="仿宋" w:eastAsia="微软雅黑"/>
          <w:b w:val="0"/>
          <w:szCs w:val="44"/>
        </w:rPr>
      </w:pPr>
    </w:p>
    <w:p w14:paraId="1DC2E1B9">
      <w:pPr>
        <w:pStyle w:val="4"/>
        <w:keepNext w:val="0"/>
        <w:keepLines w:val="0"/>
        <w:pageBreakBefore w:val="0"/>
        <w:kinsoku/>
        <w:overflowPunct/>
        <w:autoSpaceDE/>
        <w:autoSpaceDN/>
        <w:bidi w:val="0"/>
        <w:spacing w:line="560" w:lineRule="exact"/>
        <w:textAlignment w:val="auto"/>
        <w:rPr>
          <w:rFonts w:ascii="微软雅黑" w:hAnsi="仿宋" w:eastAsia="微软雅黑"/>
          <w:b w:val="0"/>
          <w:szCs w:val="44"/>
        </w:rPr>
      </w:pPr>
    </w:p>
    <w:p w14:paraId="0856C07A">
      <w:pPr>
        <w:keepNext w:val="0"/>
        <w:keepLines w:val="0"/>
        <w:pageBreakBefore w:val="0"/>
        <w:kinsoku/>
        <w:overflowPunct/>
        <w:autoSpaceDE/>
        <w:autoSpaceDN/>
        <w:bidi w:val="0"/>
        <w:spacing w:line="560" w:lineRule="exact"/>
        <w:ind w:left="0" w:firstLine="0" w:firstLineChars="0"/>
        <w:jc w:val="center"/>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潘环审复〔</w:t>
      </w:r>
      <w:r>
        <w:rPr>
          <w:rFonts w:hint="eastAsia" w:ascii="Times New Roman" w:hAnsi="Times New Roman" w:eastAsia="方正仿宋_GB2312" w:cs="方正仿宋_GB2312"/>
          <w:color w:val="auto"/>
          <w:sz w:val="32"/>
          <w:szCs w:val="32"/>
        </w:rPr>
        <w:t>2024</w:t>
      </w:r>
      <w:r>
        <w:rPr>
          <w:rFonts w:hint="eastAsia" w:ascii="方正仿宋_GB2312" w:hAnsi="方正仿宋_GB2312" w:eastAsia="方正仿宋_GB2312" w:cs="方正仿宋_GB2312"/>
          <w:color w:val="auto"/>
          <w:sz w:val="32"/>
          <w:szCs w:val="32"/>
        </w:rPr>
        <w:t>〕</w:t>
      </w:r>
      <w:r>
        <w:rPr>
          <w:rFonts w:hint="eastAsia" w:ascii="Times New Roman" w:hAnsi="Times New Roman" w:eastAsia="方正仿宋_GB2312" w:cs="方正仿宋_GB2312"/>
          <w:color w:val="auto"/>
          <w:sz w:val="32"/>
          <w:szCs w:val="32"/>
          <w:highlight w:val="none"/>
          <w:lang w:val="en-US" w:eastAsia="zh-CN"/>
        </w:rPr>
        <w:t>22</w:t>
      </w:r>
      <w:r>
        <w:rPr>
          <w:rFonts w:hint="eastAsia" w:ascii="方正仿宋_GB2312" w:hAnsi="方正仿宋_GB2312" w:eastAsia="方正仿宋_GB2312" w:cs="方正仿宋_GB2312"/>
          <w:color w:val="auto"/>
          <w:sz w:val="32"/>
          <w:szCs w:val="32"/>
        </w:rPr>
        <w:t>号</w:t>
      </w:r>
    </w:p>
    <w:p w14:paraId="0FC01236">
      <w:pPr>
        <w:keepNext w:val="0"/>
        <w:keepLines w:val="0"/>
        <w:pageBreakBefore w:val="0"/>
        <w:kinsoku/>
        <w:overflowPunct/>
        <w:autoSpaceDE/>
        <w:autoSpaceDN/>
        <w:bidi w:val="0"/>
        <w:snapToGrid w:val="0"/>
        <w:spacing w:line="560" w:lineRule="exact"/>
        <w:ind w:left="0"/>
        <w:jc w:val="both"/>
        <w:textAlignment w:val="auto"/>
        <w:rPr>
          <w:rFonts w:hint="eastAsia" w:ascii="方正公文小标宋" w:hAnsi="方正公文小标宋" w:eastAsia="方正公文小标宋" w:cs="方正公文小标宋"/>
          <w:color w:val="auto"/>
          <w:sz w:val="44"/>
          <w:szCs w:val="44"/>
        </w:rPr>
      </w:pPr>
    </w:p>
    <w:p w14:paraId="39416BE1">
      <w:pPr>
        <w:keepNext w:val="0"/>
        <w:keepLines w:val="0"/>
        <w:pageBreakBefore w:val="0"/>
        <w:kinsoku/>
        <w:overflowPunct/>
        <w:autoSpaceDE/>
        <w:autoSpaceDN/>
        <w:bidi w:val="0"/>
        <w:snapToGrid w:val="0"/>
        <w:spacing w:line="560" w:lineRule="exact"/>
        <w:ind w:left="0"/>
        <w:jc w:val="center"/>
        <w:textAlignment w:val="auto"/>
        <w:rPr>
          <w:rFonts w:hint="eastAsia" w:ascii="方正公文小标宋" w:hAnsi="方正公文小标宋" w:eastAsia="方正公文小标宋" w:cs="方正公文小标宋"/>
          <w:b w:val="0"/>
          <w:bCs w:val="0"/>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b w:val="0"/>
          <w:bCs w:val="0"/>
          <w:color w:val="auto"/>
          <w:sz w:val="44"/>
          <w:szCs w:val="44"/>
        </w:rPr>
        <w:t>关于淮南矿业（集团）有限责任公司潘集第三煤矿潘集第三煤矿采矿权深部勘查工程环</w:t>
      </w:r>
      <w:r>
        <w:rPr>
          <w:rFonts w:hint="eastAsia" w:ascii="方正公文小标宋" w:hAnsi="方正公文小标宋" w:eastAsia="方正公文小标宋" w:cs="方正公文小标宋"/>
          <w:b w:val="0"/>
          <w:bCs w:val="0"/>
          <w:color w:val="000000" w:themeColor="text1"/>
          <w:sz w:val="44"/>
          <w:szCs w:val="44"/>
          <w14:textFill>
            <w14:solidFill>
              <w14:schemeClr w14:val="tx1"/>
            </w14:solidFill>
          </w14:textFill>
        </w:rPr>
        <w:t>境</w:t>
      </w:r>
    </w:p>
    <w:p w14:paraId="676EEC0F">
      <w:pPr>
        <w:keepNext w:val="0"/>
        <w:keepLines w:val="0"/>
        <w:pageBreakBefore w:val="0"/>
        <w:kinsoku/>
        <w:overflowPunct/>
        <w:autoSpaceDE/>
        <w:autoSpaceDN/>
        <w:bidi w:val="0"/>
        <w:snapToGrid w:val="0"/>
        <w:spacing w:line="560" w:lineRule="exact"/>
        <w:ind w:left="0"/>
        <w:jc w:val="center"/>
        <w:textAlignment w:val="auto"/>
        <w:rPr>
          <w:rFonts w:hint="default" w:ascii="Times New Roman" w:hAnsi="Times New Roman" w:eastAsia="Arial Unicode MS" w:cs="Times New Roman"/>
          <w:b w:val="0"/>
          <w:bCs w:val="0"/>
          <w:color w:val="000000" w:themeColor="text1"/>
          <w:sz w:val="36"/>
          <w:szCs w:val="36"/>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14:textFill>
            <w14:solidFill>
              <w14:schemeClr w14:val="tx1"/>
            </w14:solidFill>
          </w14:textFill>
        </w:rPr>
        <w:t>影响报告表的批复</w:t>
      </w:r>
    </w:p>
    <w:p w14:paraId="37BD0DF8">
      <w:pPr>
        <w:keepNext w:val="0"/>
        <w:keepLines w:val="0"/>
        <w:pageBreakBefore w:val="0"/>
        <w:kinsoku/>
        <w:overflowPunct/>
        <w:autoSpaceDE/>
        <w:autoSpaceDN/>
        <w:bidi w:val="0"/>
        <w:spacing w:line="560" w:lineRule="exact"/>
        <w:ind w:left="0"/>
        <w:jc w:val="center"/>
        <w:textAlignment w:val="auto"/>
        <w:rPr>
          <w:rFonts w:hint="default" w:ascii="Times New Roman" w:hAnsi="Times New Roman" w:eastAsia="Arial Unicode MS" w:cs="Times New Roman"/>
          <w:bCs/>
          <w:sz w:val="44"/>
          <w:szCs w:val="44"/>
        </w:rPr>
      </w:pPr>
    </w:p>
    <w:p w14:paraId="57879EF1">
      <w:pPr>
        <w:keepNext w:val="0"/>
        <w:keepLines w:val="0"/>
        <w:pageBreakBefore w:val="0"/>
        <w:widowControl w:val="0"/>
        <w:kinsoku/>
        <w:overflowPunct/>
        <w:autoSpaceDE/>
        <w:autoSpaceDN/>
        <w:bidi w:val="0"/>
        <w:adjustRightInd/>
        <w:snapToGrid/>
        <w:spacing w:line="560" w:lineRule="exact"/>
        <w:ind w:left="0"/>
        <w:jc w:val="left"/>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淮南矿业(集团)有限责任公司潘集第三煤矿：</w:t>
      </w:r>
    </w:p>
    <w:p w14:paraId="6B9D971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方正仿宋_GB2312" w:hAnsi="方正仿宋_GB2312" w:eastAsia="方正仿宋_GB2312" w:cs="方正仿宋_GB2312"/>
          <w:sz w:val="32"/>
          <w:szCs w:val="32"/>
          <w:lang w:eastAsia="zh-CN"/>
        </w:rPr>
      </w:pPr>
      <w:r>
        <w:rPr>
          <w:rFonts w:hint="default" w:ascii="方正仿宋_GB2312" w:hAnsi="方正仿宋_GB2312" w:eastAsia="方正仿宋_GB2312" w:cs="方正仿宋_GB2312"/>
          <w:sz w:val="32"/>
          <w:szCs w:val="32"/>
          <w:lang w:eastAsia="zh-CN"/>
        </w:rPr>
        <w:t>你公司报送《</w:t>
      </w:r>
      <w:r>
        <w:rPr>
          <w:rFonts w:hint="eastAsia" w:ascii="方正仿宋_GB2312" w:hAnsi="方正仿宋_GB2312" w:eastAsia="方正仿宋_GB2312" w:cs="方正仿宋_GB2312"/>
          <w:sz w:val="32"/>
          <w:szCs w:val="32"/>
          <w:lang w:eastAsia="zh-CN"/>
        </w:rPr>
        <w:t>潘集第三煤矿采矿权深部勘查工程</w:t>
      </w:r>
      <w:r>
        <w:rPr>
          <w:rFonts w:hint="default" w:ascii="方正仿宋_GB2312" w:hAnsi="方正仿宋_GB2312" w:eastAsia="方正仿宋_GB2312" w:cs="方正仿宋_GB2312"/>
          <w:sz w:val="32"/>
          <w:szCs w:val="32"/>
          <w:lang w:eastAsia="zh-CN"/>
        </w:rPr>
        <w:t>环境影响报告表》（以下简称《报告表》）收悉，经审查研究后批复如下：</w:t>
      </w:r>
    </w:p>
    <w:p w14:paraId="4F66A56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default" w:ascii="方正仿宋_GB2312" w:hAnsi="方正仿宋_GB2312" w:eastAsia="方正仿宋_GB2312" w:cs="方正仿宋_GB2312"/>
          <w:sz w:val="32"/>
          <w:szCs w:val="32"/>
          <w:lang w:eastAsia="zh-CN"/>
        </w:rPr>
        <w:t>在全面落实环评文件提出的各项污染防治措施、</w:t>
      </w:r>
      <w:r>
        <w:rPr>
          <w:rFonts w:hint="default" w:ascii="方正仿宋_GB2312" w:hAnsi="方正仿宋_GB2312" w:eastAsia="方正仿宋_GB2312" w:cs="方正仿宋_GB2312"/>
          <w:sz w:val="32"/>
          <w:szCs w:val="32"/>
          <w:lang w:val="en-US" w:eastAsia="zh-CN"/>
        </w:rPr>
        <w:t>生态保护措施</w:t>
      </w:r>
      <w:r>
        <w:rPr>
          <w:rFonts w:hint="default" w:ascii="方正仿宋_GB2312" w:hAnsi="方正仿宋_GB2312" w:eastAsia="方正仿宋_GB2312" w:cs="方正仿宋_GB2312"/>
          <w:sz w:val="32"/>
          <w:szCs w:val="32"/>
          <w:lang w:eastAsia="zh-CN"/>
        </w:rPr>
        <w:t>和风险防范措施的前提下，结合专家审查意见，原则同意该项目按照安徽璟润环境科技有限公司编制的《报告表》及本审批意见要求进行建设。</w:t>
      </w:r>
    </w:p>
    <w:p w14:paraId="48382545">
      <w:pPr>
        <w:keepNext w:val="0"/>
        <w:keepLines w:val="0"/>
        <w:pageBreakBefore w:val="0"/>
        <w:widowControl w:val="0"/>
        <w:kinsoku/>
        <w:wordWrap w:val="0"/>
        <w:overflowPunct/>
        <w:topLinePunct/>
        <w:autoSpaceDE/>
        <w:autoSpaceDN/>
        <w:bidi w:val="0"/>
        <w:adjustRightInd/>
        <w:snapToGrid/>
        <w:spacing w:line="560" w:lineRule="exact"/>
        <w:ind w:left="0" w:firstLine="640" w:firstLineChars="200"/>
        <w:textAlignment w:val="auto"/>
        <w:rPr>
          <w:rFonts w:hint="default" w:ascii="Times New Roman" w:hAnsi="Times New Roman" w:eastAsia="黑体" w:cs="Times New Roman"/>
          <w:sz w:val="32"/>
          <w:szCs w:val="32"/>
        </w:rPr>
      </w:pPr>
      <w:r>
        <w:rPr>
          <w:rFonts w:hint="default" w:ascii="黑体" w:hAnsi="黑体" w:eastAsia="黑体" w:cs="黑体"/>
          <w:sz w:val="32"/>
          <w:szCs w:val="32"/>
        </w:rPr>
        <w:t>一、项目概况</w:t>
      </w:r>
    </w:p>
    <w:p w14:paraId="44F95F5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潘集第三煤矿采矿权深部勘查工程位于安徽省淮南市潘集区芦集镇境内</w:t>
      </w:r>
      <w:r>
        <w:rPr>
          <w:rFonts w:hint="eastAsia" w:ascii="方正仿宋_GB2312" w:hAnsi="方正仿宋_GB2312" w:eastAsia="方正仿宋_GB2312" w:cs="方正仿宋_GB2312"/>
          <w:sz w:val="32"/>
          <w:szCs w:val="32"/>
          <w:lang w:val="en-US" w:eastAsia="zh-CN"/>
        </w:rPr>
        <w:t>,本次项目</w:t>
      </w:r>
      <w:r>
        <w:rPr>
          <w:rFonts w:hint="eastAsia" w:ascii="方正仿宋_GB2312" w:hAnsi="方正仿宋_GB2312" w:eastAsia="方正仿宋_GB2312" w:cs="方正仿宋_GB2312"/>
          <w:sz w:val="32"/>
          <w:szCs w:val="32"/>
          <w:lang w:eastAsia="zh-CN"/>
        </w:rPr>
        <w:t>为优化煤矿采掘接续，满足矿井建设、生产的需求，为矿井开采水平延深提供地质资料，计划对采矿权平面范围内深部煤炭资源进行补充勘探，并提交深部煤炭勘探报告和煤炭资源储量整合报告。本项目地面共布置</w:t>
      </w:r>
      <w:r>
        <w:rPr>
          <w:rFonts w:hint="eastAsia" w:ascii="Times New Roman" w:hAnsi="Times New Roman" w:eastAsia="仿宋_GB2312" w:cs="Times New Roman"/>
          <w:sz w:val="32"/>
          <w:szCs w:val="32"/>
          <w:lang w:val="en-US" w:eastAsia="zh-CN"/>
        </w:rPr>
        <w:t>8</w:t>
      </w:r>
      <w:r>
        <w:rPr>
          <w:rFonts w:hint="eastAsia" w:ascii="方正仿宋_GB2312" w:hAnsi="方正仿宋_GB2312" w:eastAsia="方正仿宋_GB2312" w:cs="方正仿宋_GB2312"/>
          <w:sz w:val="32"/>
          <w:szCs w:val="32"/>
          <w:lang w:eastAsia="zh-CN"/>
        </w:rPr>
        <w:t>个钻孔，钻孔终孔层位均为</w:t>
      </w:r>
      <w:r>
        <w:rPr>
          <w:rFonts w:hint="eastAsia" w:ascii="Times New Roman" w:hAnsi="Times New Roman" w:eastAsia="方正仿宋_GB2312" w:cs="方正仿宋_GB2312"/>
          <w:sz w:val="32"/>
          <w:szCs w:val="32"/>
          <w:lang w:eastAsia="zh-CN"/>
        </w:rPr>
        <w:t>1</w:t>
      </w:r>
      <w:r>
        <w:rPr>
          <w:rFonts w:hint="eastAsia" w:ascii="方正仿宋_GB2312" w:hAnsi="方正仿宋_GB2312" w:eastAsia="方正仿宋_GB2312" w:cs="方正仿宋_GB2312"/>
          <w:sz w:val="32"/>
          <w:szCs w:val="32"/>
          <w:lang w:eastAsia="zh-CN"/>
        </w:rPr>
        <w:t>煤层底板，孔深</w:t>
      </w:r>
      <w:r>
        <w:rPr>
          <w:rFonts w:hint="eastAsia" w:ascii="Times New Roman" w:hAnsi="Times New Roman" w:eastAsia="仿宋_GB2312" w:cs="Times New Roman"/>
          <w:sz w:val="32"/>
          <w:szCs w:val="32"/>
          <w:lang w:val="en-US" w:eastAsia="zh-CN"/>
        </w:rPr>
        <w:t>1065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1380</w:t>
      </w:r>
      <w:r>
        <w:rPr>
          <w:rFonts w:hint="eastAsia" w:ascii="Times New Roman" w:hAnsi="Times New Roman" w:eastAsia="仿宋_GB2312" w:cs="Times New Roman"/>
          <w:sz w:val="32"/>
          <w:szCs w:val="32"/>
          <w:lang w:val="en-US" w:eastAsia="zh-CN"/>
        </w:rPr>
        <w:t>m</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eastAsia="zh-CN"/>
        </w:rPr>
        <w:t>钻孔总工程量</w:t>
      </w:r>
      <w:r>
        <w:rPr>
          <w:rFonts w:hint="eastAsia" w:ascii="Times New Roman" w:hAnsi="Times New Roman" w:eastAsia="仿宋_GB2312" w:cs="Times New Roman"/>
          <w:sz w:val="32"/>
          <w:szCs w:val="32"/>
          <w:lang w:val="en-US" w:eastAsia="zh-CN"/>
        </w:rPr>
        <w:t>9565</w:t>
      </w:r>
      <w:r>
        <w:rPr>
          <w:rFonts w:hint="eastAsia" w:ascii="Times New Roman" w:hAnsi="Times New Roman" w:eastAsia="仿宋_GB2312" w:cs="Times New Roman"/>
          <w:sz w:val="32"/>
          <w:szCs w:val="32"/>
          <w:lang w:val="en-US" w:eastAsia="zh-CN"/>
        </w:rPr>
        <w:t>m</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eastAsia="zh-CN"/>
        </w:rPr>
        <w:t>该项目建成后，矿井可实现持续性开采。为优化煤矿采掘接续，满足矿井建设、生产的需求，为矿井开采水平延深提供地质资料。本项目不涉及煤炭开采工作，仅为安全辅助地质勘查治理工程。待勘查结束后进行现场清理和生态修复工作。</w:t>
      </w:r>
    </w:p>
    <w:p w14:paraId="3B5AB3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lang w:eastAsia="zh-CN"/>
        </w:rPr>
        <w:t>本项目已经淮南市潘集区发展和改革委员会备案，项目代码</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2408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340406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334150</w:t>
      </w:r>
      <w:r>
        <w:rPr>
          <w:rFonts w:hint="eastAsia" w:ascii="仿宋_GB2312" w:hAnsi="仿宋_GB2312" w:eastAsia="仿宋_GB2312" w:cs="仿宋_GB2312"/>
          <w:sz w:val="32"/>
          <w:szCs w:val="32"/>
          <w:lang w:eastAsia="zh-CN"/>
        </w:rPr>
        <w:t>。</w:t>
      </w:r>
      <w:r>
        <w:rPr>
          <w:rFonts w:hint="eastAsia" w:ascii="方正仿宋_GB2312" w:hAnsi="方正仿宋_GB2312" w:eastAsia="方正仿宋_GB2312" w:cs="方正仿宋_GB2312"/>
          <w:sz w:val="32"/>
          <w:szCs w:val="32"/>
          <w:lang w:eastAsia="zh-CN"/>
        </w:rPr>
        <w:t>未经同意不得擅自改变建设内容、工艺、规模和选址等。若工程建设发生重大变动，必须严格依照《中华人民共和国环境影响评价法》的有关规定办理相关手续。</w:t>
      </w:r>
    </w:p>
    <w:p w14:paraId="6344ED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污染防治措施要求</w:t>
      </w:r>
    </w:p>
    <w:p w14:paraId="2E2E76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lang w:eastAsia="zh-CN"/>
        </w:rPr>
        <w:t>为保护区域环境质量不因本项目建设而降低，项目设计、建设和运行必须做到以下要求</w:t>
      </w:r>
      <w:r>
        <w:rPr>
          <w:rFonts w:hint="eastAsia" w:ascii="仿宋_GB2312" w:hAnsi="仿宋_GB2312" w:eastAsia="仿宋_GB2312" w:cs="仿宋_GB2312"/>
          <w:sz w:val="32"/>
          <w:szCs w:val="32"/>
        </w:rPr>
        <w:t>：</w:t>
      </w:r>
    </w:p>
    <w:p w14:paraId="6CFF0E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kern w:val="2"/>
          <w:sz w:val="32"/>
          <w:szCs w:val="32"/>
          <w:lang w:val="en-US" w:eastAsia="zh-CN" w:bidi="ar-SA"/>
        </w:rPr>
        <w:t>(一)</w:t>
      </w:r>
      <w:r>
        <w:rPr>
          <w:rFonts w:hint="eastAsia" w:ascii="方正楷体_GB2312" w:hAnsi="方正楷体_GB2312" w:eastAsia="方正楷体_GB2312" w:cs="方正楷体_GB2312"/>
          <w:b/>
          <w:bCs/>
          <w:sz w:val="32"/>
          <w:szCs w:val="32"/>
        </w:rPr>
        <w:t>严格落实大气污染防治措施。</w:t>
      </w:r>
      <w:r>
        <w:rPr>
          <w:rFonts w:hint="eastAsia" w:ascii="方正仿宋_GB2312" w:hAnsi="方正仿宋_GB2312" w:eastAsia="方正仿宋_GB2312" w:cs="方正仿宋_GB2312"/>
          <w:sz w:val="32"/>
          <w:szCs w:val="32"/>
        </w:rPr>
        <w:t>严格按照《安徽省大气污染防治条例》、《安徽省建筑工程施工和预拌混凝土生产扬尘污染防治标准》（试行）、《淮南市扬尘污染防治管理</w:t>
      </w:r>
      <w:r>
        <w:rPr>
          <w:rFonts w:hint="eastAsia" w:ascii="方正仿宋_GB2312" w:hAnsi="方正仿宋_GB2312" w:eastAsia="方正仿宋_GB2312" w:cs="方正仿宋_GB2312"/>
          <w:sz w:val="32"/>
          <w:szCs w:val="32"/>
          <w:lang w:val="en-US" w:eastAsia="zh-CN"/>
        </w:rPr>
        <w:t>条例</w:t>
      </w:r>
      <w:r>
        <w:rPr>
          <w:rFonts w:hint="eastAsia" w:ascii="方正仿宋_GB2312" w:hAnsi="方正仿宋_GB2312" w:eastAsia="方正仿宋_GB2312" w:cs="方正仿宋_GB2312"/>
          <w:sz w:val="32"/>
          <w:szCs w:val="32"/>
        </w:rPr>
        <w:t>》和《淮南市建设工程文明施工管理办法》中的相关要求，加强扬尘综合治理，严格施工扬尘监管。施工期施工扬尘等无组织粉尘采取洒水降尘措施。</w:t>
      </w:r>
      <w:r>
        <w:rPr>
          <w:rFonts w:hint="eastAsia" w:ascii="方正仿宋_GB2312" w:hAnsi="方正仿宋_GB2312" w:eastAsia="方正仿宋_GB2312" w:cs="方正仿宋_GB2312"/>
          <w:color w:val="auto"/>
          <w:kern w:val="0"/>
          <w:sz w:val="32"/>
          <w:szCs w:val="32"/>
        </w:rPr>
        <w:t>柴油发电机设置尾气处理系统，主要包括氧化催化转化器（</w:t>
      </w:r>
      <w:r>
        <w:rPr>
          <w:rFonts w:hint="default" w:ascii="Times New Roman" w:hAnsi="Times New Roman" w:eastAsia="方正仿宋_GB2312" w:cs="Times New Roman"/>
          <w:color w:val="auto"/>
          <w:kern w:val="0"/>
          <w:sz w:val="32"/>
          <w:szCs w:val="32"/>
        </w:rPr>
        <w:t>DOC</w:t>
      </w:r>
      <w:r>
        <w:rPr>
          <w:rFonts w:hint="eastAsia" w:ascii="方正仿宋_GB2312" w:hAnsi="方正仿宋_GB2312" w:eastAsia="方正仿宋_GB2312" w:cs="方正仿宋_GB2312"/>
          <w:color w:val="auto"/>
          <w:kern w:val="0"/>
          <w:sz w:val="32"/>
          <w:szCs w:val="32"/>
        </w:rPr>
        <w:t>）和颗粒过滤器</w:t>
      </w:r>
      <w:r>
        <w:rPr>
          <w:rFonts w:hint="eastAsia" w:ascii="方正仿宋_GB2312" w:hAnsi="方正仿宋_GB2312" w:eastAsia="方正仿宋_GB2312" w:cs="方正仿宋_GB2312"/>
          <w:color w:val="auto"/>
          <w:kern w:val="0"/>
          <w:sz w:val="32"/>
          <w:szCs w:val="32"/>
          <w:lang w:eastAsia="zh-CN"/>
        </w:rPr>
        <w:t>（</w:t>
      </w:r>
      <w:r>
        <w:rPr>
          <w:rFonts w:hint="eastAsia" w:ascii="Times New Roman" w:hAnsi="Times New Roman" w:eastAsia="方正仿宋_GB2312" w:cs="Times New Roman"/>
          <w:color w:val="auto"/>
          <w:kern w:val="0"/>
          <w:sz w:val="32"/>
          <w:szCs w:val="32"/>
          <w:lang w:val="en-US" w:eastAsia="zh-CN"/>
        </w:rPr>
        <w:t>DPF</w:t>
      </w:r>
      <w:r>
        <w:rPr>
          <w:rFonts w:hint="eastAsia" w:ascii="方正仿宋_GB2312" w:hAnsi="方正仿宋_GB2312" w:eastAsia="方正仿宋_GB2312" w:cs="方正仿宋_GB2312"/>
          <w:color w:val="auto"/>
          <w:kern w:val="0"/>
          <w:sz w:val="32"/>
          <w:szCs w:val="32"/>
          <w:lang w:eastAsia="zh-CN"/>
        </w:rPr>
        <w:t>）</w:t>
      </w:r>
      <w:r>
        <w:rPr>
          <w:rFonts w:hint="eastAsia" w:ascii="方正仿宋_GB2312" w:hAnsi="方正仿宋_GB2312" w:eastAsia="方正仿宋_GB2312" w:cs="方正仿宋_GB2312"/>
          <w:color w:val="auto"/>
          <w:kern w:val="0"/>
          <w:sz w:val="32"/>
          <w:szCs w:val="32"/>
        </w:rPr>
        <w:t>，有效净化和减少尾气排放。</w:t>
      </w:r>
    </w:p>
    <w:p w14:paraId="26F1696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楷体_GB2312" w:hAnsi="方正楷体_GB2312" w:eastAsia="方正楷体_GB2312" w:cs="方正楷体_GB2312"/>
          <w:b/>
          <w:bCs/>
          <w:color w:val="auto"/>
          <w:kern w:val="0"/>
          <w:sz w:val="32"/>
          <w:szCs w:val="32"/>
          <w:lang w:val="en-US" w:eastAsia="zh-CN" w:bidi="ar-SA"/>
        </w:rPr>
        <w:t>(二)</w:t>
      </w:r>
      <w:r>
        <w:rPr>
          <w:rFonts w:hint="eastAsia" w:ascii="方正楷体_GB2312" w:hAnsi="方正楷体_GB2312" w:eastAsia="方正楷体_GB2312" w:cs="方正楷体_GB2312"/>
          <w:b/>
          <w:bCs/>
          <w:sz w:val="32"/>
          <w:szCs w:val="32"/>
        </w:rPr>
        <w:t>严格落实水污染防治措施。</w:t>
      </w:r>
      <w:r>
        <w:rPr>
          <w:rFonts w:hint="eastAsia" w:ascii="方正仿宋_GB2312" w:hAnsi="方正仿宋_GB2312" w:eastAsia="方正仿宋_GB2312" w:cs="方正仿宋_GB2312"/>
          <w:sz w:val="32"/>
          <w:szCs w:val="32"/>
        </w:rPr>
        <w:t>项目施工期生活污水</w:t>
      </w:r>
      <w:r>
        <w:rPr>
          <w:rFonts w:hint="eastAsia" w:ascii="方正仿宋_GB2312" w:hAnsi="方正仿宋_GB2312" w:eastAsia="方正仿宋_GB2312" w:cs="方正仿宋_GB2312"/>
          <w:sz w:val="32"/>
          <w:szCs w:val="32"/>
          <w:lang w:val="en-US" w:eastAsia="zh-CN"/>
        </w:rPr>
        <w:t>经</w:t>
      </w:r>
      <w:r>
        <w:rPr>
          <w:rFonts w:hint="eastAsia" w:ascii="方正仿宋_GB2312" w:hAnsi="方正仿宋_GB2312" w:eastAsia="方正仿宋_GB2312" w:cs="方正仿宋_GB2312"/>
          <w:sz w:val="32"/>
          <w:szCs w:val="32"/>
        </w:rPr>
        <w:t>化粪池收集处理后由周边农户用作农家肥，不</w:t>
      </w:r>
      <w:r>
        <w:rPr>
          <w:rFonts w:hint="eastAsia" w:ascii="方正仿宋_GB2312" w:hAnsi="方正仿宋_GB2312" w:eastAsia="方正仿宋_GB2312" w:cs="方正仿宋_GB2312"/>
          <w:sz w:val="32"/>
          <w:szCs w:val="32"/>
          <w:lang w:val="en-US" w:eastAsia="zh-CN"/>
        </w:rPr>
        <w:t>外</w:t>
      </w:r>
      <w:r>
        <w:rPr>
          <w:rFonts w:hint="eastAsia" w:ascii="方正仿宋_GB2312" w:hAnsi="方正仿宋_GB2312" w:eastAsia="方正仿宋_GB2312" w:cs="方正仿宋_GB2312"/>
          <w:sz w:val="32"/>
          <w:szCs w:val="32"/>
        </w:rPr>
        <w:t>排。施工过程中产生的钻井废水</w:t>
      </w:r>
      <w:r>
        <w:rPr>
          <w:rFonts w:hint="eastAsia" w:ascii="方正仿宋_GB2312" w:hAnsi="方正仿宋_GB2312" w:eastAsia="方正仿宋_GB2312" w:cs="方正仿宋_GB2312"/>
          <w:sz w:val="32"/>
          <w:szCs w:val="32"/>
          <w:lang w:val="en-US" w:eastAsia="zh-CN"/>
        </w:rPr>
        <w:t>经</w:t>
      </w:r>
      <w:r>
        <w:rPr>
          <w:rFonts w:hint="eastAsia" w:ascii="方正仿宋_GB2312" w:hAnsi="方正仿宋_GB2312" w:eastAsia="方正仿宋_GB2312" w:cs="方正仿宋_GB2312"/>
          <w:sz w:val="32"/>
          <w:szCs w:val="32"/>
        </w:rPr>
        <w:t>泥浆池</w:t>
      </w:r>
      <w:r>
        <w:rPr>
          <w:rFonts w:hint="eastAsia" w:ascii="方正仿宋_GB2312" w:hAnsi="方正仿宋_GB2312" w:eastAsia="方正仿宋_GB2312" w:cs="方正仿宋_GB2312"/>
          <w:sz w:val="32"/>
          <w:szCs w:val="32"/>
          <w:lang w:val="en-US" w:eastAsia="zh-CN"/>
        </w:rPr>
        <w:t>全部回用</w:t>
      </w:r>
      <w:r>
        <w:rPr>
          <w:rFonts w:hint="eastAsia" w:ascii="方正仿宋_GB2312" w:hAnsi="方正仿宋_GB2312" w:eastAsia="方正仿宋_GB2312" w:cs="方正仿宋_GB2312"/>
          <w:sz w:val="32"/>
          <w:szCs w:val="32"/>
        </w:rPr>
        <w:t>，不</w:t>
      </w:r>
      <w:r>
        <w:rPr>
          <w:rFonts w:hint="eastAsia" w:ascii="方正仿宋_GB2312" w:hAnsi="方正仿宋_GB2312" w:eastAsia="方正仿宋_GB2312" w:cs="方正仿宋_GB2312"/>
          <w:sz w:val="32"/>
          <w:szCs w:val="32"/>
          <w:lang w:val="en-US" w:eastAsia="zh-CN"/>
        </w:rPr>
        <w:t>外排</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设备冲洗废水全部进入沉淀池，经沉淀后回用，不外排。</w:t>
      </w:r>
    </w:p>
    <w:p w14:paraId="17F376E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color w:val="333333"/>
          <w:kern w:val="2"/>
          <w:sz w:val="32"/>
          <w:szCs w:val="32"/>
          <w:shd w:val="clear" w:fill="FFFFFF"/>
          <w:lang w:val="en-US" w:eastAsia="zh-CN" w:bidi="ar-SA"/>
        </w:rPr>
        <w:t>(三)</w:t>
      </w:r>
      <w:r>
        <w:rPr>
          <w:rFonts w:hint="eastAsia" w:ascii="方正楷体_GB2312" w:hAnsi="方正楷体_GB2312" w:eastAsia="方正楷体_GB2312" w:cs="方正楷体_GB2312"/>
          <w:b/>
          <w:bCs/>
          <w:sz w:val="32"/>
          <w:szCs w:val="32"/>
        </w:rPr>
        <w:t>严格落实噪声污染防治措施。</w:t>
      </w:r>
      <w:r>
        <w:rPr>
          <w:rFonts w:hint="eastAsia" w:ascii="方正仿宋_GB2312" w:hAnsi="方正仿宋_GB2312" w:eastAsia="方正仿宋_GB2312" w:cs="方正仿宋_GB2312"/>
          <w:color w:val="auto"/>
          <w:kern w:val="0"/>
          <w:sz w:val="32"/>
          <w:szCs w:val="32"/>
        </w:rPr>
        <w:t>项目噪声主要来源各机械设备运行产生的噪声，通过采取合理安排施工作业时间、选用低噪声机械</w:t>
      </w:r>
      <w:r>
        <w:rPr>
          <w:rFonts w:hint="eastAsia" w:ascii="方正仿宋_GB2312" w:hAnsi="方正仿宋_GB2312" w:eastAsia="方正仿宋_GB2312" w:cs="方正仿宋_GB2312"/>
          <w:color w:val="auto"/>
          <w:kern w:val="0"/>
          <w:sz w:val="32"/>
          <w:szCs w:val="32"/>
          <w:lang w:eastAsia="zh-CN"/>
        </w:rPr>
        <w:t>设备、厂房隔声、</w:t>
      </w:r>
      <w:r>
        <w:rPr>
          <w:rFonts w:hint="eastAsia" w:ascii="方正仿宋_GB2312" w:hAnsi="方正仿宋_GB2312" w:eastAsia="方正仿宋_GB2312" w:cs="方正仿宋_GB2312"/>
          <w:color w:val="auto"/>
          <w:kern w:val="0"/>
          <w:sz w:val="32"/>
          <w:szCs w:val="32"/>
        </w:rPr>
        <w:t>设备定期维护保养，加强设备及人员操作管理</w:t>
      </w:r>
      <w:r>
        <w:rPr>
          <w:rFonts w:hint="eastAsia" w:ascii="方正仿宋_GB2312" w:hAnsi="方正仿宋_GB2312" w:eastAsia="方正仿宋_GB2312" w:cs="方正仿宋_GB2312"/>
          <w:color w:val="auto"/>
          <w:kern w:val="0"/>
          <w:sz w:val="32"/>
          <w:szCs w:val="32"/>
          <w:lang w:eastAsia="zh-CN"/>
        </w:rPr>
        <w:t>等</w:t>
      </w:r>
      <w:r>
        <w:rPr>
          <w:rFonts w:hint="eastAsia" w:ascii="方正仿宋_GB2312" w:hAnsi="方正仿宋_GB2312" w:eastAsia="方正仿宋_GB2312" w:cs="方正仿宋_GB2312"/>
          <w:color w:val="auto"/>
          <w:kern w:val="0"/>
          <w:sz w:val="32"/>
          <w:szCs w:val="32"/>
        </w:rPr>
        <w:t>措施防治噪声对周边环境的影响，保证厂界噪声达标</w:t>
      </w:r>
      <w:r>
        <w:rPr>
          <w:rFonts w:hint="eastAsia" w:ascii="方正仿宋_GB2312" w:hAnsi="方正仿宋_GB2312" w:eastAsia="方正仿宋_GB2312" w:cs="方正仿宋_GB2312"/>
          <w:color w:val="auto"/>
          <w:kern w:val="0"/>
          <w:sz w:val="32"/>
          <w:szCs w:val="32"/>
          <w:lang w:eastAsia="zh-CN"/>
        </w:rPr>
        <w:t>。</w:t>
      </w:r>
    </w:p>
    <w:p w14:paraId="2A18F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rPr>
        <w:t>(四)严格落实</w:t>
      </w:r>
      <w:r>
        <w:rPr>
          <w:rFonts w:hint="eastAsia" w:ascii="方正楷体_GB2312" w:hAnsi="方正楷体_GB2312" w:eastAsia="方正楷体_GB2312" w:cs="方正楷体_GB2312"/>
          <w:b/>
          <w:bCs/>
          <w:sz w:val="32"/>
          <w:szCs w:val="32"/>
          <w:lang w:val="en-US" w:eastAsia="zh-CN"/>
        </w:rPr>
        <w:t>固体废物</w:t>
      </w:r>
      <w:r>
        <w:rPr>
          <w:rFonts w:hint="eastAsia" w:ascii="方正楷体_GB2312" w:hAnsi="方正楷体_GB2312" w:eastAsia="方正楷体_GB2312" w:cs="方正楷体_GB2312"/>
          <w:b/>
          <w:bCs/>
          <w:sz w:val="32"/>
          <w:szCs w:val="32"/>
        </w:rPr>
        <w:t>污染防治措施</w:t>
      </w:r>
      <w:r>
        <w:rPr>
          <w:rFonts w:hint="default" w:ascii="Times New Roman" w:hAnsi="Times New Roman" w:eastAsia="楷体" w:cs="Times New Roman"/>
          <w:sz w:val="32"/>
          <w:szCs w:val="32"/>
        </w:rPr>
        <w:t>。</w:t>
      </w:r>
      <w:r>
        <w:rPr>
          <w:rFonts w:hint="eastAsia" w:ascii="方正仿宋_GB2312" w:hAnsi="方正仿宋_GB2312" w:eastAsia="方正仿宋_GB2312" w:cs="方正仿宋_GB2312"/>
          <w:sz w:val="32"/>
          <w:szCs w:val="32"/>
        </w:rPr>
        <w:t>项目施工期强化固废在产生、收集、贮运各环节的管理，一般工业固废做到综合利用和及时清运，废钻井泥浆全部在各井场内泥浆池中存储，待</w:t>
      </w:r>
      <w:r>
        <w:rPr>
          <w:rFonts w:hint="eastAsia" w:ascii="方正仿宋_GB2312" w:hAnsi="方正仿宋_GB2312" w:eastAsia="方正仿宋_GB2312" w:cs="方正仿宋_GB2312"/>
          <w:sz w:val="32"/>
          <w:szCs w:val="32"/>
          <w:lang w:val="en-US" w:eastAsia="zh-CN"/>
        </w:rPr>
        <w:t>施工</w:t>
      </w:r>
      <w:r>
        <w:rPr>
          <w:rFonts w:hint="eastAsia" w:ascii="方正仿宋_GB2312" w:hAnsi="方正仿宋_GB2312" w:eastAsia="方正仿宋_GB2312" w:cs="方正仿宋_GB2312"/>
          <w:sz w:val="32"/>
          <w:szCs w:val="32"/>
        </w:rPr>
        <w:t>完成后规范收集</w:t>
      </w:r>
      <w:r>
        <w:rPr>
          <w:rFonts w:hint="eastAsia" w:ascii="方正仿宋_GB2312" w:hAnsi="方正仿宋_GB2312" w:eastAsia="方正仿宋_GB2312" w:cs="方正仿宋_GB2312"/>
          <w:sz w:val="32"/>
          <w:szCs w:val="32"/>
          <w:lang w:val="en-US" w:eastAsia="zh-CN"/>
        </w:rPr>
        <w:t>后</w:t>
      </w:r>
      <w:r>
        <w:rPr>
          <w:rFonts w:hint="eastAsia" w:ascii="方正仿宋_GB2312" w:hAnsi="方正仿宋_GB2312" w:eastAsia="方正仿宋_GB2312" w:cs="方正仿宋_GB2312"/>
          <w:sz w:val="32"/>
          <w:szCs w:val="32"/>
        </w:rPr>
        <w:t>委托</w:t>
      </w:r>
      <w:r>
        <w:rPr>
          <w:rFonts w:hint="eastAsia" w:ascii="方正仿宋_GB2312" w:hAnsi="方正仿宋_GB2312" w:eastAsia="方正仿宋_GB2312" w:cs="方正仿宋_GB2312"/>
          <w:sz w:val="32"/>
          <w:szCs w:val="32"/>
          <w:lang w:val="en-US" w:eastAsia="zh-CN"/>
        </w:rPr>
        <w:t>有资质</w:t>
      </w:r>
      <w:r>
        <w:rPr>
          <w:rFonts w:hint="eastAsia" w:ascii="方正仿宋_GB2312" w:hAnsi="方正仿宋_GB2312" w:eastAsia="方正仿宋_GB2312" w:cs="方正仿宋_GB2312"/>
          <w:sz w:val="32"/>
          <w:szCs w:val="32"/>
        </w:rPr>
        <w:t>的单位处置。废钻井泥浆暂存于泥浆池中待钻井结束后</w:t>
      </w:r>
      <w:r>
        <w:rPr>
          <w:rFonts w:hint="eastAsia" w:ascii="方正仿宋_GB2312" w:hAnsi="方正仿宋_GB2312" w:eastAsia="方正仿宋_GB2312" w:cs="方正仿宋_GB2312"/>
          <w:sz w:val="32"/>
          <w:szCs w:val="32"/>
          <w:lang w:val="en-US" w:eastAsia="zh-CN"/>
        </w:rPr>
        <w:t>委托有资质</w:t>
      </w:r>
      <w:r>
        <w:rPr>
          <w:rFonts w:hint="eastAsia" w:ascii="方正仿宋_GB2312" w:hAnsi="方正仿宋_GB2312" w:eastAsia="方正仿宋_GB2312" w:cs="方正仿宋_GB2312"/>
          <w:sz w:val="32"/>
          <w:szCs w:val="32"/>
        </w:rPr>
        <w:t>单位处置。钻井岩屑暂存于砂池中，自然干化后作为一般固废外运处置。废包装材料集中收集后外售处理。废润滑油、废润滑油桶、分类后的废含油抹布和废含油手套集中收集后暂存于危险废物暂存间内，定期交由有资质单位处置。生活垃圾依托附近居民区垃圾桶统一收集后，由环卫部门清运。</w:t>
      </w:r>
    </w:p>
    <w:p w14:paraId="52F75C8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五</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rPr>
        <w:t>严格落实土壤及地下水污染防治措施。</w:t>
      </w:r>
      <w:r>
        <w:rPr>
          <w:rFonts w:hint="eastAsia" w:ascii="方正仿宋_GB2312" w:hAnsi="方正仿宋_GB2312" w:eastAsia="方正仿宋_GB2312" w:cs="方正仿宋_GB2312"/>
          <w:b w:val="0"/>
          <w:bCs w:val="0"/>
          <w:sz w:val="32"/>
          <w:szCs w:val="32"/>
          <w:lang w:val="en-US" w:eastAsia="zh-CN"/>
        </w:rPr>
        <w:t>项目施工</w:t>
      </w:r>
      <w:r>
        <w:rPr>
          <w:rFonts w:hint="eastAsia" w:ascii="方正仿宋_GB2312" w:hAnsi="方正仿宋_GB2312" w:eastAsia="方正仿宋_GB2312" w:cs="方正仿宋_GB2312"/>
          <w:sz w:val="32"/>
          <w:szCs w:val="32"/>
        </w:rPr>
        <w:t>尽量避开雨季，提高工程施工效率，缩短施工工期。划定施工作业范围线，不随意扩大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尽可能减少对土壤和农作物的破坏以及由此引发的水土流失。对表层土堆放区采用彩条布遮挡、构筑截、排水沟等水保措施，防止水土流失。施工结束后按照原有土地利用类型进行生态恢复</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恢复土地原状</w:t>
      </w:r>
      <w:r>
        <w:rPr>
          <w:rFonts w:hint="eastAsia" w:ascii="方正仿宋_GB2312" w:hAnsi="方正仿宋_GB2312" w:eastAsia="方正仿宋_GB2312" w:cs="方正仿宋_GB2312"/>
          <w:sz w:val="32"/>
          <w:szCs w:val="32"/>
        </w:rPr>
        <w:t>。</w:t>
      </w:r>
    </w:p>
    <w:p w14:paraId="0C98BB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六</w:t>
      </w: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rPr>
        <w:t>严格控制生态影响</w:t>
      </w:r>
      <w:r>
        <w:rPr>
          <w:rFonts w:hint="eastAsia" w:ascii="方正楷体_GB2312" w:hAnsi="方正楷体_GB2312" w:eastAsia="方正楷体_GB2312" w:cs="方正楷体_GB2312"/>
          <w:b w:val="0"/>
          <w:bCs w:val="0"/>
          <w:sz w:val="32"/>
          <w:szCs w:val="32"/>
          <w:lang w:eastAsia="zh-CN"/>
        </w:rPr>
        <w:t>。</w:t>
      </w:r>
      <w:r>
        <w:rPr>
          <w:rFonts w:hint="eastAsia" w:ascii="方正仿宋_GB2312" w:hAnsi="方正仿宋_GB2312" w:eastAsia="方正仿宋_GB2312" w:cs="方正仿宋_GB2312"/>
          <w:sz w:val="32"/>
          <w:szCs w:val="32"/>
        </w:rPr>
        <w:t>工程施工过程中，在不同的建设时段采取相应经济、有效、合理的各类水保措施进行防护，减小水土流失；优化工程施工布置，严格控制工程占地和施工活动范围，最大限度减少地表扰动。加强对施工人员的生态环境保护宣传教育，严禁随意破坏植被和捕杀野生动物。合理安排施工时间，创新采用绿色施工方法和工艺，减少对植被的占用和对动物生</w:t>
      </w:r>
      <w:r>
        <w:rPr>
          <w:rFonts w:hint="eastAsia" w:ascii="方正仿宋_GB2312" w:hAnsi="方正仿宋_GB2312" w:eastAsia="方正仿宋_GB2312" w:cs="方正仿宋_GB2312"/>
          <w:sz w:val="32"/>
          <w:szCs w:val="32"/>
          <w:lang w:val="en-US" w:eastAsia="zh-CN"/>
        </w:rPr>
        <w:t>活环</w:t>
      </w:r>
      <w:r>
        <w:rPr>
          <w:rFonts w:hint="eastAsia" w:ascii="方正仿宋_GB2312" w:hAnsi="方正仿宋_GB2312" w:eastAsia="方正仿宋_GB2312" w:cs="方正仿宋_GB2312"/>
          <w:sz w:val="32"/>
          <w:szCs w:val="32"/>
        </w:rPr>
        <w:t>境的破坏，施工应采取措施减少对水生生物的扰动。施工前对表土进行剥离，单独堆存防护并回用；施工过程中采取水土保持措施，施工结束后及时对施工</w:t>
      </w:r>
      <w:r>
        <w:rPr>
          <w:rFonts w:hint="eastAsia" w:ascii="方正仿宋_GB2312" w:hAnsi="方正仿宋_GB2312" w:eastAsia="方正仿宋_GB2312" w:cs="方正仿宋_GB2312"/>
          <w:sz w:val="32"/>
          <w:szCs w:val="32"/>
          <w:lang w:val="en-US" w:eastAsia="zh-CN"/>
        </w:rPr>
        <w:t>场地</w:t>
      </w:r>
      <w:r>
        <w:rPr>
          <w:rFonts w:hint="eastAsia" w:ascii="方正仿宋_GB2312" w:hAnsi="方正仿宋_GB2312" w:eastAsia="方正仿宋_GB2312" w:cs="方正仿宋_GB2312"/>
          <w:sz w:val="32"/>
          <w:szCs w:val="32"/>
        </w:rPr>
        <w:t>实施生态恢复。项目不得占用生态保护红线。</w:t>
      </w:r>
    </w:p>
    <w:p w14:paraId="3AFFE4D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楷体_GB2312" w:hAnsi="方正楷体_GB2312" w:eastAsia="方正楷体_GB2312" w:cs="方正楷体_GB2312"/>
          <w:b/>
          <w:bCs/>
          <w:sz w:val="32"/>
          <w:szCs w:val="32"/>
          <w:lang w:eastAsia="zh-CN"/>
        </w:rPr>
        <w:t>（</w:t>
      </w:r>
      <w:r>
        <w:rPr>
          <w:rFonts w:hint="eastAsia" w:ascii="方正楷体_GB2312" w:hAnsi="方正楷体_GB2312" w:eastAsia="方正楷体_GB2312" w:cs="方正楷体_GB2312"/>
          <w:b/>
          <w:bCs/>
          <w:sz w:val="32"/>
          <w:szCs w:val="32"/>
          <w:lang w:val="en-US" w:eastAsia="zh-CN"/>
        </w:rPr>
        <w:t>七</w:t>
      </w:r>
      <w:r>
        <w:rPr>
          <w:rFonts w:hint="eastAsia" w:ascii="方正楷体_GB2312" w:hAnsi="方正楷体_GB2312" w:eastAsia="方正楷体_GB2312" w:cs="方正楷体_GB2312"/>
          <w:b/>
          <w:bCs/>
          <w:sz w:val="32"/>
          <w:szCs w:val="32"/>
          <w:lang w:eastAsia="zh-CN"/>
        </w:rPr>
        <w:t>）</w:t>
      </w:r>
      <w:r>
        <w:rPr>
          <w:rFonts w:hint="eastAsia" w:ascii="方正仿宋_GB2312" w:hAnsi="方正仿宋_GB2312" w:eastAsia="方正仿宋_GB2312" w:cs="方正仿宋_GB2312"/>
          <w:sz w:val="32"/>
          <w:szCs w:val="32"/>
        </w:rPr>
        <w:t>项目应加强环境保护管理，落实环境保护的各项应急措施及制度，加强风险管理，有关本项目环境影响减缓措施，按《报告表》要求及</w:t>
      </w:r>
      <w:r>
        <w:rPr>
          <w:rFonts w:hint="eastAsia" w:ascii="方正仿宋_GB2312" w:hAnsi="方正仿宋_GB2312" w:eastAsia="方正仿宋_GB2312" w:cs="方正仿宋_GB2312"/>
          <w:sz w:val="32"/>
          <w:szCs w:val="32"/>
          <w:lang w:eastAsia="zh-CN"/>
        </w:rPr>
        <w:t>评</w:t>
      </w:r>
      <w:r>
        <w:rPr>
          <w:rFonts w:hint="eastAsia" w:ascii="方正仿宋_GB2312" w:hAnsi="方正仿宋_GB2312" w:eastAsia="方正仿宋_GB2312" w:cs="方正仿宋_GB2312"/>
          <w:sz w:val="32"/>
          <w:szCs w:val="32"/>
        </w:rPr>
        <w:t>审意见认真落实。</w:t>
      </w:r>
    </w:p>
    <w:p w14:paraId="736392F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三、环境管理要求</w:t>
      </w:r>
    </w:p>
    <w:p w14:paraId="4B493395">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1</w:t>
      </w:r>
      <w:r>
        <w:rPr>
          <w:rFonts w:hint="eastAsia" w:ascii="方正仿宋_GB2312" w:hAnsi="方正仿宋_GB2312" w:eastAsia="方正仿宋_GB2312" w:cs="方正仿宋_GB2312"/>
          <w:color w:val="auto"/>
          <w:kern w:val="2"/>
          <w:sz w:val="32"/>
          <w:szCs w:val="32"/>
          <w:lang w:val="en-US" w:eastAsia="zh-CN" w:bidi="ar-SA"/>
        </w:rPr>
        <w:t>.项目施工建设应按用地边界线进行，加强施工期的组织管理，合理安排工期，做好水土保持等工作；项目施工结束后应及时按照复垦方案对临时占地进行复垦，剥离的表土回填，恢复原有生态环境功能。</w:t>
      </w:r>
    </w:p>
    <w:p w14:paraId="33A6D991">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方正仿宋_GB2312" w:cs="方正仿宋_GB2312"/>
          <w:color w:val="auto"/>
          <w:kern w:val="2"/>
          <w:sz w:val="32"/>
          <w:szCs w:val="32"/>
          <w:lang w:val="en-US" w:eastAsia="zh-CN" w:bidi="ar-SA"/>
        </w:rPr>
        <w:t>2</w:t>
      </w:r>
      <w:r>
        <w:rPr>
          <w:rFonts w:hint="eastAsia" w:ascii="方正仿宋_GB2312" w:hAnsi="方正仿宋_GB2312" w:eastAsia="方正仿宋_GB2312" w:cs="方正仿宋_GB2312"/>
          <w:color w:val="auto"/>
          <w:kern w:val="2"/>
          <w:sz w:val="32"/>
          <w:szCs w:val="32"/>
          <w:lang w:val="en-US" w:eastAsia="zh-CN" w:bidi="ar-SA"/>
        </w:rPr>
        <w:t>.项目应加强环境保护管理，在项目设计和施工阶段进一步细化并落实各项环境保护措施，完善环境管理计划,落实施工各环境要素监测计划；加强风险管理，落实施工过程各项突发环境事件应急措施及制度，如遇突发环境污染事故，应立即停止施工并采取及时有效措施消除影响。施工中需严格落实地下水保护措施，不得影响地下水源。</w:t>
      </w:r>
    </w:p>
    <w:p w14:paraId="38D030F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方正仿宋_GB2312" w:hAnsi="方正仿宋_GB2312" w:eastAsia="方正仿宋_GB2312" w:cs="方正仿宋_GB2312"/>
          <w:color w:val="auto"/>
          <w:kern w:val="2"/>
          <w:sz w:val="32"/>
          <w:szCs w:val="32"/>
          <w:lang w:val="en-US" w:eastAsia="zh-CN" w:bidi="ar-SA"/>
        </w:rPr>
        <w:t>项目建设过程中应严格执行环境保护“三同时”制度，有关本项目的环境影响减缓措施，按环评报告要求认真落实；项目应开展施工期监理工作。</w:t>
      </w:r>
    </w:p>
    <w:p w14:paraId="440A0C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四、环评执行标准</w:t>
      </w:r>
    </w:p>
    <w:p w14:paraId="0853328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方正仿宋_GB2312"/>
          <w:sz w:val="32"/>
          <w:szCs w:val="32"/>
        </w:rPr>
        <w:t>1</w:t>
      </w:r>
      <w:r>
        <w:rPr>
          <w:rFonts w:hint="eastAsia" w:ascii="方正仿宋_GB2312" w:hAnsi="方正仿宋_GB2312" w:eastAsia="方正仿宋_GB2312" w:cs="方正仿宋_GB2312"/>
          <w:sz w:val="32"/>
          <w:szCs w:val="32"/>
        </w:rPr>
        <w:t>.环境空气及废气排放</w:t>
      </w:r>
    </w:p>
    <w:p w14:paraId="136555D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环境空气质量执行《环境空气质量标准》（</w:t>
      </w:r>
      <w:r>
        <w:rPr>
          <w:rFonts w:hint="eastAsia" w:ascii="Times New Roman" w:hAnsi="Times New Roman" w:eastAsia="方正仿宋_GB2312" w:cs="方正仿宋_GB2312"/>
          <w:sz w:val="32"/>
          <w:szCs w:val="32"/>
        </w:rPr>
        <w:t>GB</w:t>
      </w:r>
      <w:r>
        <w:rPr>
          <w:rFonts w:hint="eastAsia" w:ascii="Times New Roman" w:hAnsi="Times New Roman" w:eastAsia="方正仿宋_GB2312" w:cs="方正仿宋_GB2312"/>
          <w:sz w:val="32"/>
          <w:szCs w:val="32"/>
        </w:rPr>
        <w:t>3095</w:t>
      </w:r>
      <w:r>
        <w:rPr>
          <w:rFonts w:hint="eastAsia" w:ascii="方正仿宋_GB2312" w:hAnsi="方正仿宋_GB2312" w:eastAsia="方正仿宋_GB2312" w:cs="方正仿宋_GB2312"/>
          <w:sz w:val="32"/>
          <w:szCs w:val="32"/>
        </w:rPr>
        <w:t>-</w:t>
      </w:r>
      <w:r>
        <w:rPr>
          <w:rFonts w:hint="eastAsia" w:ascii="Times New Roman" w:hAnsi="Times New Roman" w:eastAsia="方正仿宋_GB2312" w:cs="方正仿宋_GB2312"/>
          <w:sz w:val="32"/>
          <w:szCs w:val="32"/>
        </w:rPr>
        <w:t>2012</w:t>
      </w:r>
      <w:r>
        <w:rPr>
          <w:rFonts w:hint="eastAsia" w:ascii="方正仿宋_GB2312" w:hAnsi="方正仿宋_GB2312" w:eastAsia="方正仿宋_GB2312" w:cs="方正仿宋_GB2312"/>
          <w:sz w:val="32"/>
          <w:szCs w:val="32"/>
        </w:rPr>
        <w:t>）中二级标准。</w:t>
      </w:r>
    </w:p>
    <w:p w14:paraId="5F28741A">
      <w:pPr>
        <w:keepNext w:val="0"/>
        <w:keepLines w:val="0"/>
        <w:pageBreakBefore w:val="0"/>
        <w:widowControl/>
        <w:kinsoku/>
        <w:overflowPunct/>
        <w:autoSpaceDE/>
        <w:autoSpaceDN/>
        <w:bidi w:val="0"/>
        <w:adjustRightInd w:val="0"/>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施工扬尘等无组织粉尘</w:t>
      </w:r>
      <w:r>
        <w:rPr>
          <w:rFonts w:hint="eastAsia" w:ascii="方正仿宋_GB2312" w:hAnsi="方正仿宋_GB2312" w:eastAsia="方正仿宋_GB2312" w:cs="方正仿宋_GB2312"/>
          <w:sz w:val="32"/>
          <w:szCs w:val="32"/>
          <w:lang w:eastAsia="zh-CN"/>
        </w:rPr>
        <w:t>执行</w:t>
      </w:r>
      <w:r>
        <w:rPr>
          <w:rFonts w:hint="eastAsia" w:ascii="方正仿宋_GB2312" w:hAnsi="方正仿宋_GB2312" w:eastAsia="方正仿宋_GB2312" w:cs="方正仿宋_GB2312"/>
          <w:sz w:val="32"/>
          <w:szCs w:val="32"/>
          <w:lang w:val="en-US" w:eastAsia="zh-CN"/>
        </w:rPr>
        <w:t>安徽省地方标准</w:t>
      </w:r>
      <w:r>
        <w:rPr>
          <w:rFonts w:hint="eastAsia" w:ascii="方正仿宋_GB2312" w:hAnsi="方正仿宋_GB2312" w:eastAsia="方正仿宋_GB2312" w:cs="方正仿宋_GB2312"/>
          <w:sz w:val="32"/>
          <w:szCs w:val="32"/>
          <w:lang w:eastAsia="zh-CN"/>
        </w:rPr>
        <w:t>《施工场地颗粒物排放标准》（</w:t>
      </w:r>
      <w:r>
        <w:rPr>
          <w:rFonts w:hint="eastAsia" w:ascii="Times New Roman" w:hAnsi="Times New Roman" w:eastAsia="方正仿宋_GB2312" w:cs="方正仿宋_GB2312"/>
          <w:sz w:val="32"/>
          <w:szCs w:val="32"/>
          <w:lang w:eastAsia="zh-CN"/>
        </w:rPr>
        <w:t>DB</w:t>
      </w:r>
      <w:r>
        <w:rPr>
          <w:rFonts w:hint="eastAsia" w:ascii="Times New Roman" w:hAnsi="Times New Roman" w:eastAsia="方正仿宋_GB2312" w:cs="方正仿宋_GB2312"/>
          <w:sz w:val="32"/>
          <w:szCs w:val="32"/>
          <w:lang w:eastAsia="zh-CN"/>
        </w:rPr>
        <w:t>34</w:t>
      </w:r>
      <w:r>
        <w:rPr>
          <w:rFonts w:hint="eastAsia" w:ascii="方正仿宋_GB2312" w:hAnsi="方正仿宋_GB2312" w:eastAsia="方正仿宋_GB2312" w:cs="方正仿宋_GB2312"/>
          <w:sz w:val="32"/>
          <w:szCs w:val="32"/>
          <w:lang w:eastAsia="zh-CN"/>
        </w:rPr>
        <w:t>/</w:t>
      </w:r>
      <w:r>
        <w:rPr>
          <w:rFonts w:hint="eastAsia" w:ascii="Times New Roman" w:hAnsi="Times New Roman" w:eastAsia="方正仿宋_GB2312" w:cs="方正仿宋_GB2312"/>
          <w:sz w:val="32"/>
          <w:szCs w:val="32"/>
          <w:lang w:eastAsia="zh-CN"/>
        </w:rPr>
        <w:t>4811</w:t>
      </w:r>
      <w:r>
        <w:rPr>
          <w:rFonts w:hint="eastAsia" w:ascii="方正仿宋_GB2312" w:hAnsi="方正仿宋_GB2312" w:eastAsia="方正仿宋_GB2312" w:cs="方正仿宋_GB2312"/>
          <w:sz w:val="32"/>
          <w:szCs w:val="32"/>
          <w:lang w:eastAsia="zh-CN"/>
        </w:rPr>
        <w:t>—</w:t>
      </w:r>
      <w:r>
        <w:rPr>
          <w:rFonts w:hint="eastAsia" w:ascii="Times New Roman" w:hAnsi="Times New Roman" w:eastAsia="方正仿宋_GB2312" w:cs="方正仿宋_GB2312"/>
          <w:sz w:val="32"/>
          <w:szCs w:val="32"/>
          <w:lang w:eastAsia="zh-CN"/>
        </w:rPr>
        <w:t>2024</w:t>
      </w:r>
      <w:r>
        <w:rPr>
          <w:rFonts w:hint="eastAsia" w:ascii="方正仿宋_GB2312" w:hAnsi="方正仿宋_GB2312" w:eastAsia="方正仿宋_GB2312" w:cs="方正仿宋_GB2312"/>
          <w:sz w:val="32"/>
          <w:szCs w:val="32"/>
          <w:lang w:eastAsia="zh-CN"/>
        </w:rPr>
        <w:t>）中厂界大气污染物无组织监控浓度限值</w:t>
      </w:r>
      <w:r>
        <w:rPr>
          <w:rFonts w:hint="eastAsia" w:ascii="方正仿宋_GB2312" w:hAnsi="方正仿宋_GB2312" w:eastAsia="方正仿宋_GB2312" w:cs="方正仿宋_GB2312"/>
          <w:sz w:val="32"/>
          <w:szCs w:val="32"/>
          <w:lang w:val="en-US" w:eastAsia="zh-CN"/>
        </w:rPr>
        <w:t>要求</w:t>
      </w:r>
      <w:r>
        <w:rPr>
          <w:rFonts w:hint="eastAsia" w:ascii="方正仿宋_GB2312" w:hAnsi="方正仿宋_GB2312" w:eastAsia="方正仿宋_GB2312" w:cs="方正仿宋_GB2312"/>
          <w:sz w:val="32"/>
          <w:szCs w:val="32"/>
        </w:rPr>
        <w:t>。</w:t>
      </w:r>
    </w:p>
    <w:p w14:paraId="49F74E7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方正仿宋_GB2312"/>
          <w:sz w:val="32"/>
          <w:szCs w:val="32"/>
        </w:rPr>
        <w:t>2</w:t>
      </w:r>
      <w:r>
        <w:rPr>
          <w:rFonts w:hint="eastAsia" w:ascii="方正仿宋_GB2312" w:hAnsi="方正仿宋_GB2312" w:eastAsia="方正仿宋_GB2312" w:cs="方正仿宋_GB2312"/>
          <w:sz w:val="32"/>
          <w:szCs w:val="32"/>
        </w:rPr>
        <w:t>.地表水和污水排放</w:t>
      </w:r>
    </w:p>
    <w:p w14:paraId="58953E5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区域地表水体泥河执行《地表水环境质量标准》（</w:t>
      </w:r>
      <w:r>
        <w:rPr>
          <w:rFonts w:hint="eastAsia" w:ascii="Times New Roman" w:hAnsi="Times New Roman" w:eastAsia="方正仿宋_GB2312" w:cs="方正仿宋_GB2312"/>
          <w:sz w:val="32"/>
          <w:szCs w:val="32"/>
          <w:lang w:val="en-US" w:eastAsia="zh-CN"/>
        </w:rPr>
        <w:t>GB</w:t>
      </w:r>
      <w:r>
        <w:rPr>
          <w:rFonts w:hint="eastAsia" w:ascii="Times New Roman" w:hAnsi="Times New Roman" w:eastAsia="方正仿宋_GB2312" w:cs="方正仿宋_GB2312"/>
          <w:sz w:val="32"/>
          <w:szCs w:val="32"/>
          <w:lang w:val="en-US" w:eastAsia="zh-CN"/>
        </w:rPr>
        <w:t>3838</w:t>
      </w:r>
      <w:r>
        <w:rPr>
          <w:rFonts w:hint="eastAsia" w:ascii="方正仿宋_GB2312" w:hAnsi="方正仿宋_GB2312" w:eastAsia="方正仿宋_GB2312" w:cs="方正仿宋_GB2312"/>
          <w:sz w:val="32"/>
          <w:szCs w:val="32"/>
          <w:lang w:val="en-US" w:eastAsia="zh-CN"/>
        </w:rPr>
        <w:t>-</w:t>
      </w:r>
      <w:r>
        <w:rPr>
          <w:rFonts w:hint="eastAsia" w:ascii="Times New Roman" w:hAnsi="Times New Roman" w:eastAsia="方正仿宋_GB2312" w:cs="方正仿宋_GB2312"/>
          <w:sz w:val="32"/>
          <w:szCs w:val="32"/>
          <w:lang w:val="en-US" w:eastAsia="zh-CN"/>
        </w:rPr>
        <w:t>2002</w:t>
      </w:r>
      <w:r>
        <w:rPr>
          <w:rFonts w:hint="eastAsia" w:ascii="方正仿宋_GB2312" w:hAnsi="方正仿宋_GB2312" w:eastAsia="方正仿宋_GB2312" w:cs="方正仿宋_GB2312"/>
          <w:sz w:val="32"/>
          <w:szCs w:val="32"/>
          <w:lang w:val="en-US" w:eastAsia="zh-CN"/>
        </w:rPr>
        <w:t>）Ⅲ类标准</w:t>
      </w:r>
      <w:r>
        <w:rPr>
          <w:rFonts w:hint="eastAsia" w:ascii="方正仿宋_GB2312" w:hAnsi="方正仿宋_GB2312" w:eastAsia="方正仿宋_GB2312" w:cs="方正仿宋_GB2312"/>
          <w:sz w:val="32"/>
          <w:szCs w:val="32"/>
        </w:rPr>
        <w:t>。</w:t>
      </w:r>
    </w:p>
    <w:p w14:paraId="3324C47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方正仿宋_GB2312"/>
          <w:sz w:val="32"/>
          <w:szCs w:val="32"/>
        </w:rPr>
        <w:t>3</w:t>
      </w:r>
      <w:r>
        <w:rPr>
          <w:rFonts w:hint="eastAsia" w:ascii="方正仿宋_GB2312" w:hAnsi="方正仿宋_GB2312" w:eastAsia="方正仿宋_GB2312" w:cs="方正仿宋_GB2312"/>
          <w:sz w:val="32"/>
          <w:szCs w:val="32"/>
        </w:rPr>
        <w:t>.声环境及噪声排放</w:t>
      </w:r>
    </w:p>
    <w:p w14:paraId="41E7717E">
      <w:pPr>
        <w:keepNext w:val="0"/>
        <w:keepLines w:val="0"/>
        <w:pageBreakBefore w:val="0"/>
        <w:widowControl w:val="0"/>
        <w:kinsoku/>
        <w:wordWrap/>
        <w:overflowPunct/>
        <w:topLinePunct w:val="0"/>
        <w:autoSpaceDE/>
        <w:autoSpaceDN/>
        <w:bidi w:val="0"/>
        <w:snapToGrid/>
        <w:spacing w:line="560" w:lineRule="exact"/>
        <w:ind w:firstLine="624" w:firstLineChars="200"/>
        <w:textAlignment w:val="auto"/>
        <w:rPr>
          <w:rFonts w:hint="eastAsia" w:ascii="方正仿宋_GB2312" w:hAnsi="方正仿宋_GB2312" w:eastAsia="方正仿宋_GB2312" w:cs="方正仿宋_GB2312"/>
          <w:spacing w:val="-4"/>
          <w:sz w:val="32"/>
          <w:szCs w:val="32"/>
        </w:rPr>
      </w:pPr>
      <w:r>
        <w:rPr>
          <w:rFonts w:hint="eastAsia" w:ascii="方正仿宋_GB2312" w:hAnsi="方正仿宋_GB2312" w:eastAsia="方正仿宋_GB2312" w:cs="方正仿宋_GB2312"/>
          <w:spacing w:val="-4"/>
          <w:sz w:val="32"/>
          <w:szCs w:val="32"/>
        </w:rPr>
        <w:t>区域声环境执行《声环境质量标准》（</w:t>
      </w:r>
      <w:r>
        <w:rPr>
          <w:rFonts w:hint="eastAsia" w:ascii="Times New Roman" w:hAnsi="Times New Roman" w:eastAsia="方正仿宋_GB2312" w:cs="方正仿宋_GB2312"/>
          <w:spacing w:val="-4"/>
          <w:sz w:val="32"/>
          <w:szCs w:val="32"/>
        </w:rPr>
        <w:t>GB</w:t>
      </w:r>
      <w:r>
        <w:rPr>
          <w:rFonts w:hint="eastAsia" w:ascii="Times New Roman" w:hAnsi="Times New Roman" w:eastAsia="方正仿宋_GB2312" w:cs="方正仿宋_GB2312"/>
          <w:spacing w:val="-4"/>
          <w:sz w:val="32"/>
          <w:szCs w:val="32"/>
        </w:rPr>
        <w:t>3096</w:t>
      </w:r>
      <w:r>
        <w:rPr>
          <w:rFonts w:hint="eastAsia" w:ascii="方正仿宋_GB2312" w:hAnsi="方正仿宋_GB2312" w:eastAsia="方正仿宋_GB2312" w:cs="方正仿宋_GB2312"/>
          <w:spacing w:val="-4"/>
          <w:sz w:val="32"/>
          <w:szCs w:val="32"/>
        </w:rPr>
        <w:t>-</w:t>
      </w:r>
      <w:r>
        <w:rPr>
          <w:rFonts w:hint="eastAsia" w:ascii="Times New Roman" w:hAnsi="Times New Roman" w:eastAsia="方正仿宋_GB2312" w:cs="方正仿宋_GB2312"/>
          <w:spacing w:val="-4"/>
          <w:sz w:val="32"/>
          <w:szCs w:val="32"/>
        </w:rPr>
        <w:t>2008</w:t>
      </w:r>
      <w:r>
        <w:rPr>
          <w:rFonts w:hint="eastAsia" w:ascii="方正仿宋_GB2312" w:hAnsi="方正仿宋_GB2312" w:eastAsia="方正仿宋_GB2312" w:cs="方正仿宋_GB2312"/>
          <w:spacing w:val="-4"/>
          <w:sz w:val="32"/>
          <w:szCs w:val="32"/>
        </w:rPr>
        <w:t>）</w:t>
      </w:r>
      <w:r>
        <w:rPr>
          <w:rFonts w:hint="eastAsia" w:ascii="Times New Roman" w:hAnsi="Times New Roman" w:eastAsia="方正仿宋_GB2312" w:cs="方正仿宋_GB2312"/>
          <w:spacing w:val="-4"/>
          <w:sz w:val="32"/>
          <w:szCs w:val="32"/>
          <w:lang w:val="en-US" w:eastAsia="zh-CN"/>
        </w:rPr>
        <w:t>2</w:t>
      </w:r>
      <w:r>
        <w:rPr>
          <w:rFonts w:hint="eastAsia" w:ascii="方正仿宋_GB2312" w:hAnsi="方正仿宋_GB2312" w:eastAsia="方正仿宋_GB2312" w:cs="方正仿宋_GB2312"/>
          <w:spacing w:val="-4"/>
          <w:sz w:val="32"/>
          <w:szCs w:val="32"/>
        </w:rPr>
        <w:t>类标准。</w:t>
      </w:r>
    </w:p>
    <w:p w14:paraId="167BC18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项目施工期噪声执行《建筑施工场界环境噪声排放标准》 （</w:t>
      </w:r>
      <w:r>
        <w:rPr>
          <w:rFonts w:hint="eastAsia" w:ascii="Times New Roman" w:hAnsi="Times New Roman" w:eastAsia="方正仿宋_GB2312" w:cs="方正仿宋_GB2312"/>
          <w:sz w:val="32"/>
          <w:szCs w:val="32"/>
        </w:rPr>
        <w:t>GB</w:t>
      </w:r>
      <w:r>
        <w:rPr>
          <w:rFonts w:hint="eastAsia" w:ascii="Times New Roman" w:hAnsi="Times New Roman" w:eastAsia="方正仿宋_GB2312" w:cs="方正仿宋_GB2312"/>
          <w:sz w:val="32"/>
          <w:szCs w:val="32"/>
        </w:rPr>
        <w:t>12523</w:t>
      </w:r>
      <w:r>
        <w:rPr>
          <w:rFonts w:hint="eastAsia" w:ascii="方正仿宋_GB2312" w:hAnsi="方正仿宋_GB2312" w:eastAsia="方正仿宋_GB2312" w:cs="方正仿宋_GB2312"/>
          <w:sz w:val="32"/>
          <w:szCs w:val="32"/>
        </w:rPr>
        <w:t>-</w:t>
      </w:r>
      <w:r>
        <w:rPr>
          <w:rFonts w:hint="eastAsia" w:ascii="Times New Roman" w:hAnsi="Times New Roman" w:eastAsia="方正仿宋_GB2312" w:cs="方正仿宋_GB2312"/>
          <w:sz w:val="32"/>
          <w:szCs w:val="32"/>
        </w:rPr>
        <w:t>2011</w:t>
      </w:r>
      <w:r>
        <w:rPr>
          <w:rFonts w:hint="eastAsia" w:ascii="方正仿宋_GB2312" w:hAnsi="方正仿宋_GB2312" w:eastAsia="方正仿宋_GB2312" w:cs="方正仿宋_GB2312"/>
          <w:sz w:val="32"/>
          <w:szCs w:val="32"/>
        </w:rPr>
        <w:t>）。</w:t>
      </w:r>
    </w:p>
    <w:p w14:paraId="48E11C5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方正仿宋_GB2312" w:cs="方正仿宋_GB2312"/>
          <w:sz w:val="32"/>
          <w:szCs w:val="32"/>
        </w:rPr>
        <w:t>4</w:t>
      </w:r>
      <w:r>
        <w:rPr>
          <w:rFonts w:hint="eastAsia" w:ascii="方正仿宋_GB2312" w:hAnsi="方正仿宋_GB2312" w:eastAsia="方正仿宋_GB2312" w:cs="方正仿宋_GB2312"/>
          <w:sz w:val="32"/>
          <w:szCs w:val="32"/>
        </w:rPr>
        <w:t>.固体废弃物</w:t>
      </w:r>
    </w:p>
    <w:p w14:paraId="73ED8AB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color w:val="auto"/>
          <w:kern w:val="2"/>
          <w:sz w:val="32"/>
          <w:szCs w:val="32"/>
          <w:lang w:val="en-US" w:eastAsia="zh-CN" w:bidi="ar-SA"/>
        </w:rPr>
        <w:t>一般工业固废储存参照执行《一般工业固体废物贮存和填埋污染控制标准》（</w:t>
      </w:r>
      <w:r>
        <w:rPr>
          <w:rFonts w:hint="eastAsia" w:ascii="Times New Roman" w:hAnsi="Times New Roman" w:eastAsia="方正仿宋_GB2312" w:cs="方正仿宋_GB2312"/>
          <w:color w:val="auto"/>
          <w:kern w:val="2"/>
          <w:sz w:val="32"/>
          <w:szCs w:val="32"/>
          <w:lang w:val="en-US" w:eastAsia="zh-CN" w:bidi="ar-SA"/>
        </w:rPr>
        <w:t>GB</w:t>
      </w:r>
      <w:r>
        <w:rPr>
          <w:rFonts w:hint="eastAsia" w:ascii="方正仿宋_GB2312" w:hAnsi="方正仿宋_GB2312" w:eastAsia="方正仿宋_GB2312" w:cs="方正仿宋_GB2312"/>
          <w:color w:val="auto"/>
          <w:kern w:val="2"/>
          <w:sz w:val="32"/>
          <w:szCs w:val="32"/>
          <w:lang w:val="en-US" w:eastAsia="zh-CN" w:bidi="ar-SA"/>
        </w:rPr>
        <w:t xml:space="preserve"> </w:t>
      </w:r>
      <w:r>
        <w:rPr>
          <w:rFonts w:hint="eastAsia" w:ascii="Times New Roman" w:hAnsi="Times New Roman" w:eastAsia="方正仿宋_GB2312" w:cs="方正仿宋_GB2312"/>
          <w:color w:val="auto"/>
          <w:kern w:val="2"/>
          <w:sz w:val="32"/>
          <w:szCs w:val="32"/>
          <w:lang w:val="en-US" w:eastAsia="zh-CN" w:bidi="ar-SA"/>
        </w:rPr>
        <w:t>18599</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2020</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）和《中华人民共和国固体废物污染环境防治法》中的有关规定；危险废物暂存执行《危险废物贮存污染控制标准》（</w:t>
      </w:r>
      <w:r>
        <w:rPr>
          <w:rFonts w:hint="eastAsia" w:ascii="Times New Roman" w:hAnsi="Times New Roman" w:eastAsia="方正仿宋_GB2312" w:cs="方正仿宋_GB2312"/>
          <w:color w:val="auto"/>
          <w:kern w:val="2"/>
          <w:sz w:val="32"/>
          <w:szCs w:val="32"/>
          <w:lang w:val="en-US" w:eastAsia="zh-CN" w:bidi="ar-SA"/>
        </w:rPr>
        <w:t>GB</w:t>
      </w:r>
      <w:r>
        <w:rPr>
          <w:rFonts w:hint="eastAsia" w:ascii="Times New Roman" w:hAnsi="Times New Roman" w:eastAsia="方正仿宋_GB2312" w:cs="方正仿宋_GB2312"/>
          <w:color w:val="auto"/>
          <w:kern w:val="2"/>
          <w:sz w:val="32"/>
          <w:szCs w:val="32"/>
          <w:lang w:val="en-US" w:eastAsia="zh-CN" w:bidi="ar-SA"/>
        </w:rPr>
        <w:t>18597</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Times New Roman" w:hAnsi="Times New Roman" w:eastAsia="方正仿宋_GB2312" w:cs="方正仿宋_GB2312"/>
          <w:color w:val="auto"/>
          <w:kern w:val="2"/>
          <w:sz w:val="32"/>
          <w:szCs w:val="32"/>
          <w:lang w:val="en-US" w:eastAsia="zh-CN" w:bidi="ar-SA"/>
        </w:rPr>
        <w:t>2023</w:t>
      </w:r>
      <w:r>
        <w:rPr>
          <w:rFonts w:hint="eastAsia" w:ascii="方正仿宋_GB2312" w:hAnsi="方正仿宋_GB2312" w:eastAsia="方正仿宋_GB2312" w:cs="方正仿宋_GB2312"/>
          <w:color w:val="auto"/>
          <w:kern w:val="2"/>
          <w:sz w:val="32"/>
          <w:szCs w:val="32"/>
          <w:lang w:val="en-US" w:eastAsia="zh-CN" w:bidi="ar-SA"/>
        </w:rPr>
        <w:t>）和《中华人民共和国固体废物污染环境防治法》中的有关规定。</w:t>
      </w:r>
    </w:p>
    <w:p w14:paraId="67B5E32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方正仿宋_GB2312" w:hAnsi="方正仿宋_GB2312" w:eastAsia="方正仿宋_GB2312" w:cs="方正仿宋_GB2312"/>
          <w:color w:val="auto"/>
          <w:kern w:val="2"/>
          <w:sz w:val="32"/>
          <w:szCs w:val="32"/>
          <w:lang w:val="en-US" w:eastAsia="zh-CN" w:bidi="ar-SA"/>
        </w:rPr>
        <w:t>如有环境功能区划调整、新标准制定实施等情况，按照要求执行新标准。</w:t>
      </w:r>
    </w:p>
    <w:p w14:paraId="6ADF8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14:paraId="3F36BF3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rPr>
        <w:t>(一)本审批意见仅是我局对该项目环评文件的批复意见，项目</w:t>
      </w:r>
      <w:r>
        <w:rPr>
          <w:rFonts w:hint="eastAsia" w:ascii="方正仿宋_GB2312" w:hAnsi="方正仿宋_GB2312" w:eastAsia="方正仿宋_GB2312" w:cs="方正仿宋_GB2312"/>
          <w:sz w:val="32"/>
          <w:szCs w:val="32"/>
          <w:lang w:val="en-US" w:eastAsia="zh-CN"/>
        </w:rPr>
        <w:t>可能</w:t>
      </w:r>
      <w:r>
        <w:rPr>
          <w:rFonts w:hint="eastAsia" w:ascii="方正仿宋_GB2312" w:hAnsi="方正仿宋_GB2312" w:eastAsia="方正仿宋_GB2312" w:cs="方正仿宋_GB2312"/>
          <w:sz w:val="32"/>
          <w:szCs w:val="32"/>
        </w:rPr>
        <w:t>涉及的建设、土地等</w:t>
      </w:r>
      <w:r>
        <w:rPr>
          <w:rFonts w:hint="eastAsia" w:ascii="方正仿宋_GB2312" w:hAnsi="方正仿宋_GB2312" w:eastAsia="方正仿宋_GB2312" w:cs="方正仿宋_GB2312"/>
          <w:sz w:val="32"/>
          <w:szCs w:val="32"/>
          <w:lang w:eastAsia="zh-CN"/>
        </w:rPr>
        <w:t>其他</w:t>
      </w:r>
      <w:r>
        <w:rPr>
          <w:rFonts w:hint="eastAsia" w:ascii="方正仿宋_GB2312" w:hAnsi="方正仿宋_GB2312" w:eastAsia="方正仿宋_GB2312" w:cs="方正仿宋_GB2312"/>
          <w:sz w:val="32"/>
          <w:szCs w:val="32"/>
        </w:rPr>
        <w:t>事项遵照有关部门的要求执行。</w:t>
      </w:r>
    </w:p>
    <w:p w14:paraId="0BD97B0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rPr>
        <w:t>(二)若发现建设单位、环评编制单位弄虚作假或不落实承诺内容的，可撤销许可决定，依法查处，并向社会公开，将失信企业纳入相关诚信体系。</w:t>
      </w:r>
    </w:p>
    <w:p w14:paraId="0E3C06D1">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方正仿宋_GB2312" w:hAnsi="方正仿宋_GB2312" w:eastAsia="方正仿宋_GB2312" w:cs="方正仿宋_GB2312"/>
          <w:sz w:val="32"/>
          <w:szCs w:val="32"/>
        </w:rPr>
        <w:t>(三)你公司应按规定配合各级生态环境部门做好建设项目环境保护事中事后监管工作。</w:t>
      </w:r>
    </w:p>
    <w:p w14:paraId="5FDF3A8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六、</w:t>
      </w:r>
      <w:r>
        <w:rPr>
          <w:rFonts w:hint="eastAsia" w:ascii="方正仿宋_GB2312" w:hAnsi="方正仿宋_GB2312" w:eastAsia="方正仿宋_GB2312" w:cs="方正仿宋_GB2312"/>
          <w:sz w:val="32"/>
          <w:szCs w:val="32"/>
          <w:lang w:val="en-US" w:eastAsia="zh-CN"/>
        </w:rPr>
        <w:t>请潘集生态环境保护综合行政执法大队做好工程施工期和运营期的事中事后生态环境监管工作。</w:t>
      </w:r>
      <w:r>
        <w:rPr>
          <w:rFonts w:hint="default" w:ascii="仿宋_GB2312" w:hAnsi="仿宋_GB2312" w:eastAsia="仿宋_GB2312" w:cs="仿宋_GB2312"/>
          <w:sz w:val="32"/>
          <w:szCs w:val="32"/>
          <w:lang w:val="en-US" w:eastAsia="zh-CN"/>
        </w:rPr>
        <w:t xml:space="preserve"> </w:t>
      </w:r>
    </w:p>
    <w:p w14:paraId="4D9BA77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1480606C">
      <w:pPr>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sz w:val="32"/>
          <w:szCs w:val="32"/>
        </w:rPr>
      </w:pPr>
    </w:p>
    <w:p w14:paraId="14BBF81F">
      <w:pPr>
        <w:pStyle w:val="18"/>
        <w:keepNext w:val="0"/>
        <w:keepLines w:val="0"/>
        <w:pageBreakBefore w:val="0"/>
        <w:kinsoku/>
        <w:overflowPunct/>
        <w:autoSpaceDE/>
        <w:autoSpaceDN/>
        <w:bidi w:val="0"/>
        <w:spacing w:line="560" w:lineRule="exact"/>
        <w:ind w:left="0"/>
        <w:jc w:val="center"/>
        <w:textAlignment w:val="auto"/>
        <w:rPr>
          <w:rFonts w:hint="default" w:ascii="Times New Roman" w:hAnsi="Times New Roman" w:eastAsia="仿宋_GB2312" w:cs="Times New Roman"/>
          <w:color w:val="FF0000"/>
          <w:sz w:val="32"/>
          <w:szCs w:val="32"/>
          <w:highlight w:val="none"/>
          <w:lang w:val="en-US"/>
        </w:rPr>
      </w:pPr>
      <w:r>
        <w:rPr>
          <w:rFonts w:hint="default" w:ascii="Times New Roman" w:hAnsi="Times New Roman" w:eastAsia="方正仿宋_GB2312" w:cs="Times New Roman"/>
          <w:color w:val="auto"/>
          <w:kern w:val="2"/>
          <w:sz w:val="32"/>
          <w:szCs w:val="32"/>
          <w:lang w:val="en-US" w:eastAsia="zh-CN" w:bidi="ar-SA"/>
        </w:rPr>
        <w:t xml:space="preserve">                           </w:t>
      </w:r>
      <w:r>
        <w:rPr>
          <w:rFonts w:hint="default" w:ascii="Times New Roman" w:hAnsi="Times New Roman" w:eastAsia="方正仿宋_GB2312" w:cs="Times New Roman"/>
          <w:color w:val="auto"/>
          <w:kern w:val="2"/>
          <w:sz w:val="32"/>
          <w:szCs w:val="32"/>
          <w:highlight w:val="none"/>
          <w:lang w:val="en-US" w:eastAsia="zh-CN" w:bidi="ar-SA"/>
        </w:rPr>
        <w:t xml:space="preserve">     </w:t>
      </w:r>
      <w:r>
        <w:rPr>
          <w:rFonts w:hint="default" w:ascii="Times New Roman" w:hAnsi="Times New Roman" w:eastAsia="方正仿宋_GB2312" w:cs="Times New Roman"/>
          <w:color w:val="auto"/>
          <w:kern w:val="2"/>
          <w:sz w:val="32"/>
          <w:szCs w:val="32"/>
          <w:highlight w:val="none"/>
          <w:lang w:val="en-US" w:eastAsia="zh-CN" w:bidi="ar-SA"/>
        </w:rPr>
        <w:t>2024</w:t>
      </w:r>
      <w:r>
        <w:rPr>
          <w:rFonts w:hint="default" w:ascii="Times New Roman" w:hAnsi="Times New Roman" w:eastAsia="方正仿宋_GB2312" w:cs="Times New Roman"/>
          <w:color w:val="auto"/>
          <w:kern w:val="2"/>
          <w:sz w:val="32"/>
          <w:szCs w:val="32"/>
          <w:highlight w:val="none"/>
          <w:lang w:val="en-US" w:eastAsia="zh-CN" w:bidi="ar-SA"/>
        </w:rPr>
        <w:t>年</w:t>
      </w:r>
      <w:r>
        <w:rPr>
          <w:rFonts w:hint="eastAsia" w:ascii="Times New Roman" w:hAnsi="Times New Roman" w:eastAsia="方正仿宋_GB2312" w:cs="Times New Roman"/>
          <w:color w:val="auto"/>
          <w:kern w:val="2"/>
          <w:sz w:val="32"/>
          <w:szCs w:val="32"/>
          <w:highlight w:val="none"/>
          <w:lang w:val="en-US" w:eastAsia="zh-CN" w:bidi="ar-SA"/>
        </w:rPr>
        <w:t>12</w:t>
      </w:r>
      <w:r>
        <w:rPr>
          <w:rFonts w:hint="default" w:ascii="Times New Roman" w:hAnsi="Times New Roman" w:eastAsia="方正仿宋_GB2312" w:cs="Times New Roman"/>
          <w:color w:val="auto"/>
          <w:kern w:val="2"/>
          <w:sz w:val="32"/>
          <w:szCs w:val="32"/>
          <w:highlight w:val="none"/>
          <w:lang w:val="en-US" w:eastAsia="zh-CN" w:bidi="ar-SA"/>
        </w:rPr>
        <w:t>月</w:t>
      </w:r>
      <w:r>
        <w:rPr>
          <w:rFonts w:hint="eastAsia" w:ascii="Times New Roman" w:hAnsi="Times New Roman" w:eastAsia="方正仿宋_GB2312" w:cs="Times New Roman"/>
          <w:color w:val="auto"/>
          <w:kern w:val="2"/>
          <w:sz w:val="32"/>
          <w:szCs w:val="32"/>
          <w:highlight w:val="none"/>
          <w:lang w:val="en-US" w:eastAsia="zh-CN" w:bidi="ar-SA"/>
        </w:rPr>
        <w:t>10</w:t>
      </w:r>
      <w:r>
        <w:rPr>
          <w:rFonts w:hint="default" w:ascii="Times New Roman" w:hAnsi="Times New Roman" w:eastAsia="方正仿宋_GB2312" w:cs="Times New Roman"/>
          <w:color w:val="auto"/>
          <w:kern w:val="2"/>
          <w:sz w:val="32"/>
          <w:szCs w:val="32"/>
          <w:highlight w:val="none"/>
          <w:lang w:val="en-US" w:eastAsia="zh-CN" w:bidi="ar-SA"/>
        </w:rPr>
        <w:t>日</w:t>
      </w:r>
    </w:p>
    <w:tbl>
      <w:tblPr>
        <w:tblStyle w:val="14"/>
        <w:tblpPr w:leftFromText="180" w:rightFromText="180" w:vertAnchor="text" w:horzAnchor="page" w:tblpX="1300" w:tblpY="10255"/>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14:paraId="57EF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1" w:hRule="atLeast"/>
        </w:trPr>
        <w:tc>
          <w:tcPr>
            <w:tcW w:w="9760" w:type="dxa"/>
            <w:tcBorders>
              <w:top w:val="single" w:color="auto" w:sz="4" w:space="0"/>
              <w:left w:val="nil"/>
              <w:bottom w:val="single" w:color="auto" w:sz="4" w:space="0"/>
              <w:right w:val="nil"/>
            </w:tcBorders>
            <w:vAlign w:val="top"/>
          </w:tcPr>
          <w:p w14:paraId="4E4F29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pacing w:val="-6"/>
                <w:sz w:val="28"/>
                <w:szCs w:val="28"/>
              </w:rPr>
            </w:pPr>
            <w:bookmarkStart w:id="0" w:name="_GoBack"/>
            <w:bookmarkEnd w:id="0"/>
            <w:r>
              <w:rPr>
                <w:rFonts w:hint="eastAsia" w:ascii="方正仿宋_GB2312" w:hAnsi="方正仿宋_GB2312" w:eastAsia="方正仿宋_GB2312" w:cs="方正仿宋_GB2312"/>
                <w:sz w:val="32"/>
                <w:szCs w:val="32"/>
              </w:rPr>
              <w:t>抄送：</w:t>
            </w:r>
            <w:r>
              <w:rPr>
                <w:rFonts w:hint="eastAsia" w:ascii="方正仿宋_GB2312" w:hAnsi="方正仿宋_GB2312" w:eastAsia="方正仿宋_GB2312" w:cs="方正仿宋_GB2312"/>
                <w:color w:val="000000"/>
                <w:sz w:val="32"/>
                <w:szCs w:val="32"/>
                <w:lang w:val="en-US" w:eastAsia="zh-CN"/>
              </w:rPr>
              <w:t>潘集</w:t>
            </w:r>
            <w:r>
              <w:rPr>
                <w:rFonts w:hint="eastAsia" w:ascii="方正仿宋_GB2312" w:hAnsi="方正仿宋_GB2312" w:eastAsia="方正仿宋_GB2312" w:cs="方正仿宋_GB2312"/>
                <w:color w:val="000000"/>
                <w:sz w:val="32"/>
                <w:szCs w:val="32"/>
              </w:rPr>
              <w:t>生态环境保护综合行政执法大队</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auto"/>
                <w:kern w:val="0"/>
                <w:sz w:val="32"/>
                <w:szCs w:val="22"/>
                <w:lang w:val="en-US" w:eastAsia="zh-CN"/>
              </w:rPr>
              <w:t>安徽璟润环境科技有限公司</w:t>
            </w:r>
          </w:p>
        </w:tc>
      </w:tr>
      <w:tr w14:paraId="150D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760" w:type="dxa"/>
            <w:tcBorders>
              <w:top w:val="single" w:color="auto" w:sz="4" w:space="0"/>
              <w:left w:val="nil"/>
              <w:bottom w:val="single" w:color="auto" w:sz="4" w:space="0"/>
              <w:right w:val="nil"/>
            </w:tcBorders>
            <w:vAlign w:val="top"/>
          </w:tcPr>
          <w:p w14:paraId="0D0E02C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28"/>
                <w:szCs w:val="28"/>
              </w:rPr>
            </w:pPr>
            <w:r>
              <w:rPr>
                <w:rFonts w:hint="eastAsia" w:ascii="方正仿宋_GB2312" w:hAnsi="方正仿宋_GB2312" w:eastAsia="方正仿宋_GB2312" w:cs="方正仿宋_GB2312"/>
                <w:sz w:val="32"/>
                <w:szCs w:val="32"/>
              </w:rPr>
              <w:t>淮南市</w:t>
            </w:r>
            <w:r>
              <w:rPr>
                <w:rFonts w:hint="eastAsia" w:ascii="方正仿宋_GB2312" w:hAnsi="方正仿宋_GB2312" w:eastAsia="方正仿宋_GB2312" w:cs="方正仿宋_GB2312"/>
                <w:sz w:val="32"/>
                <w:szCs w:val="32"/>
                <w:lang w:val="en-US" w:eastAsia="zh-CN"/>
              </w:rPr>
              <w:t>潘集</w:t>
            </w:r>
            <w:r>
              <w:rPr>
                <w:rFonts w:hint="eastAsia" w:ascii="方正仿宋_GB2312" w:hAnsi="方正仿宋_GB2312" w:eastAsia="方正仿宋_GB2312" w:cs="方正仿宋_GB2312"/>
                <w:sz w:val="32"/>
                <w:szCs w:val="32"/>
              </w:rPr>
              <w:t>区生态环境分局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方正仿宋_GB2312" w:hAnsi="方正仿宋_GB2312" w:eastAsia="方正仿宋_GB2312" w:cs="方正仿宋_GB2312"/>
                <w:sz w:val="32"/>
                <w:szCs w:val="32"/>
              </w:rPr>
              <w:t>年</w:t>
            </w:r>
            <w:r>
              <w:rPr>
                <w:rFonts w:hint="eastAsia" w:ascii="Times New Roman" w:hAnsi="Times New Roman" w:eastAsia="仿宋_GB2312" w:cs="Times New Roman"/>
                <w:sz w:val="32"/>
                <w:szCs w:val="32"/>
                <w:lang w:val="en-US" w:eastAsia="zh-CN"/>
              </w:rPr>
              <w:t>12</w:t>
            </w:r>
            <w:r>
              <w:rPr>
                <w:rFonts w:hint="eastAsia" w:ascii="方正仿宋_GB2312" w:hAnsi="方正仿宋_GB2312" w:eastAsia="方正仿宋_GB2312" w:cs="方正仿宋_GB2312"/>
                <w:sz w:val="32"/>
                <w:szCs w:val="32"/>
              </w:rPr>
              <w:t>月</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0</w:t>
            </w:r>
            <w:r>
              <w:rPr>
                <w:rFonts w:hint="eastAsia" w:ascii="方正仿宋_GB2312" w:hAnsi="方正仿宋_GB2312" w:eastAsia="方正仿宋_GB2312" w:cs="方正仿宋_GB2312"/>
                <w:sz w:val="32"/>
                <w:szCs w:val="32"/>
              </w:rPr>
              <w:t>日印发</w:t>
            </w:r>
          </w:p>
        </w:tc>
      </w:tr>
    </w:tbl>
    <w:p w14:paraId="48BAD27E">
      <w:pPr>
        <w:pStyle w:val="9"/>
        <w:keepNext w:val="0"/>
        <w:keepLines w:val="0"/>
        <w:pageBreakBefore w:val="0"/>
        <w:kinsoku/>
        <w:wordWrap w:val="0"/>
        <w:overflowPunct/>
        <w:autoSpaceDE/>
        <w:autoSpaceDN/>
        <w:bidi w:val="0"/>
        <w:spacing w:line="560" w:lineRule="exact"/>
        <w:jc w:val="both"/>
        <w:textAlignment w:val="auto"/>
        <w:rPr>
          <w:rFonts w:hint="default"/>
          <w:lang w:val="en-US" w:eastAsia="zh-CN"/>
        </w:rPr>
      </w:pPr>
    </w:p>
    <w:sectPr>
      <w:footerReference r:id="rId3" w:type="default"/>
      <w:footerReference r:id="rId4" w:type="even"/>
      <w:pgSz w:w="11907" w:h="16839"/>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CAA41F-BD1F-428B-8711-C4638C4FB8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2" w:fontKey="{7DB8A6DE-561F-4C87-9F3D-A6DD3001292D}"/>
  </w:font>
  <w:font w:name="微软雅黑">
    <w:panose1 w:val="020B0503020204020204"/>
    <w:charset w:val="86"/>
    <w:family w:val="auto"/>
    <w:pitch w:val="default"/>
    <w:sig w:usb0="80000287" w:usb1="2ACF3C50" w:usb2="00000016" w:usb3="00000000" w:csb0="0004001F" w:csb1="00000000"/>
    <w:embedRegular r:id="rId3" w:fontKey="{3CFFAC28-699F-413C-A8AE-945E5A891F8A}"/>
  </w:font>
  <w:font w:name="仿宋">
    <w:panose1 w:val="02010609060101010101"/>
    <w:charset w:val="86"/>
    <w:family w:val="modern"/>
    <w:pitch w:val="default"/>
    <w:sig w:usb0="800002BF" w:usb1="38CF7CFA" w:usb2="00000016" w:usb3="00000000" w:csb0="00040001" w:csb1="00000000"/>
    <w:embedRegular r:id="rId4" w:fontKey="{A5490479-9D2D-41CA-8C73-134B64ABC0FE}"/>
  </w:font>
  <w:font w:name="方正仿宋_GB2312">
    <w:panose1 w:val="02000000000000000000"/>
    <w:charset w:val="86"/>
    <w:family w:val="auto"/>
    <w:pitch w:val="default"/>
    <w:sig w:usb0="A00002BF" w:usb1="184F6CFA" w:usb2="00000012" w:usb3="00000000" w:csb0="00040001" w:csb1="00000000"/>
    <w:embedRegular r:id="rId5" w:fontKey="{ED783AF7-D974-4463-AA10-2E518AF0FCC8}"/>
  </w:font>
  <w:font w:name="Arial Unicode MS">
    <w:panose1 w:val="020B0604020202020204"/>
    <w:charset w:val="86"/>
    <w:family w:val="auto"/>
    <w:pitch w:val="default"/>
    <w:sig w:usb0="FFFFFFFF" w:usb1="E9FFFFFF" w:usb2="0000003F" w:usb3="00000000" w:csb0="603F01FF" w:csb1="FFFF0000"/>
    <w:embedRegular r:id="rId6" w:fontKey="{95CA6794-9115-4D86-8EA0-E6B1B9818DAE}"/>
  </w:font>
  <w:font w:name="方正公文小标宋">
    <w:panose1 w:val="02000500000000000000"/>
    <w:charset w:val="86"/>
    <w:family w:val="auto"/>
    <w:pitch w:val="default"/>
    <w:sig w:usb0="A00002BF" w:usb1="38CF7CFA" w:usb2="00000016" w:usb3="00000000" w:csb0="00040001" w:csb1="00000000"/>
    <w:embedRegular r:id="rId7" w:fontKey="{36B358C7-06F4-45B7-AD22-8C210E68E78C}"/>
  </w:font>
  <w:font w:name="楷体">
    <w:panose1 w:val="02010609060101010101"/>
    <w:charset w:val="86"/>
    <w:family w:val="modern"/>
    <w:pitch w:val="default"/>
    <w:sig w:usb0="800002BF" w:usb1="38CF7CFA" w:usb2="00000016" w:usb3="00000000" w:csb0="00040001" w:csb1="00000000"/>
    <w:embedRegular r:id="rId8" w:fontKey="{302B9A38-1D7E-4B06-A965-E801B7E4BF09}"/>
  </w:font>
  <w:font w:name="仿宋_GB2312">
    <w:panose1 w:val="02010609030101010101"/>
    <w:charset w:val="86"/>
    <w:family w:val="modern"/>
    <w:pitch w:val="default"/>
    <w:sig w:usb0="00000001" w:usb1="080E0000" w:usb2="00000000" w:usb3="00000000" w:csb0="00040000" w:csb1="00000000"/>
    <w:embedRegular r:id="rId9" w:fontKey="{A20B64FD-3CD7-4550-B070-EB80E4529177}"/>
  </w:font>
  <w:font w:name="方正楷体_GB2312">
    <w:panose1 w:val="02000000000000000000"/>
    <w:charset w:val="86"/>
    <w:family w:val="auto"/>
    <w:pitch w:val="default"/>
    <w:sig w:usb0="A00002BF" w:usb1="184F6CFA" w:usb2="00000012" w:usb3="00000000" w:csb0="00040001" w:csb1="00000000"/>
    <w:embedRegular r:id="rId10" w:fontKey="{F5038B70-E210-4384-BC2B-9C3EFB9EAB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D20E">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22945064">
                    <w:pPr>
                      <w:pStyle w:val="10"/>
                      <w:rPr>
                        <w:rStyle w:val="16"/>
                        <w:sz w:val="28"/>
                        <w:szCs w:val="28"/>
                      </w:rPr>
                    </w:pP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746A1">
    <w:pPr>
      <w:pStyle w:val="10"/>
      <w:framePr w:wrap="around" w:vAnchor="text" w:hAnchor="margin" w:xAlign="outside" w:y="1"/>
      <w:rPr>
        <w:rStyle w:val="16"/>
      </w:rPr>
    </w:pPr>
    <w:r>
      <w:fldChar w:fldCharType="begin"/>
    </w:r>
    <w:r>
      <w:rPr>
        <w:rStyle w:val="16"/>
      </w:rPr>
      <w:instrText xml:space="preserve">PAGE  </w:instrText>
    </w:r>
    <w:r>
      <w:fldChar w:fldCharType="end"/>
    </w:r>
  </w:p>
  <w:p w14:paraId="66685DA7">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YTY1ZWM1MGFlNWQ0MGRhM2E2ODhkYWNkMjExYzIifQ=="/>
  </w:docVars>
  <w:rsids>
    <w:rsidRoot w:val="10E70222"/>
    <w:rsid w:val="00061E73"/>
    <w:rsid w:val="000F0FF9"/>
    <w:rsid w:val="00216B1D"/>
    <w:rsid w:val="00272E71"/>
    <w:rsid w:val="0036310F"/>
    <w:rsid w:val="003B6FB9"/>
    <w:rsid w:val="00504D68"/>
    <w:rsid w:val="00676C39"/>
    <w:rsid w:val="00A1709A"/>
    <w:rsid w:val="00BE2447"/>
    <w:rsid w:val="00DC6DF3"/>
    <w:rsid w:val="02814DBA"/>
    <w:rsid w:val="02B26E88"/>
    <w:rsid w:val="03D501F3"/>
    <w:rsid w:val="0408076C"/>
    <w:rsid w:val="04B65ADA"/>
    <w:rsid w:val="06E459EB"/>
    <w:rsid w:val="09247745"/>
    <w:rsid w:val="0A7D0E84"/>
    <w:rsid w:val="0BA517FB"/>
    <w:rsid w:val="0DB31D06"/>
    <w:rsid w:val="0FC501BA"/>
    <w:rsid w:val="10E70222"/>
    <w:rsid w:val="13500DEF"/>
    <w:rsid w:val="155C7C48"/>
    <w:rsid w:val="155D3CC2"/>
    <w:rsid w:val="156E47C8"/>
    <w:rsid w:val="161F6860"/>
    <w:rsid w:val="17400CEC"/>
    <w:rsid w:val="18776204"/>
    <w:rsid w:val="18D804CA"/>
    <w:rsid w:val="191825A1"/>
    <w:rsid w:val="19AE153C"/>
    <w:rsid w:val="1BBD770F"/>
    <w:rsid w:val="1C3F5ECF"/>
    <w:rsid w:val="1D6C0412"/>
    <w:rsid w:val="1EE156E4"/>
    <w:rsid w:val="1F814712"/>
    <w:rsid w:val="202D3A67"/>
    <w:rsid w:val="20407909"/>
    <w:rsid w:val="227D76DE"/>
    <w:rsid w:val="2369138D"/>
    <w:rsid w:val="242B4894"/>
    <w:rsid w:val="255E1EFF"/>
    <w:rsid w:val="260378B5"/>
    <w:rsid w:val="26947B0A"/>
    <w:rsid w:val="26E46EBB"/>
    <w:rsid w:val="270716BD"/>
    <w:rsid w:val="280E6A7D"/>
    <w:rsid w:val="2AB74D6A"/>
    <w:rsid w:val="2B043E08"/>
    <w:rsid w:val="2B167179"/>
    <w:rsid w:val="2B5F7D5B"/>
    <w:rsid w:val="2C51221F"/>
    <w:rsid w:val="2F307A16"/>
    <w:rsid w:val="30685E6D"/>
    <w:rsid w:val="316246C6"/>
    <w:rsid w:val="323808A8"/>
    <w:rsid w:val="35971A38"/>
    <w:rsid w:val="37FB387F"/>
    <w:rsid w:val="38865408"/>
    <w:rsid w:val="3D0C0967"/>
    <w:rsid w:val="41274A4D"/>
    <w:rsid w:val="416854D1"/>
    <w:rsid w:val="428508D7"/>
    <w:rsid w:val="42F1180C"/>
    <w:rsid w:val="470D19F1"/>
    <w:rsid w:val="48FC450D"/>
    <w:rsid w:val="49276339"/>
    <w:rsid w:val="49922BB3"/>
    <w:rsid w:val="49B44860"/>
    <w:rsid w:val="4A965EF0"/>
    <w:rsid w:val="4B6776B0"/>
    <w:rsid w:val="4D615A77"/>
    <w:rsid w:val="51E967FD"/>
    <w:rsid w:val="52666914"/>
    <w:rsid w:val="52B1178A"/>
    <w:rsid w:val="548829A3"/>
    <w:rsid w:val="56CD49AD"/>
    <w:rsid w:val="56D47168"/>
    <w:rsid w:val="57D02009"/>
    <w:rsid w:val="5A0538B4"/>
    <w:rsid w:val="5A3750B8"/>
    <w:rsid w:val="5B2111A4"/>
    <w:rsid w:val="5B3F23E8"/>
    <w:rsid w:val="5B9C07AF"/>
    <w:rsid w:val="5BAD6C03"/>
    <w:rsid w:val="5CD5160A"/>
    <w:rsid w:val="5D971C5A"/>
    <w:rsid w:val="5DF74124"/>
    <w:rsid w:val="5E4915C3"/>
    <w:rsid w:val="5F144902"/>
    <w:rsid w:val="623A01EC"/>
    <w:rsid w:val="637075F2"/>
    <w:rsid w:val="640F5BE7"/>
    <w:rsid w:val="653042A3"/>
    <w:rsid w:val="65CB05DE"/>
    <w:rsid w:val="699E6DD9"/>
    <w:rsid w:val="6A5F05A9"/>
    <w:rsid w:val="6C680EFD"/>
    <w:rsid w:val="6D45389E"/>
    <w:rsid w:val="6E86238F"/>
    <w:rsid w:val="6EC93BB7"/>
    <w:rsid w:val="6F8756C9"/>
    <w:rsid w:val="72816D3C"/>
    <w:rsid w:val="73B55BC0"/>
    <w:rsid w:val="740C2B8F"/>
    <w:rsid w:val="75C868A6"/>
    <w:rsid w:val="773447DB"/>
    <w:rsid w:val="77636E38"/>
    <w:rsid w:val="787A14AE"/>
    <w:rsid w:val="796103D4"/>
    <w:rsid w:val="7E8D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380" w:lineRule="exact"/>
      <w:ind w:left="-113" w:right="-113"/>
      <w:jc w:val="center"/>
      <w:outlineLvl w:val="3"/>
    </w:pPr>
    <w:rPr>
      <w:rFonts w:ascii="宋体" w:hAnsi="宋体"/>
      <w:b/>
      <w:spacing w:val="-10"/>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0"/>
    <w:pPr>
      <w:jc w:val="left"/>
    </w:pPr>
    <w:rPr>
      <w:kern w:val="0"/>
      <w:sz w:val="24"/>
      <w:szCs w:val="20"/>
    </w:rPr>
  </w:style>
  <w:style w:type="paragraph" w:styleId="4">
    <w:name w:val="Body Text"/>
    <w:basedOn w:val="1"/>
    <w:next w:val="5"/>
    <w:autoRedefine/>
    <w:qFormat/>
    <w:uiPriority w:val="0"/>
    <w:pPr>
      <w:jc w:val="center"/>
    </w:pPr>
    <w:rPr>
      <w:b/>
      <w:bCs/>
      <w:sz w:val="44"/>
    </w:rPr>
  </w:style>
  <w:style w:type="paragraph" w:customStyle="1" w:styleId="5">
    <w:name w:val="xl27"/>
    <w:basedOn w:val="1"/>
    <w:next w:val="6"/>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6">
    <w:name w:val="A正文"/>
    <w:qFormat/>
    <w:uiPriority w:val="0"/>
    <w:pPr>
      <w:spacing w:line="360" w:lineRule="auto"/>
      <w:ind w:firstLine="200" w:firstLineChars="200"/>
      <w:contextualSpacing/>
    </w:pPr>
    <w:rPr>
      <w:rFonts w:ascii="Times New Roman" w:hAnsi="Times New Roman" w:eastAsia="宋体" w:cs="Times New Roman"/>
      <w:sz w:val="24"/>
      <w:szCs w:val="22"/>
      <w:lang w:val="en-US" w:eastAsia="en-US" w:bidi="en-US"/>
    </w:rPr>
  </w:style>
  <w:style w:type="paragraph" w:styleId="7">
    <w:name w:val="Body Text Indent"/>
    <w:basedOn w:val="1"/>
    <w:next w:val="8"/>
    <w:autoRedefine/>
    <w:qFormat/>
    <w:uiPriority w:val="0"/>
    <w:pPr>
      <w:spacing w:line="560" w:lineRule="exact"/>
      <w:ind w:firstLine="567"/>
    </w:pPr>
    <w:rPr>
      <w:rFonts w:ascii="宋体" w:hAnsi="宋体"/>
      <w:sz w:val="28"/>
    </w:rPr>
  </w:style>
  <w:style w:type="paragraph" w:customStyle="1" w:styleId="8">
    <w:name w:val="样式 正文文本缩进 + 行距: 1.5 倍行距"/>
    <w:basedOn w:val="7"/>
    <w:autoRedefine/>
    <w:qFormat/>
    <w:uiPriority w:val="0"/>
    <w:pPr>
      <w:spacing w:after="120"/>
      <w:ind w:left="90" w:leftChars="32" w:firstLine="560"/>
    </w:pPr>
    <w:rPr>
      <w:rFonts w:ascii="Times New Roman" w:hAnsi="Times New Roman"/>
    </w:rPr>
  </w:style>
  <w:style w:type="paragraph" w:styleId="9">
    <w:name w:val="Plain Text"/>
    <w:basedOn w:val="1"/>
    <w:autoRedefine/>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next w:val="1"/>
    <w:autoRedefine/>
    <w:qFormat/>
    <w:uiPriority w:val="0"/>
    <w:pPr>
      <w:spacing w:after="120" w:line="240" w:lineRule="auto"/>
      <w:ind w:left="420" w:leftChars="200" w:firstLine="420"/>
    </w:pPr>
    <w:rPr>
      <w:sz w:val="21"/>
    </w:rPr>
  </w:style>
  <w:style w:type="character" w:styleId="16">
    <w:name w:val="page number"/>
    <w:basedOn w:val="15"/>
    <w:autoRedefine/>
    <w:qFormat/>
    <w:uiPriority w:val="0"/>
  </w:style>
  <w:style w:type="character" w:styleId="17">
    <w:name w:val="annotation reference"/>
    <w:autoRedefine/>
    <w:semiHidden/>
    <w:qFormat/>
    <w:uiPriority w:val="0"/>
    <w:rPr>
      <w:sz w:val="21"/>
    </w:rPr>
  </w:style>
  <w:style w:type="paragraph" w:customStyle="1" w:styleId="18">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2529</Words>
  <Characters>2659</Characters>
  <Lines>18</Lines>
  <Paragraphs>5</Paragraphs>
  <TotalTime>1</TotalTime>
  <ScaleCrop>false</ScaleCrop>
  <LinksUpToDate>false</LinksUpToDate>
  <CharactersWithSpaces>2709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2020-10-29T10:40:00Z</dcterms:created>
  <dc:creator>雨文如月</dc:creator>
  <cp:lastModifiedBy>不二不二</cp:lastModifiedBy>
  <cp:lastPrinted>2024-12-11T02:31:16Z</cp:lastPrinted>
  <dcterms:modified xsi:type="dcterms:W3CDTF">2024-12-11T02:33:06Z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6AD36E5FFA9146B1A4A54FCF174F2B8C_13</vt:lpwstr>
  </property>
</Properties>
</file>